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164E8" w14:textId="77777777" w:rsidR="008204CD" w:rsidRDefault="008204CD" w:rsidP="009A7AEB">
      <w:pPr>
        <w:pStyle w:val="Heading1"/>
        <w:rPr>
          <w:sz w:val="32"/>
          <w:szCs w:val="32"/>
        </w:rPr>
      </w:pPr>
    </w:p>
    <w:p w14:paraId="06FB7888" w14:textId="3B26FC7F" w:rsidR="001929A7" w:rsidRPr="002F123C" w:rsidRDefault="001929A7" w:rsidP="009A7AEB">
      <w:pPr>
        <w:pStyle w:val="Heading1"/>
        <w:rPr>
          <w:sz w:val="32"/>
          <w:szCs w:val="32"/>
        </w:rPr>
      </w:pPr>
      <w:r w:rsidRPr="002F123C">
        <w:rPr>
          <w:sz w:val="32"/>
          <w:szCs w:val="32"/>
        </w:rPr>
        <w:t>Safeguard Mechanism</w:t>
      </w:r>
    </w:p>
    <w:p w14:paraId="55F04A37" w14:textId="098D261A" w:rsidR="009A7AEB" w:rsidRDefault="00592546" w:rsidP="009A7AEB">
      <w:pPr>
        <w:pStyle w:val="Heading1"/>
        <w:rPr>
          <w:sz w:val="32"/>
          <w:szCs w:val="32"/>
        </w:rPr>
      </w:pPr>
      <w:r w:rsidRPr="002F123C">
        <w:rPr>
          <w:sz w:val="32"/>
          <w:szCs w:val="32"/>
        </w:rPr>
        <w:t>Guidelines</w:t>
      </w:r>
      <w:r w:rsidR="36043AFA" w:rsidRPr="002F123C">
        <w:rPr>
          <w:sz w:val="32"/>
          <w:szCs w:val="32"/>
        </w:rPr>
        <w:t xml:space="preserve"> for</w:t>
      </w:r>
      <w:r w:rsidRPr="002F123C">
        <w:rPr>
          <w:sz w:val="32"/>
          <w:szCs w:val="32"/>
        </w:rPr>
        <w:t xml:space="preserve"> setting i</w:t>
      </w:r>
      <w:r w:rsidR="009A7AEB" w:rsidRPr="002F123C">
        <w:rPr>
          <w:sz w:val="32"/>
          <w:szCs w:val="32"/>
        </w:rPr>
        <w:t xml:space="preserve">nternational best practice </w:t>
      </w:r>
      <w:proofErr w:type="gramStart"/>
      <w:r w:rsidR="009A7AEB" w:rsidRPr="002F123C">
        <w:rPr>
          <w:sz w:val="32"/>
          <w:szCs w:val="32"/>
        </w:rPr>
        <w:t>benchmarks</w:t>
      </w:r>
      <w:proofErr w:type="gramEnd"/>
    </w:p>
    <w:p w14:paraId="6BD45D5E" w14:textId="77777777" w:rsidR="002F123C" w:rsidRPr="002F123C" w:rsidRDefault="002F123C" w:rsidP="002F123C"/>
    <w:sdt>
      <w:sdtPr>
        <w:rPr>
          <w:rFonts w:ascii="Cambria" w:eastAsiaTheme="minorHAnsi" w:hAnsi="Cambria"/>
          <w:bCs w:val="0"/>
          <w:color w:val="auto"/>
          <w:sz w:val="24"/>
          <w:szCs w:val="24"/>
          <w:lang w:eastAsia="en-US"/>
        </w:rPr>
        <w:id w:val="-760297017"/>
        <w:docPartObj>
          <w:docPartGallery w:val="Table of Contents"/>
          <w:docPartUnique/>
        </w:docPartObj>
      </w:sdtPr>
      <w:sdtEndPr>
        <w:rPr>
          <w:rFonts w:asciiTheme="minorHAnsi" w:hAnsiTheme="minorHAnsi"/>
          <w:b/>
          <w:noProof/>
        </w:rPr>
      </w:sdtEndPr>
      <w:sdtContent>
        <w:p w14:paraId="6C927AEA" w14:textId="77777777" w:rsidR="00431CB8" w:rsidRDefault="00E91D72" w:rsidP="008D11FD">
          <w:pPr>
            <w:pStyle w:val="TOCHeading"/>
            <w:rPr>
              <w:noProof/>
            </w:rPr>
          </w:pPr>
          <w:r w:rsidRPr="002F123C">
            <w:rPr>
              <w:color w:val="135D5D"/>
              <w:sz w:val="32"/>
              <w:szCs w:val="32"/>
            </w:rPr>
            <w:t>Contents</w:t>
          </w:r>
          <w:r w:rsidRPr="00490529">
            <w:rPr>
              <w:sz w:val="24"/>
              <w:szCs w:val="24"/>
            </w:rPr>
            <w:t xml:space="preserve"> </w:t>
          </w:r>
          <w:r w:rsidRPr="00490529">
            <w:rPr>
              <w:sz w:val="24"/>
              <w:szCs w:val="24"/>
            </w:rPr>
            <w:fldChar w:fldCharType="begin"/>
          </w:r>
          <w:r w:rsidRPr="00490529">
            <w:rPr>
              <w:sz w:val="24"/>
              <w:szCs w:val="24"/>
            </w:rPr>
            <w:instrText xml:space="preserve"> TOC \h \z \u \t "Heading 2,1,Heading 3,2,Style1,2,TOA Heading,1" </w:instrText>
          </w:r>
          <w:r w:rsidRPr="00490529">
            <w:rPr>
              <w:sz w:val="24"/>
              <w:szCs w:val="24"/>
            </w:rPr>
            <w:fldChar w:fldCharType="separate"/>
          </w:r>
        </w:p>
        <w:p w14:paraId="4A825E7D" w14:textId="734BFB22" w:rsidR="00431CB8" w:rsidRDefault="00CE657A">
          <w:pPr>
            <w:pStyle w:val="TOC1"/>
            <w:rPr>
              <w:rFonts w:eastAsiaTheme="minorEastAsia"/>
              <w:b w:val="0"/>
              <w:kern w:val="2"/>
              <w:lang w:eastAsia="en-AU"/>
              <w14:ligatures w14:val="standardContextual"/>
            </w:rPr>
          </w:pPr>
          <w:hyperlink w:anchor="_Toc146872806" w:history="1">
            <w:r w:rsidR="00431CB8" w:rsidRPr="002C2AD9">
              <w:rPr>
                <w:rStyle w:val="Hyperlink"/>
              </w:rPr>
              <w:t>1</w:t>
            </w:r>
            <w:r w:rsidR="00431CB8">
              <w:rPr>
                <w:rFonts w:eastAsiaTheme="minorEastAsia"/>
                <w:b w:val="0"/>
                <w:kern w:val="2"/>
                <w:lang w:eastAsia="en-AU"/>
                <w14:ligatures w14:val="standardContextual"/>
              </w:rPr>
              <w:tab/>
            </w:r>
            <w:r w:rsidR="00431CB8" w:rsidRPr="002C2AD9">
              <w:rPr>
                <w:rStyle w:val="Hyperlink"/>
              </w:rPr>
              <w:t>International best practice benchmarks</w:t>
            </w:r>
            <w:r w:rsidR="00431CB8">
              <w:rPr>
                <w:webHidden/>
              </w:rPr>
              <w:tab/>
            </w:r>
            <w:r w:rsidR="00431CB8">
              <w:rPr>
                <w:webHidden/>
              </w:rPr>
              <w:fldChar w:fldCharType="begin"/>
            </w:r>
            <w:r w:rsidR="00431CB8">
              <w:rPr>
                <w:webHidden/>
              </w:rPr>
              <w:instrText xml:space="preserve"> PAGEREF _Toc146872806 \h </w:instrText>
            </w:r>
            <w:r w:rsidR="00431CB8">
              <w:rPr>
                <w:webHidden/>
              </w:rPr>
            </w:r>
            <w:r w:rsidR="00431CB8">
              <w:rPr>
                <w:webHidden/>
              </w:rPr>
              <w:fldChar w:fldCharType="separate"/>
            </w:r>
            <w:r w:rsidR="00B226F2">
              <w:rPr>
                <w:webHidden/>
              </w:rPr>
              <w:t>2</w:t>
            </w:r>
            <w:r w:rsidR="00431CB8">
              <w:rPr>
                <w:webHidden/>
              </w:rPr>
              <w:fldChar w:fldCharType="end"/>
            </w:r>
          </w:hyperlink>
        </w:p>
        <w:p w14:paraId="066FC871" w14:textId="2E85A893" w:rsidR="00431CB8" w:rsidRDefault="00CE657A">
          <w:pPr>
            <w:pStyle w:val="TOC2"/>
            <w:tabs>
              <w:tab w:val="left" w:pos="1100"/>
            </w:tabs>
            <w:rPr>
              <w:rFonts w:eastAsiaTheme="minorEastAsia"/>
              <w:kern w:val="2"/>
              <w:lang w:eastAsia="en-AU"/>
              <w14:ligatures w14:val="standardContextual"/>
            </w:rPr>
          </w:pPr>
          <w:hyperlink w:anchor="_Toc146872807" w:history="1">
            <w:r w:rsidR="00431CB8" w:rsidRPr="002C2AD9">
              <w:rPr>
                <w:rStyle w:val="Hyperlink"/>
              </w:rPr>
              <w:t>1.1</w:t>
            </w:r>
            <w:r w:rsidR="00431CB8">
              <w:rPr>
                <w:rFonts w:eastAsiaTheme="minorEastAsia"/>
                <w:kern w:val="2"/>
                <w:lang w:eastAsia="en-AU"/>
                <w14:ligatures w14:val="standardContextual"/>
              </w:rPr>
              <w:tab/>
            </w:r>
            <w:r w:rsidR="00431CB8" w:rsidRPr="002C2AD9">
              <w:rPr>
                <w:rStyle w:val="Hyperlink"/>
              </w:rPr>
              <w:t>When will international best practice apply?</w:t>
            </w:r>
            <w:r w:rsidR="00431CB8">
              <w:rPr>
                <w:webHidden/>
              </w:rPr>
              <w:tab/>
            </w:r>
            <w:r w:rsidR="00431CB8">
              <w:rPr>
                <w:webHidden/>
              </w:rPr>
              <w:fldChar w:fldCharType="begin"/>
            </w:r>
            <w:r w:rsidR="00431CB8">
              <w:rPr>
                <w:webHidden/>
              </w:rPr>
              <w:instrText xml:space="preserve"> PAGEREF _Toc146872807 \h </w:instrText>
            </w:r>
            <w:r w:rsidR="00431CB8">
              <w:rPr>
                <w:webHidden/>
              </w:rPr>
            </w:r>
            <w:r w:rsidR="00431CB8">
              <w:rPr>
                <w:webHidden/>
              </w:rPr>
              <w:fldChar w:fldCharType="separate"/>
            </w:r>
            <w:r w:rsidR="00B226F2">
              <w:rPr>
                <w:webHidden/>
              </w:rPr>
              <w:t>3</w:t>
            </w:r>
            <w:r w:rsidR="00431CB8">
              <w:rPr>
                <w:webHidden/>
              </w:rPr>
              <w:fldChar w:fldCharType="end"/>
            </w:r>
          </w:hyperlink>
        </w:p>
        <w:p w14:paraId="0969412A" w14:textId="2F7FC870" w:rsidR="00431CB8" w:rsidRDefault="00CE657A">
          <w:pPr>
            <w:pStyle w:val="TOC2"/>
            <w:tabs>
              <w:tab w:val="left" w:pos="1100"/>
            </w:tabs>
            <w:rPr>
              <w:rFonts w:eastAsiaTheme="minorEastAsia"/>
              <w:kern w:val="2"/>
              <w:lang w:eastAsia="en-AU"/>
              <w14:ligatures w14:val="standardContextual"/>
            </w:rPr>
          </w:pPr>
          <w:hyperlink w:anchor="_Toc146872808" w:history="1">
            <w:r w:rsidR="00431CB8" w:rsidRPr="002C2AD9">
              <w:rPr>
                <w:rStyle w:val="Hyperlink"/>
              </w:rPr>
              <w:t>1.2</w:t>
            </w:r>
            <w:r w:rsidR="00431CB8">
              <w:rPr>
                <w:rFonts w:eastAsiaTheme="minorEastAsia"/>
                <w:kern w:val="2"/>
                <w:lang w:eastAsia="en-AU"/>
                <w14:ligatures w14:val="standardContextual"/>
              </w:rPr>
              <w:tab/>
            </w:r>
            <w:r w:rsidR="00431CB8" w:rsidRPr="002C2AD9">
              <w:rPr>
                <w:rStyle w:val="Hyperlink"/>
              </w:rPr>
              <w:t>Safeguard Mechanism baselines and production variables</w:t>
            </w:r>
            <w:r w:rsidR="00431CB8">
              <w:rPr>
                <w:webHidden/>
              </w:rPr>
              <w:tab/>
            </w:r>
            <w:r w:rsidR="00431CB8">
              <w:rPr>
                <w:webHidden/>
              </w:rPr>
              <w:fldChar w:fldCharType="begin"/>
            </w:r>
            <w:r w:rsidR="00431CB8">
              <w:rPr>
                <w:webHidden/>
              </w:rPr>
              <w:instrText xml:space="preserve"> PAGEREF _Toc146872808 \h </w:instrText>
            </w:r>
            <w:r w:rsidR="00431CB8">
              <w:rPr>
                <w:webHidden/>
              </w:rPr>
            </w:r>
            <w:r w:rsidR="00431CB8">
              <w:rPr>
                <w:webHidden/>
              </w:rPr>
              <w:fldChar w:fldCharType="separate"/>
            </w:r>
            <w:r w:rsidR="00B226F2">
              <w:rPr>
                <w:webHidden/>
              </w:rPr>
              <w:t>3</w:t>
            </w:r>
            <w:r w:rsidR="00431CB8">
              <w:rPr>
                <w:webHidden/>
              </w:rPr>
              <w:fldChar w:fldCharType="end"/>
            </w:r>
          </w:hyperlink>
        </w:p>
        <w:p w14:paraId="25F59EE2" w14:textId="34F2AE75" w:rsidR="00431CB8" w:rsidRDefault="00CE657A">
          <w:pPr>
            <w:pStyle w:val="TOC2"/>
            <w:tabs>
              <w:tab w:val="left" w:pos="1100"/>
            </w:tabs>
            <w:rPr>
              <w:rFonts w:eastAsiaTheme="minorEastAsia"/>
              <w:kern w:val="2"/>
              <w:lang w:eastAsia="en-AU"/>
              <w14:ligatures w14:val="standardContextual"/>
            </w:rPr>
          </w:pPr>
          <w:hyperlink w:anchor="_Toc146872809" w:history="1">
            <w:r w:rsidR="00431CB8" w:rsidRPr="002C2AD9">
              <w:rPr>
                <w:rStyle w:val="Hyperlink"/>
              </w:rPr>
              <w:t>1.3</w:t>
            </w:r>
            <w:r w:rsidR="00431CB8">
              <w:rPr>
                <w:rFonts w:eastAsiaTheme="minorEastAsia"/>
                <w:kern w:val="2"/>
                <w:lang w:eastAsia="en-AU"/>
                <w14:ligatures w14:val="standardContextual"/>
              </w:rPr>
              <w:tab/>
            </w:r>
            <w:r w:rsidR="00431CB8" w:rsidRPr="002C2AD9">
              <w:rPr>
                <w:rStyle w:val="Hyperlink"/>
              </w:rPr>
              <w:t>Principles for developing international best practice benchmarks</w:t>
            </w:r>
            <w:r w:rsidR="00431CB8">
              <w:rPr>
                <w:webHidden/>
              </w:rPr>
              <w:tab/>
            </w:r>
            <w:r w:rsidR="00431CB8">
              <w:rPr>
                <w:webHidden/>
              </w:rPr>
              <w:fldChar w:fldCharType="begin"/>
            </w:r>
            <w:r w:rsidR="00431CB8">
              <w:rPr>
                <w:webHidden/>
              </w:rPr>
              <w:instrText xml:space="preserve"> PAGEREF _Toc146872809 \h </w:instrText>
            </w:r>
            <w:r w:rsidR="00431CB8">
              <w:rPr>
                <w:webHidden/>
              </w:rPr>
            </w:r>
            <w:r w:rsidR="00431CB8">
              <w:rPr>
                <w:webHidden/>
              </w:rPr>
              <w:fldChar w:fldCharType="separate"/>
            </w:r>
            <w:r w:rsidR="00B226F2">
              <w:rPr>
                <w:webHidden/>
              </w:rPr>
              <w:t>4</w:t>
            </w:r>
            <w:r w:rsidR="00431CB8">
              <w:rPr>
                <w:webHidden/>
              </w:rPr>
              <w:fldChar w:fldCharType="end"/>
            </w:r>
          </w:hyperlink>
        </w:p>
        <w:p w14:paraId="5ADD0789" w14:textId="0562C8A5" w:rsidR="00431CB8" w:rsidRDefault="00CE657A">
          <w:pPr>
            <w:pStyle w:val="TOC1"/>
            <w:rPr>
              <w:rFonts w:eastAsiaTheme="minorEastAsia"/>
              <w:b w:val="0"/>
              <w:kern w:val="2"/>
              <w:lang w:eastAsia="en-AU"/>
              <w14:ligatures w14:val="standardContextual"/>
            </w:rPr>
          </w:pPr>
          <w:hyperlink w:anchor="_Toc146872810" w:history="1">
            <w:r w:rsidR="00431CB8" w:rsidRPr="002C2AD9">
              <w:rPr>
                <w:rStyle w:val="Hyperlink"/>
              </w:rPr>
              <w:t>2</w:t>
            </w:r>
            <w:r w:rsidR="00431CB8">
              <w:rPr>
                <w:rFonts w:eastAsiaTheme="minorEastAsia"/>
                <w:b w:val="0"/>
                <w:kern w:val="2"/>
                <w:lang w:eastAsia="en-AU"/>
                <w14:ligatures w14:val="standardContextual"/>
              </w:rPr>
              <w:tab/>
            </w:r>
            <w:r w:rsidR="00431CB8" w:rsidRPr="002C2AD9">
              <w:rPr>
                <w:rStyle w:val="Hyperlink"/>
              </w:rPr>
              <w:t>Setting international best practice benchmarks</w:t>
            </w:r>
            <w:r w:rsidR="00431CB8">
              <w:rPr>
                <w:webHidden/>
              </w:rPr>
              <w:tab/>
            </w:r>
            <w:r w:rsidR="00431CB8">
              <w:rPr>
                <w:webHidden/>
              </w:rPr>
              <w:fldChar w:fldCharType="begin"/>
            </w:r>
            <w:r w:rsidR="00431CB8">
              <w:rPr>
                <w:webHidden/>
              </w:rPr>
              <w:instrText xml:space="preserve"> PAGEREF _Toc146872810 \h </w:instrText>
            </w:r>
            <w:r w:rsidR="00431CB8">
              <w:rPr>
                <w:webHidden/>
              </w:rPr>
            </w:r>
            <w:r w:rsidR="00431CB8">
              <w:rPr>
                <w:webHidden/>
              </w:rPr>
              <w:fldChar w:fldCharType="separate"/>
            </w:r>
            <w:r w:rsidR="00B226F2">
              <w:rPr>
                <w:webHidden/>
              </w:rPr>
              <w:t>5</w:t>
            </w:r>
            <w:r w:rsidR="00431CB8">
              <w:rPr>
                <w:webHidden/>
              </w:rPr>
              <w:fldChar w:fldCharType="end"/>
            </w:r>
          </w:hyperlink>
        </w:p>
        <w:p w14:paraId="6C76FEE3" w14:textId="68AF9DCC" w:rsidR="00431CB8" w:rsidRDefault="00CE657A">
          <w:pPr>
            <w:pStyle w:val="TOC2"/>
            <w:tabs>
              <w:tab w:val="left" w:pos="1100"/>
            </w:tabs>
            <w:rPr>
              <w:rFonts w:eastAsiaTheme="minorEastAsia"/>
              <w:kern w:val="2"/>
              <w:lang w:eastAsia="en-AU"/>
              <w14:ligatures w14:val="standardContextual"/>
            </w:rPr>
          </w:pPr>
          <w:hyperlink w:anchor="_Toc146872811" w:history="1">
            <w:r w:rsidR="00431CB8" w:rsidRPr="002C2AD9">
              <w:rPr>
                <w:rStyle w:val="Hyperlink"/>
              </w:rPr>
              <w:t>2.1</w:t>
            </w:r>
            <w:r w:rsidR="00431CB8">
              <w:rPr>
                <w:rFonts w:eastAsiaTheme="minorEastAsia"/>
                <w:kern w:val="2"/>
                <w:lang w:eastAsia="en-AU"/>
                <w14:ligatures w14:val="standardContextual"/>
              </w:rPr>
              <w:tab/>
            </w:r>
            <w:r w:rsidR="00431CB8" w:rsidRPr="002C2AD9">
              <w:rPr>
                <w:rStyle w:val="Hyperlink"/>
              </w:rPr>
              <w:t>High level calculation method</w:t>
            </w:r>
            <w:r w:rsidR="00431CB8">
              <w:rPr>
                <w:webHidden/>
              </w:rPr>
              <w:tab/>
            </w:r>
            <w:r w:rsidR="00431CB8">
              <w:rPr>
                <w:webHidden/>
              </w:rPr>
              <w:fldChar w:fldCharType="begin"/>
            </w:r>
            <w:r w:rsidR="00431CB8">
              <w:rPr>
                <w:webHidden/>
              </w:rPr>
              <w:instrText xml:space="preserve"> PAGEREF _Toc146872811 \h </w:instrText>
            </w:r>
            <w:r w:rsidR="00431CB8">
              <w:rPr>
                <w:webHidden/>
              </w:rPr>
            </w:r>
            <w:r w:rsidR="00431CB8">
              <w:rPr>
                <w:webHidden/>
              </w:rPr>
              <w:fldChar w:fldCharType="separate"/>
            </w:r>
            <w:r w:rsidR="00B226F2">
              <w:rPr>
                <w:webHidden/>
              </w:rPr>
              <w:t>5</w:t>
            </w:r>
            <w:r w:rsidR="00431CB8">
              <w:rPr>
                <w:webHidden/>
              </w:rPr>
              <w:fldChar w:fldCharType="end"/>
            </w:r>
          </w:hyperlink>
        </w:p>
        <w:p w14:paraId="2C1D4ECA" w14:textId="69424D53" w:rsidR="00431CB8" w:rsidRDefault="00CE657A">
          <w:pPr>
            <w:pStyle w:val="TOC2"/>
            <w:tabs>
              <w:tab w:val="left" w:pos="1100"/>
            </w:tabs>
            <w:rPr>
              <w:rFonts w:eastAsiaTheme="minorEastAsia"/>
              <w:kern w:val="2"/>
              <w:lang w:eastAsia="en-AU"/>
              <w14:ligatures w14:val="standardContextual"/>
            </w:rPr>
          </w:pPr>
          <w:hyperlink w:anchor="_Toc146872812" w:history="1">
            <w:r w:rsidR="00431CB8" w:rsidRPr="002C2AD9">
              <w:rPr>
                <w:rStyle w:val="Hyperlink"/>
              </w:rPr>
              <w:t>2.2</w:t>
            </w:r>
            <w:r w:rsidR="00431CB8">
              <w:rPr>
                <w:rFonts w:eastAsiaTheme="minorEastAsia"/>
                <w:kern w:val="2"/>
                <w:lang w:eastAsia="en-AU"/>
                <w14:ligatures w14:val="standardContextual"/>
              </w:rPr>
              <w:tab/>
            </w:r>
            <w:r w:rsidR="00431CB8" w:rsidRPr="002C2AD9">
              <w:rPr>
                <w:rStyle w:val="Hyperlink"/>
              </w:rPr>
              <w:t>Theoretic example of the calculation method</w:t>
            </w:r>
            <w:r w:rsidR="00431CB8">
              <w:rPr>
                <w:webHidden/>
              </w:rPr>
              <w:tab/>
            </w:r>
            <w:r w:rsidR="00431CB8">
              <w:rPr>
                <w:webHidden/>
              </w:rPr>
              <w:fldChar w:fldCharType="begin"/>
            </w:r>
            <w:r w:rsidR="00431CB8">
              <w:rPr>
                <w:webHidden/>
              </w:rPr>
              <w:instrText xml:space="preserve"> PAGEREF _Toc146872812 \h </w:instrText>
            </w:r>
            <w:r w:rsidR="00431CB8">
              <w:rPr>
                <w:webHidden/>
              </w:rPr>
            </w:r>
            <w:r w:rsidR="00431CB8">
              <w:rPr>
                <w:webHidden/>
              </w:rPr>
              <w:fldChar w:fldCharType="separate"/>
            </w:r>
            <w:r w:rsidR="00B226F2">
              <w:rPr>
                <w:webHidden/>
              </w:rPr>
              <w:t>6</w:t>
            </w:r>
            <w:r w:rsidR="00431CB8">
              <w:rPr>
                <w:webHidden/>
              </w:rPr>
              <w:fldChar w:fldCharType="end"/>
            </w:r>
          </w:hyperlink>
        </w:p>
        <w:p w14:paraId="7B646CD4" w14:textId="421C798B" w:rsidR="00431CB8" w:rsidRDefault="00CE657A">
          <w:pPr>
            <w:pStyle w:val="TOC1"/>
            <w:rPr>
              <w:rFonts w:eastAsiaTheme="minorEastAsia"/>
              <w:b w:val="0"/>
              <w:kern w:val="2"/>
              <w:lang w:eastAsia="en-AU"/>
              <w14:ligatures w14:val="standardContextual"/>
            </w:rPr>
          </w:pPr>
          <w:hyperlink w:anchor="_Toc146872813" w:history="1">
            <w:r w:rsidR="00431CB8" w:rsidRPr="002C2AD9">
              <w:rPr>
                <w:rStyle w:val="Hyperlink"/>
              </w:rPr>
              <w:t>3</w:t>
            </w:r>
            <w:r w:rsidR="00431CB8">
              <w:rPr>
                <w:rFonts w:eastAsiaTheme="minorEastAsia"/>
                <w:b w:val="0"/>
                <w:kern w:val="2"/>
                <w:lang w:eastAsia="en-AU"/>
                <w14:ligatures w14:val="standardContextual"/>
              </w:rPr>
              <w:tab/>
            </w:r>
            <w:r w:rsidR="00431CB8" w:rsidRPr="002C2AD9">
              <w:rPr>
                <w:rStyle w:val="Hyperlink"/>
              </w:rPr>
              <w:t>Details for setting international best practice benchmarks</w:t>
            </w:r>
            <w:r w:rsidR="00431CB8">
              <w:rPr>
                <w:webHidden/>
              </w:rPr>
              <w:tab/>
            </w:r>
            <w:r w:rsidR="00431CB8">
              <w:rPr>
                <w:webHidden/>
              </w:rPr>
              <w:fldChar w:fldCharType="begin"/>
            </w:r>
            <w:r w:rsidR="00431CB8">
              <w:rPr>
                <w:webHidden/>
              </w:rPr>
              <w:instrText xml:space="preserve"> PAGEREF _Toc146872813 \h </w:instrText>
            </w:r>
            <w:r w:rsidR="00431CB8">
              <w:rPr>
                <w:webHidden/>
              </w:rPr>
            </w:r>
            <w:r w:rsidR="00431CB8">
              <w:rPr>
                <w:webHidden/>
              </w:rPr>
              <w:fldChar w:fldCharType="separate"/>
            </w:r>
            <w:r w:rsidR="00B226F2">
              <w:rPr>
                <w:webHidden/>
              </w:rPr>
              <w:t>8</w:t>
            </w:r>
            <w:r w:rsidR="00431CB8">
              <w:rPr>
                <w:webHidden/>
              </w:rPr>
              <w:fldChar w:fldCharType="end"/>
            </w:r>
          </w:hyperlink>
        </w:p>
        <w:p w14:paraId="56AFEBDD" w14:textId="2D3B5080" w:rsidR="00431CB8" w:rsidRDefault="00CE657A">
          <w:pPr>
            <w:pStyle w:val="TOC2"/>
            <w:tabs>
              <w:tab w:val="left" w:pos="1100"/>
            </w:tabs>
            <w:rPr>
              <w:rFonts w:eastAsiaTheme="minorEastAsia"/>
              <w:kern w:val="2"/>
              <w:lang w:eastAsia="en-AU"/>
              <w14:ligatures w14:val="standardContextual"/>
            </w:rPr>
          </w:pPr>
          <w:hyperlink w:anchor="_Toc146872814" w:history="1">
            <w:r w:rsidR="00431CB8" w:rsidRPr="002C2AD9">
              <w:rPr>
                <w:rStyle w:val="Hyperlink"/>
              </w:rPr>
              <w:t>3.1</w:t>
            </w:r>
            <w:r w:rsidR="00431CB8">
              <w:rPr>
                <w:rFonts w:eastAsiaTheme="minorEastAsia"/>
                <w:kern w:val="2"/>
                <w:lang w:eastAsia="en-AU"/>
                <w14:ligatures w14:val="standardContextual"/>
              </w:rPr>
              <w:tab/>
            </w:r>
            <w:r w:rsidR="00431CB8" w:rsidRPr="002C2AD9">
              <w:rPr>
                <w:rStyle w:val="Hyperlink"/>
              </w:rPr>
              <w:t>Identifying the best practice facilities and data suitability</w:t>
            </w:r>
            <w:r w:rsidR="00431CB8">
              <w:rPr>
                <w:webHidden/>
              </w:rPr>
              <w:tab/>
            </w:r>
            <w:r w:rsidR="00431CB8">
              <w:rPr>
                <w:webHidden/>
              </w:rPr>
              <w:fldChar w:fldCharType="begin"/>
            </w:r>
            <w:r w:rsidR="00431CB8">
              <w:rPr>
                <w:webHidden/>
              </w:rPr>
              <w:instrText xml:space="preserve"> PAGEREF _Toc146872814 \h </w:instrText>
            </w:r>
            <w:r w:rsidR="00431CB8">
              <w:rPr>
                <w:webHidden/>
              </w:rPr>
            </w:r>
            <w:r w:rsidR="00431CB8">
              <w:rPr>
                <w:webHidden/>
              </w:rPr>
              <w:fldChar w:fldCharType="separate"/>
            </w:r>
            <w:r w:rsidR="00B226F2">
              <w:rPr>
                <w:webHidden/>
              </w:rPr>
              <w:t>9</w:t>
            </w:r>
            <w:r w:rsidR="00431CB8">
              <w:rPr>
                <w:webHidden/>
              </w:rPr>
              <w:fldChar w:fldCharType="end"/>
            </w:r>
          </w:hyperlink>
        </w:p>
        <w:p w14:paraId="35F85806" w14:textId="300B0745" w:rsidR="00431CB8" w:rsidRDefault="00CE657A">
          <w:pPr>
            <w:pStyle w:val="TOC2"/>
            <w:tabs>
              <w:tab w:val="left" w:pos="1100"/>
            </w:tabs>
            <w:rPr>
              <w:rFonts w:eastAsiaTheme="minorEastAsia"/>
              <w:kern w:val="2"/>
              <w:lang w:eastAsia="en-AU"/>
              <w14:ligatures w14:val="standardContextual"/>
            </w:rPr>
          </w:pPr>
          <w:hyperlink w:anchor="_Toc146872815" w:history="1">
            <w:r w:rsidR="00431CB8" w:rsidRPr="002C2AD9">
              <w:rPr>
                <w:rStyle w:val="Hyperlink"/>
              </w:rPr>
              <w:t>3.2</w:t>
            </w:r>
            <w:r w:rsidR="00431CB8">
              <w:rPr>
                <w:rFonts w:eastAsiaTheme="minorEastAsia"/>
                <w:kern w:val="2"/>
                <w:lang w:eastAsia="en-AU"/>
                <w14:ligatures w14:val="standardContextual"/>
              </w:rPr>
              <w:tab/>
            </w:r>
            <w:r w:rsidR="00431CB8" w:rsidRPr="002C2AD9">
              <w:rPr>
                <w:rStyle w:val="Hyperlink"/>
              </w:rPr>
              <w:t>Data should be appropriate for the Safeguard context</w:t>
            </w:r>
            <w:r w:rsidR="00431CB8">
              <w:rPr>
                <w:webHidden/>
              </w:rPr>
              <w:tab/>
            </w:r>
            <w:r w:rsidR="00431CB8">
              <w:rPr>
                <w:webHidden/>
              </w:rPr>
              <w:fldChar w:fldCharType="begin"/>
            </w:r>
            <w:r w:rsidR="00431CB8">
              <w:rPr>
                <w:webHidden/>
              </w:rPr>
              <w:instrText xml:space="preserve"> PAGEREF _Toc146872815 \h </w:instrText>
            </w:r>
            <w:r w:rsidR="00431CB8">
              <w:rPr>
                <w:webHidden/>
              </w:rPr>
            </w:r>
            <w:r w:rsidR="00431CB8">
              <w:rPr>
                <w:webHidden/>
              </w:rPr>
              <w:fldChar w:fldCharType="separate"/>
            </w:r>
            <w:r w:rsidR="00B226F2">
              <w:rPr>
                <w:webHidden/>
              </w:rPr>
              <w:t>10</w:t>
            </w:r>
            <w:r w:rsidR="00431CB8">
              <w:rPr>
                <w:webHidden/>
              </w:rPr>
              <w:fldChar w:fldCharType="end"/>
            </w:r>
          </w:hyperlink>
        </w:p>
        <w:p w14:paraId="1355B6BF" w14:textId="74CCBBC9" w:rsidR="00431CB8" w:rsidRDefault="00CE657A">
          <w:pPr>
            <w:pStyle w:val="TOC2"/>
            <w:tabs>
              <w:tab w:val="left" w:pos="1100"/>
            </w:tabs>
            <w:rPr>
              <w:rFonts w:eastAsiaTheme="minorEastAsia"/>
              <w:kern w:val="2"/>
              <w:lang w:eastAsia="en-AU"/>
              <w14:ligatures w14:val="standardContextual"/>
            </w:rPr>
          </w:pPr>
          <w:hyperlink w:anchor="_Toc146872816" w:history="1">
            <w:r w:rsidR="00431CB8" w:rsidRPr="002C2AD9">
              <w:rPr>
                <w:rStyle w:val="Hyperlink"/>
              </w:rPr>
              <w:t>3.3</w:t>
            </w:r>
            <w:r w:rsidR="00431CB8">
              <w:rPr>
                <w:rFonts w:eastAsiaTheme="minorEastAsia"/>
                <w:kern w:val="2"/>
                <w:lang w:eastAsia="en-AU"/>
                <w14:ligatures w14:val="standardContextual"/>
              </w:rPr>
              <w:tab/>
            </w:r>
            <w:r w:rsidR="00431CB8" w:rsidRPr="002C2AD9">
              <w:rPr>
                <w:rStyle w:val="Hyperlink"/>
              </w:rPr>
              <w:t>Time period for selecting data</w:t>
            </w:r>
            <w:r w:rsidR="00431CB8">
              <w:rPr>
                <w:webHidden/>
              </w:rPr>
              <w:tab/>
            </w:r>
            <w:r w:rsidR="00431CB8">
              <w:rPr>
                <w:webHidden/>
              </w:rPr>
              <w:fldChar w:fldCharType="begin"/>
            </w:r>
            <w:r w:rsidR="00431CB8">
              <w:rPr>
                <w:webHidden/>
              </w:rPr>
              <w:instrText xml:space="preserve"> PAGEREF _Toc146872816 \h </w:instrText>
            </w:r>
            <w:r w:rsidR="00431CB8">
              <w:rPr>
                <w:webHidden/>
              </w:rPr>
            </w:r>
            <w:r w:rsidR="00431CB8">
              <w:rPr>
                <w:webHidden/>
              </w:rPr>
              <w:fldChar w:fldCharType="separate"/>
            </w:r>
            <w:r w:rsidR="00B226F2">
              <w:rPr>
                <w:webHidden/>
              </w:rPr>
              <w:t>10</w:t>
            </w:r>
            <w:r w:rsidR="00431CB8">
              <w:rPr>
                <w:webHidden/>
              </w:rPr>
              <w:fldChar w:fldCharType="end"/>
            </w:r>
          </w:hyperlink>
        </w:p>
        <w:p w14:paraId="5A508BAF" w14:textId="3D7B513C" w:rsidR="00431CB8" w:rsidRDefault="00CE657A">
          <w:pPr>
            <w:pStyle w:val="TOC2"/>
            <w:tabs>
              <w:tab w:val="left" w:pos="1100"/>
            </w:tabs>
            <w:rPr>
              <w:rFonts w:eastAsiaTheme="minorEastAsia"/>
              <w:kern w:val="2"/>
              <w:lang w:eastAsia="en-AU"/>
              <w14:ligatures w14:val="standardContextual"/>
            </w:rPr>
          </w:pPr>
          <w:hyperlink w:anchor="_Toc146872817" w:history="1">
            <w:r w:rsidR="00431CB8" w:rsidRPr="002C2AD9">
              <w:rPr>
                <w:rStyle w:val="Hyperlink"/>
              </w:rPr>
              <w:t>3.4</w:t>
            </w:r>
            <w:r w:rsidR="00431CB8">
              <w:rPr>
                <w:rFonts w:eastAsiaTheme="minorEastAsia"/>
                <w:kern w:val="2"/>
                <w:lang w:eastAsia="en-AU"/>
                <w14:ligatures w14:val="standardContextual"/>
              </w:rPr>
              <w:tab/>
            </w:r>
            <w:r w:rsidR="00431CB8" w:rsidRPr="002C2AD9">
              <w:rPr>
                <w:rStyle w:val="Hyperlink"/>
              </w:rPr>
              <w:t>Number of facilities to use in the benchmark calculation.</w:t>
            </w:r>
            <w:r w:rsidR="00431CB8">
              <w:rPr>
                <w:webHidden/>
              </w:rPr>
              <w:tab/>
            </w:r>
            <w:r w:rsidR="00431CB8">
              <w:rPr>
                <w:webHidden/>
              </w:rPr>
              <w:fldChar w:fldCharType="begin"/>
            </w:r>
            <w:r w:rsidR="00431CB8">
              <w:rPr>
                <w:webHidden/>
              </w:rPr>
              <w:instrText xml:space="preserve"> PAGEREF _Toc146872817 \h </w:instrText>
            </w:r>
            <w:r w:rsidR="00431CB8">
              <w:rPr>
                <w:webHidden/>
              </w:rPr>
            </w:r>
            <w:r w:rsidR="00431CB8">
              <w:rPr>
                <w:webHidden/>
              </w:rPr>
              <w:fldChar w:fldCharType="separate"/>
            </w:r>
            <w:r w:rsidR="00B226F2">
              <w:rPr>
                <w:webHidden/>
              </w:rPr>
              <w:t>11</w:t>
            </w:r>
            <w:r w:rsidR="00431CB8">
              <w:rPr>
                <w:webHidden/>
              </w:rPr>
              <w:fldChar w:fldCharType="end"/>
            </w:r>
          </w:hyperlink>
        </w:p>
        <w:p w14:paraId="5F0BB1A8" w14:textId="6E1CC437" w:rsidR="00431CB8" w:rsidRDefault="00CE657A">
          <w:pPr>
            <w:pStyle w:val="TOC2"/>
            <w:tabs>
              <w:tab w:val="left" w:pos="1100"/>
            </w:tabs>
            <w:rPr>
              <w:rFonts w:eastAsiaTheme="minorEastAsia"/>
              <w:kern w:val="2"/>
              <w:lang w:eastAsia="en-AU"/>
              <w14:ligatures w14:val="standardContextual"/>
            </w:rPr>
          </w:pPr>
          <w:hyperlink w:anchor="_Toc146872818" w:history="1">
            <w:r w:rsidR="00431CB8" w:rsidRPr="002C2AD9">
              <w:rPr>
                <w:rStyle w:val="Hyperlink"/>
              </w:rPr>
              <w:t>3.5</w:t>
            </w:r>
            <w:r w:rsidR="00431CB8">
              <w:rPr>
                <w:rFonts w:eastAsiaTheme="minorEastAsia"/>
                <w:kern w:val="2"/>
                <w:lang w:eastAsia="en-AU"/>
                <w14:ligatures w14:val="standardContextual"/>
              </w:rPr>
              <w:tab/>
            </w:r>
            <w:r w:rsidR="00431CB8" w:rsidRPr="002C2AD9">
              <w:rPr>
                <w:rStyle w:val="Hyperlink"/>
              </w:rPr>
              <w:t>Adjusting for Australian conditions</w:t>
            </w:r>
            <w:r w:rsidR="00431CB8">
              <w:rPr>
                <w:webHidden/>
              </w:rPr>
              <w:tab/>
            </w:r>
            <w:r w:rsidR="00431CB8">
              <w:rPr>
                <w:webHidden/>
              </w:rPr>
              <w:fldChar w:fldCharType="begin"/>
            </w:r>
            <w:r w:rsidR="00431CB8">
              <w:rPr>
                <w:webHidden/>
              </w:rPr>
              <w:instrText xml:space="preserve"> PAGEREF _Toc146872818 \h </w:instrText>
            </w:r>
            <w:r w:rsidR="00431CB8">
              <w:rPr>
                <w:webHidden/>
              </w:rPr>
            </w:r>
            <w:r w:rsidR="00431CB8">
              <w:rPr>
                <w:webHidden/>
              </w:rPr>
              <w:fldChar w:fldCharType="separate"/>
            </w:r>
            <w:r w:rsidR="00B226F2">
              <w:rPr>
                <w:webHidden/>
              </w:rPr>
              <w:t>11</w:t>
            </w:r>
            <w:r w:rsidR="00431CB8">
              <w:rPr>
                <w:webHidden/>
              </w:rPr>
              <w:fldChar w:fldCharType="end"/>
            </w:r>
          </w:hyperlink>
        </w:p>
        <w:p w14:paraId="5EAB6840" w14:textId="02BCEFB1" w:rsidR="00431CB8" w:rsidRDefault="00CE657A">
          <w:pPr>
            <w:pStyle w:val="TOC2"/>
            <w:tabs>
              <w:tab w:val="left" w:pos="1100"/>
            </w:tabs>
            <w:rPr>
              <w:rFonts w:eastAsiaTheme="minorEastAsia"/>
              <w:kern w:val="2"/>
              <w:lang w:eastAsia="en-AU"/>
              <w14:ligatures w14:val="standardContextual"/>
            </w:rPr>
          </w:pPr>
          <w:hyperlink w:anchor="_Toc146872819" w:history="1">
            <w:r w:rsidR="00431CB8" w:rsidRPr="002C2AD9">
              <w:rPr>
                <w:rStyle w:val="Hyperlink"/>
              </w:rPr>
              <w:t>3.6</w:t>
            </w:r>
            <w:r w:rsidR="00431CB8">
              <w:rPr>
                <w:rFonts w:eastAsiaTheme="minorEastAsia"/>
                <w:kern w:val="2"/>
                <w:lang w:eastAsia="en-AU"/>
                <w14:ligatures w14:val="standardContextual"/>
              </w:rPr>
              <w:tab/>
            </w:r>
            <w:r w:rsidR="00431CB8" w:rsidRPr="002C2AD9">
              <w:rPr>
                <w:rStyle w:val="Hyperlink"/>
              </w:rPr>
              <w:t>Best practice benchmarks cannot be higher than domestic best practice</w:t>
            </w:r>
            <w:r w:rsidR="00431CB8">
              <w:rPr>
                <w:webHidden/>
              </w:rPr>
              <w:tab/>
            </w:r>
            <w:r w:rsidR="00431CB8">
              <w:rPr>
                <w:webHidden/>
              </w:rPr>
              <w:fldChar w:fldCharType="begin"/>
            </w:r>
            <w:r w:rsidR="00431CB8">
              <w:rPr>
                <w:webHidden/>
              </w:rPr>
              <w:instrText xml:space="preserve"> PAGEREF _Toc146872819 \h </w:instrText>
            </w:r>
            <w:r w:rsidR="00431CB8">
              <w:rPr>
                <w:webHidden/>
              </w:rPr>
            </w:r>
            <w:r w:rsidR="00431CB8">
              <w:rPr>
                <w:webHidden/>
              </w:rPr>
              <w:fldChar w:fldCharType="separate"/>
            </w:r>
            <w:r w:rsidR="00B226F2">
              <w:rPr>
                <w:webHidden/>
              </w:rPr>
              <w:t>12</w:t>
            </w:r>
            <w:r w:rsidR="00431CB8">
              <w:rPr>
                <w:webHidden/>
              </w:rPr>
              <w:fldChar w:fldCharType="end"/>
            </w:r>
          </w:hyperlink>
        </w:p>
        <w:p w14:paraId="70CB4081" w14:textId="3F549856" w:rsidR="00431CB8" w:rsidRDefault="00CE657A">
          <w:pPr>
            <w:pStyle w:val="TOC2"/>
            <w:tabs>
              <w:tab w:val="left" w:pos="1100"/>
            </w:tabs>
            <w:rPr>
              <w:rFonts w:eastAsiaTheme="minorEastAsia"/>
              <w:kern w:val="2"/>
              <w:lang w:eastAsia="en-AU"/>
              <w14:ligatures w14:val="standardContextual"/>
            </w:rPr>
          </w:pPr>
          <w:hyperlink w:anchor="_Toc146872820" w:history="1">
            <w:r w:rsidR="00431CB8" w:rsidRPr="002C2AD9">
              <w:rPr>
                <w:rStyle w:val="Hyperlink"/>
              </w:rPr>
              <w:t>3.7</w:t>
            </w:r>
            <w:r w:rsidR="00431CB8">
              <w:rPr>
                <w:rFonts w:eastAsiaTheme="minorEastAsia"/>
                <w:kern w:val="2"/>
                <w:lang w:eastAsia="en-AU"/>
                <w14:ligatures w14:val="standardContextual"/>
              </w:rPr>
              <w:tab/>
            </w:r>
            <w:r w:rsidR="00431CB8" w:rsidRPr="002C2AD9">
              <w:rPr>
                <w:rStyle w:val="Hyperlink"/>
              </w:rPr>
              <w:t>Supplementary approach and ‘first-of-kind’ products</w:t>
            </w:r>
            <w:r w:rsidR="00431CB8">
              <w:rPr>
                <w:webHidden/>
              </w:rPr>
              <w:tab/>
            </w:r>
            <w:r w:rsidR="00431CB8">
              <w:rPr>
                <w:webHidden/>
              </w:rPr>
              <w:fldChar w:fldCharType="begin"/>
            </w:r>
            <w:r w:rsidR="00431CB8">
              <w:rPr>
                <w:webHidden/>
              </w:rPr>
              <w:instrText xml:space="preserve"> PAGEREF _Toc146872820 \h </w:instrText>
            </w:r>
            <w:r w:rsidR="00431CB8">
              <w:rPr>
                <w:webHidden/>
              </w:rPr>
            </w:r>
            <w:r w:rsidR="00431CB8">
              <w:rPr>
                <w:webHidden/>
              </w:rPr>
              <w:fldChar w:fldCharType="separate"/>
            </w:r>
            <w:r w:rsidR="00B226F2">
              <w:rPr>
                <w:webHidden/>
              </w:rPr>
              <w:t>12</w:t>
            </w:r>
            <w:r w:rsidR="00431CB8">
              <w:rPr>
                <w:webHidden/>
              </w:rPr>
              <w:fldChar w:fldCharType="end"/>
            </w:r>
          </w:hyperlink>
        </w:p>
        <w:p w14:paraId="40768C39" w14:textId="5C8AE7BF" w:rsidR="00431CB8" w:rsidRDefault="00CE657A">
          <w:pPr>
            <w:pStyle w:val="TOC1"/>
            <w:rPr>
              <w:rFonts w:eastAsiaTheme="minorEastAsia"/>
              <w:b w:val="0"/>
              <w:kern w:val="2"/>
              <w:lang w:eastAsia="en-AU"/>
              <w14:ligatures w14:val="standardContextual"/>
            </w:rPr>
          </w:pPr>
          <w:hyperlink w:anchor="_Toc146872821" w:history="1">
            <w:r w:rsidR="00431CB8" w:rsidRPr="002C2AD9">
              <w:rPr>
                <w:rStyle w:val="Hyperlink"/>
              </w:rPr>
              <w:t>4</w:t>
            </w:r>
            <w:r w:rsidR="00431CB8">
              <w:rPr>
                <w:rFonts w:eastAsiaTheme="minorEastAsia"/>
                <w:b w:val="0"/>
                <w:kern w:val="2"/>
                <w:lang w:eastAsia="en-AU"/>
                <w14:ligatures w14:val="standardContextual"/>
              </w:rPr>
              <w:tab/>
            </w:r>
            <w:r w:rsidR="00431CB8" w:rsidRPr="002C2AD9">
              <w:rPr>
                <w:rStyle w:val="Hyperlink"/>
              </w:rPr>
              <w:t>Process for setting benchmarks</w:t>
            </w:r>
            <w:r w:rsidR="00431CB8">
              <w:rPr>
                <w:webHidden/>
              </w:rPr>
              <w:tab/>
            </w:r>
            <w:r w:rsidR="00431CB8">
              <w:rPr>
                <w:webHidden/>
              </w:rPr>
              <w:fldChar w:fldCharType="begin"/>
            </w:r>
            <w:r w:rsidR="00431CB8">
              <w:rPr>
                <w:webHidden/>
              </w:rPr>
              <w:instrText xml:space="preserve"> PAGEREF _Toc146872821 \h </w:instrText>
            </w:r>
            <w:r w:rsidR="00431CB8">
              <w:rPr>
                <w:webHidden/>
              </w:rPr>
            </w:r>
            <w:r w:rsidR="00431CB8">
              <w:rPr>
                <w:webHidden/>
              </w:rPr>
              <w:fldChar w:fldCharType="separate"/>
            </w:r>
            <w:r w:rsidR="00B226F2">
              <w:rPr>
                <w:webHidden/>
              </w:rPr>
              <w:t>13</w:t>
            </w:r>
            <w:r w:rsidR="00431CB8">
              <w:rPr>
                <w:webHidden/>
              </w:rPr>
              <w:fldChar w:fldCharType="end"/>
            </w:r>
          </w:hyperlink>
        </w:p>
        <w:p w14:paraId="1EEE4E2F" w14:textId="311586F7" w:rsidR="00431CB8" w:rsidRDefault="00CE657A">
          <w:pPr>
            <w:pStyle w:val="TOC2"/>
            <w:tabs>
              <w:tab w:val="left" w:pos="1100"/>
            </w:tabs>
            <w:rPr>
              <w:rFonts w:eastAsiaTheme="minorEastAsia"/>
              <w:kern w:val="2"/>
              <w:lang w:eastAsia="en-AU"/>
              <w14:ligatures w14:val="standardContextual"/>
            </w:rPr>
          </w:pPr>
          <w:hyperlink w:anchor="_Toc146872822" w:history="1">
            <w:r w:rsidR="00431CB8" w:rsidRPr="002C2AD9">
              <w:rPr>
                <w:rStyle w:val="Hyperlink"/>
              </w:rPr>
              <w:t>4.1</w:t>
            </w:r>
            <w:r w:rsidR="00431CB8">
              <w:rPr>
                <w:rFonts w:eastAsiaTheme="minorEastAsia"/>
                <w:kern w:val="2"/>
                <w:lang w:eastAsia="en-AU"/>
                <w14:ligatures w14:val="standardContextual"/>
              </w:rPr>
              <w:tab/>
            </w:r>
            <w:r w:rsidR="00431CB8" w:rsidRPr="002C2AD9">
              <w:rPr>
                <w:rStyle w:val="Hyperlink"/>
              </w:rPr>
              <w:t>Timing</w:t>
            </w:r>
            <w:r w:rsidR="00431CB8">
              <w:rPr>
                <w:webHidden/>
              </w:rPr>
              <w:tab/>
            </w:r>
            <w:r w:rsidR="00431CB8">
              <w:rPr>
                <w:webHidden/>
              </w:rPr>
              <w:fldChar w:fldCharType="begin"/>
            </w:r>
            <w:r w:rsidR="00431CB8">
              <w:rPr>
                <w:webHidden/>
              </w:rPr>
              <w:instrText xml:space="preserve"> PAGEREF _Toc146872822 \h </w:instrText>
            </w:r>
            <w:r w:rsidR="00431CB8">
              <w:rPr>
                <w:webHidden/>
              </w:rPr>
            </w:r>
            <w:r w:rsidR="00431CB8">
              <w:rPr>
                <w:webHidden/>
              </w:rPr>
              <w:fldChar w:fldCharType="separate"/>
            </w:r>
            <w:r w:rsidR="00B226F2">
              <w:rPr>
                <w:webHidden/>
              </w:rPr>
              <w:t>14</w:t>
            </w:r>
            <w:r w:rsidR="00431CB8">
              <w:rPr>
                <w:webHidden/>
              </w:rPr>
              <w:fldChar w:fldCharType="end"/>
            </w:r>
          </w:hyperlink>
        </w:p>
        <w:p w14:paraId="27018576" w14:textId="6E405F82" w:rsidR="00764D6A" w:rsidRPr="00490529" w:rsidRDefault="00E91D72">
          <w:pPr>
            <w:rPr>
              <w:sz w:val="24"/>
              <w:szCs w:val="24"/>
            </w:rPr>
          </w:pPr>
          <w:r w:rsidRPr="00490529">
            <w:rPr>
              <w:b/>
              <w:noProof/>
              <w:sz w:val="24"/>
              <w:szCs w:val="24"/>
            </w:rPr>
            <w:fldChar w:fldCharType="end"/>
          </w:r>
        </w:p>
      </w:sdtContent>
    </w:sdt>
    <w:p w14:paraId="4978AE08" w14:textId="77777777" w:rsidR="00F85392" w:rsidRDefault="00F85392">
      <w:pPr>
        <w:spacing w:after="0" w:line="240" w:lineRule="auto"/>
        <w:rPr>
          <w:sz w:val="24"/>
          <w:szCs w:val="24"/>
        </w:rPr>
      </w:pPr>
      <w:r w:rsidRPr="00490529">
        <w:rPr>
          <w:sz w:val="24"/>
          <w:szCs w:val="24"/>
        </w:rPr>
        <w:br w:type="page"/>
      </w:r>
    </w:p>
    <w:p w14:paraId="521C111D" w14:textId="3004F6B1" w:rsidR="009A7AEB" w:rsidRPr="007F3DAE" w:rsidRDefault="009A7AEB" w:rsidP="002505F6">
      <w:pPr>
        <w:pStyle w:val="Heading2"/>
      </w:pPr>
      <w:bookmarkStart w:id="0" w:name="_Toc146872806"/>
      <w:r w:rsidRPr="007F3DAE">
        <w:lastRenderedPageBreak/>
        <w:t>International best practice benchmarks</w:t>
      </w:r>
      <w:bookmarkEnd w:id="0"/>
    </w:p>
    <w:p w14:paraId="41922EBC" w14:textId="45071E15" w:rsidR="00D127CA" w:rsidRDefault="00D127CA" w:rsidP="00D127CA">
      <w:pPr>
        <w:rPr>
          <w:sz w:val="24"/>
          <w:szCs w:val="24"/>
          <w:lang w:eastAsia="ja-JP"/>
        </w:rPr>
      </w:pPr>
      <w:r w:rsidRPr="00490529">
        <w:rPr>
          <w:sz w:val="24"/>
          <w:szCs w:val="24"/>
          <w:lang w:eastAsia="ja-JP"/>
        </w:rPr>
        <w:t xml:space="preserve">New facilities </w:t>
      </w:r>
      <w:proofErr w:type="gramStart"/>
      <w:r w:rsidRPr="00490529">
        <w:rPr>
          <w:sz w:val="24"/>
          <w:szCs w:val="24"/>
          <w:lang w:eastAsia="ja-JP"/>
        </w:rPr>
        <w:t>have the opportunity to</w:t>
      </w:r>
      <w:proofErr w:type="gramEnd"/>
      <w:r w:rsidRPr="00490529">
        <w:rPr>
          <w:sz w:val="24"/>
          <w:szCs w:val="24"/>
          <w:lang w:eastAsia="ja-JP"/>
        </w:rPr>
        <w:t xml:space="preserve"> use the latest technology and build world’s best practice emissions performance into their design. As part of the reforms to the Safeguard Mechanism, the Government decided new facility baselines </w:t>
      </w:r>
      <w:r w:rsidR="00BF71E7" w:rsidRPr="00490529">
        <w:rPr>
          <w:sz w:val="24"/>
          <w:szCs w:val="24"/>
          <w:lang w:eastAsia="ja-JP"/>
        </w:rPr>
        <w:t xml:space="preserve">(emissions limits) </w:t>
      </w:r>
      <w:r w:rsidRPr="00490529">
        <w:rPr>
          <w:sz w:val="24"/>
          <w:szCs w:val="24"/>
          <w:lang w:eastAsia="ja-JP"/>
        </w:rPr>
        <w:t xml:space="preserve">will be set at </w:t>
      </w:r>
      <w:r w:rsidRPr="00030DEC">
        <w:rPr>
          <w:bCs/>
          <w:sz w:val="24"/>
          <w:szCs w:val="24"/>
          <w:lang w:eastAsia="ja-JP"/>
        </w:rPr>
        <w:t>international best practice</w:t>
      </w:r>
      <w:r w:rsidRPr="00490529">
        <w:rPr>
          <w:b/>
          <w:sz w:val="24"/>
          <w:szCs w:val="24"/>
          <w:lang w:eastAsia="ja-JP"/>
        </w:rPr>
        <w:t>,</w:t>
      </w:r>
      <w:r w:rsidRPr="00490529">
        <w:rPr>
          <w:sz w:val="24"/>
          <w:szCs w:val="24"/>
          <w:lang w:eastAsia="ja-JP"/>
        </w:rPr>
        <w:t xml:space="preserve"> adapted for an Australian context. This sends a strong signal to investors that Australia is serious about net zero, and new investments must support this goal. </w:t>
      </w:r>
    </w:p>
    <w:p w14:paraId="1C769374" w14:textId="151BFB35" w:rsidR="00B11179" w:rsidRDefault="00B11179" w:rsidP="00D127CA">
      <w:pPr>
        <w:rPr>
          <w:sz w:val="24"/>
          <w:szCs w:val="24"/>
          <w:lang w:eastAsia="ja-JP"/>
        </w:rPr>
      </w:pPr>
      <w:r w:rsidRPr="00490529">
        <w:rPr>
          <w:sz w:val="24"/>
          <w:szCs w:val="24"/>
          <w:lang w:eastAsia="ja-JP"/>
        </w:rPr>
        <w:t xml:space="preserve">The reforms to the Safeguard Mechanism will reduce emissions at Australia’s largest industrial facilities. The reforms apply a </w:t>
      </w:r>
      <w:r w:rsidR="009E2302" w:rsidRPr="00490529">
        <w:rPr>
          <w:sz w:val="24"/>
          <w:szCs w:val="24"/>
          <w:lang w:eastAsia="ja-JP"/>
        </w:rPr>
        <w:t xml:space="preserve">4.9 per cent </w:t>
      </w:r>
      <w:r w:rsidRPr="00490529">
        <w:rPr>
          <w:sz w:val="24"/>
          <w:szCs w:val="24"/>
          <w:lang w:eastAsia="ja-JP"/>
        </w:rPr>
        <w:t>decline rate to facilities’ baselines</w:t>
      </w:r>
      <w:r w:rsidR="001222C9" w:rsidRPr="00490529">
        <w:rPr>
          <w:sz w:val="24"/>
          <w:szCs w:val="24"/>
          <w:lang w:eastAsia="ja-JP"/>
        </w:rPr>
        <w:t>,</w:t>
      </w:r>
      <w:r w:rsidRPr="00490529">
        <w:rPr>
          <w:sz w:val="24"/>
          <w:szCs w:val="24"/>
          <w:lang w:eastAsia="ja-JP"/>
        </w:rPr>
        <w:t xml:space="preserve"> so they are reduced predictably and gradually over time on a trajectory consistent with achieving Australia’s emission reduction targets of 43% below 2005 levels by 2030 and net zero by 2050.</w:t>
      </w:r>
      <w:r w:rsidR="007B4917">
        <w:rPr>
          <w:sz w:val="24"/>
          <w:szCs w:val="24"/>
          <w:lang w:eastAsia="ja-JP"/>
        </w:rPr>
        <w:t xml:space="preserve">  </w:t>
      </w:r>
    </w:p>
    <w:p w14:paraId="7AB59031" w14:textId="4D156F98" w:rsidR="00544D75" w:rsidRPr="00490529" w:rsidRDefault="007A7E81" w:rsidP="0069161E">
      <w:pPr>
        <w:rPr>
          <w:sz w:val="24"/>
          <w:szCs w:val="24"/>
        </w:rPr>
      </w:pPr>
      <w:r w:rsidRPr="00490529">
        <w:rPr>
          <w:sz w:val="24"/>
          <w:szCs w:val="24"/>
        </w:rPr>
        <w:t xml:space="preserve">The reformed Safeguard Mechanism </w:t>
      </w:r>
      <w:r w:rsidR="006556A0" w:rsidRPr="00490529">
        <w:rPr>
          <w:sz w:val="24"/>
          <w:szCs w:val="24"/>
        </w:rPr>
        <w:t>commenced on</w:t>
      </w:r>
      <w:r w:rsidRPr="00490529">
        <w:rPr>
          <w:sz w:val="24"/>
          <w:szCs w:val="24"/>
        </w:rPr>
        <w:t xml:space="preserve"> 1 July 2023 and legislative rules were registered on 5 May 2023.</w:t>
      </w:r>
      <w:r w:rsidR="00FB62FC" w:rsidRPr="00490529">
        <w:rPr>
          <w:sz w:val="24"/>
          <w:szCs w:val="24"/>
        </w:rPr>
        <w:t xml:space="preserve"> Th</w:t>
      </w:r>
      <w:r w:rsidR="00931F9A" w:rsidRPr="00490529">
        <w:rPr>
          <w:sz w:val="24"/>
          <w:szCs w:val="24"/>
        </w:rPr>
        <w:t xml:space="preserve">is includes the </w:t>
      </w:r>
      <w:r w:rsidR="00931F9A" w:rsidRPr="00490529">
        <w:rPr>
          <w:i/>
          <w:iCs/>
          <w:sz w:val="24"/>
          <w:szCs w:val="24"/>
        </w:rPr>
        <w:t>National Greenhouse and Energy Reporting (Safeguard Mechanism) Amendment (Reforms) Rules 2023</w:t>
      </w:r>
      <w:r w:rsidR="00326A35" w:rsidRPr="00490529">
        <w:rPr>
          <w:sz w:val="24"/>
          <w:szCs w:val="24"/>
        </w:rPr>
        <w:t xml:space="preserve">, which update the </w:t>
      </w:r>
      <w:r w:rsidR="00326A35" w:rsidRPr="00490529">
        <w:rPr>
          <w:i/>
          <w:iCs/>
          <w:sz w:val="24"/>
          <w:szCs w:val="24"/>
        </w:rPr>
        <w:t>National Greenhouse and Energy Reporting (Safeguard Mechanism) Rule 2015</w:t>
      </w:r>
      <w:r w:rsidR="00326A35" w:rsidRPr="00490529">
        <w:rPr>
          <w:sz w:val="24"/>
          <w:szCs w:val="24"/>
        </w:rPr>
        <w:t xml:space="preserve"> (the Safeguard Rules).</w:t>
      </w:r>
      <w:r w:rsidR="008C19BD" w:rsidRPr="00490529">
        <w:rPr>
          <w:sz w:val="24"/>
          <w:szCs w:val="24"/>
        </w:rPr>
        <w:t xml:space="preserve"> </w:t>
      </w:r>
    </w:p>
    <w:p w14:paraId="4A4B945E" w14:textId="77777777" w:rsidR="00D127CA" w:rsidRPr="00490529" w:rsidRDefault="00D127CA" w:rsidP="00D127CA">
      <w:pPr>
        <w:rPr>
          <w:sz w:val="24"/>
          <w:szCs w:val="24"/>
          <w:lang w:eastAsia="ja-JP"/>
        </w:rPr>
      </w:pPr>
      <w:r w:rsidRPr="00490529">
        <w:rPr>
          <w:sz w:val="24"/>
          <w:szCs w:val="24"/>
          <w:lang w:eastAsia="ja-JP"/>
        </w:rPr>
        <w:t>Some details for new facilities were settled during the Safeguard reforms:</w:t>
      </w:r>
    </w:p>
    <w:p w14:paraId="08DA2F1A" w14:textId="6536C43B" w:rsidR="00097663" w:rsidRPr="00490529" w:rsidRDefault="00D127CA" w:rsidP="0069161E">
      <w:pPr>
        <w:pStyle w:val="ListParagraph"/>
        <w:numPr>
          <w:ilvl w:val="0"/>
          <w:numId w:val="11"/>
        </w:numPr>
        <w:spacing w:before="0" w:after="180" w:line="276" w:lineRule="auto"/>
        <w:ind w:left="425" w:hanging="425"/>
        <w:rPr>
          <w:sz w:val="24"/>
          <w:szCs w:val="24"/>
        </w:rPr>
      </w:pPr>
      <w:r w:rsidRPr="00490529">
        <w:rPr>
          <w:sz w:val="24"/>
          <w:szCs w:val="24"/>
        </w:rPr>
        <w:t>For new gas fields supplying liquefied natural gas activities, the best practice</w:t>
      </w:r>
      <w:r w:rsidR="00C357B1">
        <w:rPr>
          <w:sz w:val="24"/>
          <w:szCs w:val="24"/>
        </w:rPr>
        <w:t xml:space="preserve"> benchmark</w:t>
      </w:r>
      <w:r w:rsidRPr="00490529">
        <w:rPr>
          <w:sz w:val="24"/>
          <w:szCs w:val="24"/>
        </w:rPr>
        <w:t xml:space="preserve"> is zero for reservoir carbon dioxide (CO</w:t>
      </w:r>
      <w:r w:rsidRPr="00490529">
        <w:rPr>
          <w:sz w:val="24"/>
          <w:szCs w:val="24"/>
          <w:vertAlign w:val="subscript"/>
        </w:rPr>
        <w:t>2</w:t>
      </w:r>
      <w:r w:rsidRPr="00490529">
        <w:rPr>
          <w:sz w:val="24"/>
          <w:szCs w:val="24"/>
        </w:rPr>
        <w:t>) emissions</w:t>
      </w:r>
      <w:r w:rsidRPr="00490529">
        <w:rPr>
          <w:rStyle w:val="FootnoteReference"/>
          <w:sz w:val="24"/>
          <w:szCs w:val="24"/>
        </w:rPr>
        <w:footnoteReference w:id="2"/>
      </w:r>
      <w:r w:rsidRPr="00490529">
        <w:rPr>
          <w:sz w:val="24"/>
          <w:szCs w:val="24"/>
        </w:rPr>
        <w:t>. This reflects there are gas fields with negligible levels of reservoir CO</w:t>
      </w:r>
      <w:r w:rsidRPr="00490529">
        <w:rPr>
          <w:sz w:val="24"/>
          <w:szCs w:val="24"/>
          <w:vertAlign w:val="subscript"/>
        </w:rPr>
        <w:t>2</w:t>
      </w:r>
      <w:r w:rsidR="00D4253C" w:rsidRPr="00490529">
        <w:rPr>
          <w:sz w:val="24"/>
          <w:szCs w:val="24"/>
        </w:rPr>
        <w:t xml:space="preserve">, and opportunities </w:t>
      </w:r>
      <w:r w:rsidR="005C6458" w:rsidRPr="00490529">
        <w:rPr>
          <w:sz w:val="24"/>
          <w:szCs w:val="24"/>
        </w:rPr>
        <w:t>for carbon capture and storage</w:t>
      </w:r>
      <w:r w:rsidR="00B206E3" w:rsidRPr="00490529">
        <w:rPr>
          <w:sz w:val="24"/>
          <w:szCs w:val="24"/>
        </w:rPr>
        <w:t>.</w:t>
      </w:r>
    </w:p>
    <w:p w14:paraId="2F821FA2" w14:textId="09F52FA1" w:rsidR="00D127CA" w:rsidRPr="00490529" w:rsidRDefault="00D127CA" w:rsidP="0069161E">
      <w:pPr>
        <w:pStyle w:val="ListParagraph"/>
        <w:numPr>
          <w:ilvl w:val="0"/>
          <w:numId w:val="11"/>
        </w:numPr>
        <w:spacing w:before="0" w:after="180" w:line="276" w:lineRule="auto"/>
        <w:ind w:left="425" w:hanging="425"/>
        <w:rPr>
          <w:sz w:val="24"/>
          <w:szCs w:val="24"/>
        </w:rPr>
      </w:pPr>
      <w:r w:rsidRPr="00490529">
        <w:rPr>
          <w:sz w:val="24"/>
          <w:szCs w:val="24"/>
        </w:rPr>
        <w:t xml:space="preserve">New shale gas </w:t>
      </w:r>
      <w:r w:rsidRPr="00030DEC">
        <w:rPr>
          <w:sz w:val="24"/>
          <w:szCs w:val="24"/>
        </w:rPr>
        <w:t>projects</w:t>
      </w:r>
      <w:r w:rsidR="000A7F1C" w:rsidRPr="00030DEC">
        <w:rPr>
          <w:sz w:val="24"/>
          <w:szCs w:val="24"/>
        </w:rPr>
        <w:t xml:space="preserve"> </w:t>
      </w:r>
      <w:r w:rsidRPr="00490529">
        <w:rPr>
          <w:sz w:val="24"/>
          <w:szCs w:val="24"/>
        </w:rPr>
        <w:t>will have a zero baseline</w:t>
      </w:r>
      <w:r w:rsidRPr="00490529">
        <w:rPr>
          <w:rStyle w:val="FootnoteReference"/>
          <w:sz w:val="24"/>
          <w:szCs w:val="24"/>
        </w:rPr>
        <w:footnoteReference w:id="3"/>
      </w:r>
      <w:r w:rsidRPr="00490529">
        <w:rPr>
          <w:sz w:val="24"/>
          <w:szCs w:val="24"/>
        </w:rPr>
        <w:t>.</w:t>
      </w:r>
    </w:p>
    <w:p w14:paraId="2E04439F" w14:textId="79A346CC" w:rsidR="00D127CA" w:rsidRPr="00533063" w:rsidRDefault="00D127CA" w:rsidP="0069161E">
      <w:pPr>
        <w:pStyle w:val="ListParagraph"/>
        <w:numPr>
          <w:ilvl w:val="0"/>
          <w:numId w:val="11"/>
        </w:numPr>
        <w:spacing w:before="0" w:after="180" w:line="276" w:lineRule="auto"/>
        <w:ind w:left="425" w:hanging="425"/>
        <w:rPr>
          <w:rStyle w:val="normaltextrun"/>
          <w:sz w:val="24"/>
          <w:szCs w:val="24"/>
        </w:rPr>
      </w:pPr>
      <w:r w:rsidRPr="00490529">
        <w:rPr>
          <w:sz w:val="24"/>
          <w:szCs w:val="24"/>
        </w:rPr>
        <w:t xml:space="preserve">When setting the international best practice benchmark for the fossil fuel sectors, the Government </w:t>
      </w:r>
      <w:r w:rsidRPr="00490529">
        <w:rPr>
          <w:rStyle w:val="normaltextrun"/>
          <w:sz w:val="24"/>
          <w:szCs w:val="24"/>
          <w:shd w:val="clear" w:color="auto" w:fill="FFFFFF"/>
        </w:rPr>
        <w:t xml:space="preserve">will consider emerging international standards on methane emissions, such as the </w:t>
      </w:r>
      <w:hyperlink r:id="rId11" w:history="1">
        <w:proofErr w:type="spellStart"/>
        <w:r w:rsidRPr="00490529">
          <w:rPr>
            <w:rStyle w:val="Hyperlink"/>
            <w:sz w:val="24"/>
            <w:szCs w:val="24"/>
          </w:rPr>
          <w:t>Metcoal</w:t>
        </w:r>
        <w:proofErr w:type="spellEnd"/>
        <w:r w:rsidRPr="00490529">
          <w:rPr>
            <w:rStyle w:val="Hyperlink"/>
            <w:sz w:val="24"/>
            <w:szCs w:val="24"/>
          </w:rPr>
          <w:t xml:space="preserve"> Methane Partnership</w:t>
        </w:r>
      </w:hyperlink>
      <w:r w:rsidRPr="00490529">
        <w:rPr>
          <w:sz w:val="24"/>
          <w:szCs w:val="24"/>
        </w:rPr>
        <w:t xml:space="preserve"> </w:t>
      </w:r>
      <w:r w:rsidRPr="00490529">
        <w:rPr>
          <w:rStyle w:val="normaltextrun"/>
          <w:sz w:val="24"/>
          <w:szCs w:val="24"/>
          <w:shd w:val="clear" w:color="auto" w:fill="FFFFFF"/>
        </w:rPr>
        <w:t xml:space="preserve">and </w:t>
      </w:r>
      <w:hyperlink r:id="rId12" w:history="1">
        <w:r w:rsidRPr="00490529">
          <w:rPr>
            <w:rStyle w:val="Hyperlink"/>
            <w:sz w:val="24"/>
            <w:szCs w:val="24"/>
            <w:shd w:val="clear" w:color="auto" w:fill="FFFFFF"/>
          </w:rPr>
          <w:t>Oil and Gas Methane Partnership 2.0</w:t>
        </w:r>
      </w:hyperlink>
      <w:r w:rsidR="004A67A9" w:rsidRPr="00490529">
        <w:rPr>
          <w:rStyle w:val="normaltextrun"/>
          <w:sz w:val="24"/>
          <w:szCs w:val="24"/>
          <w:shd w:val="clear" w:color="auto" w:fill="FFFFFF"/>
        </w:rPr>
        <w:t>, as well as data from Australian facilities that may exceed those standards</w:t>
      </w:r>
      <w:r w:rsidR="006556A0" w:rsidRPr="00490529">
        <w:rPr>
          <w:rStyle w:val="normaltextrun"/>
          <w:sz w:val="24"/>
          <w:szCs w:val="24"/>
          <w:shd w:val="clear" w:color="auto" w:fill="FFFFFF"/>
        </w:rPr>
        <w:t>.</w:t>
      </w:r>
    </w:p>
    <w:p w14:paraId="158FED2B" w14:textId="184CAFA3" w:rsidR="00533063" w:rsidRPr="00533063" w:rsidRDefault="00533063" w:rsidP="00533063">
      <w:pPr>
        <w:rPr>
          <w:sz w:val="24"/>
          <w:szCs w:val="24"/>
          <w:lang w:eastAsia="ja-JP"/>
        </w:rPr>
      </w:pPr>
      <w:r w:rsidRPr="00533063">
        <w:rPr>
          <w:sz w:val="24"/>
          <w:szCs w:val="24"/>
          <w:lang w:eastAsia="ja-JP"/>
        </w:rPr>
        <w:t xml:space="preserve">International best practice benchmarks are not a performance standard or regulated performance outcome. They do not mandate a particular facility design or technology. </w:t>
      </w:r>
      <w:r w:rsidR="00A56345">
        <w:rPr>
          <w:sz w:val="24"/>
          <w:szCs w:val="24"/>
          <w:lang w:eastAsia="ja-JP"/>
        </w:rPr>
        <w:t>Nor do t</w:t>
      </w:r>
      <w:r w:rsidR="00C22F70">
        <w:rPr>
          <w:sz w:val="24"/>
          <w:szCs w:val="24"/>
          <w:lang w:eastAsia="ja-JP"/>
        </w:rPr>
        <w:t xml:space="preserve">hey </w:t>
      </w:r>
      <w:r w:rsidR="00A56345">
        <w:rPr>
          <w:sz w:val="24"/>
          <w:szCs w:val="24"/>
          <w:lang w:eastAsia="ja-JP"/>
        </w:rPr>
        <w:t>reflect</w:t>
      </w:r>
      <w:r w:rsidR="00C22F70">
        <w:rPr>
          <w:sz w:val="24"/>
          <w:szCs w:val="24"/>
          <w:lang w:eastAsia="ja-JP"/>
        </w:rPr>
        <w:t xml:space="preserve"> the embedded emissions </w:t>
      </w:r>
      <w:r w:rsidR="00A56345">
        <w:rPr>
          <w:sz w:val="24"/>
          <w:szCs w:val="24"/>
          <w:lang w:eastAsia="ja-JP"/>
        </w:rPr>
        <w:t xml:space="preserve">of a product. </w:t>
      </w:r>
      <w:r w:rsidRPr="00533063">
        <w:rPr>
          <w:sz w:val="24"/>
          <w:szCs w:val="24"/>
          <w:lang w:eastAsia="ja-JP"/>
        </w:rPr>
        <w:t>Instead, they represent a mechanism for setting emissions limits (baselines) which can be met in a variety of ways. Facilities that perform better than the benchmark can generate credits that can be sold to other Safeguard Mechanism facilities. Facilities with emissions above the benchmark can make up the difference by</w:t>
      </w:r>
      <w:r w:rsidR="000655C4">
        <w:rPr>
          <w:sz w:val="24"/>
          <w:szCs w:val="24"/>
          <w:lang w:eastAsia="ja-JP"/>
        </w:rPr>
        <w:t>, for example,</w:t>
      </w:r>
      <w:r w:rsidRPr="00533063">
        <w:rPr>
          <w:sz w:val="24"/>
          <w:szCs w:val="24"/>
          <w:lang w:eastAsia="ja-JP"/>
        </w:rPr>
        <w:t xml:space="preserve"> purchasing credits from another Safeguard facility that has </w:t>
      </w:r>
      <w:r w:rsidRPr="00533063">
        <w:rPr>
          <w:sz w:val="24"/>
          <w:szCs w:val="24"/>
          <w:lang w:eastAsia="ja-JP"/>
        </w:rPr>
        <w:lastRenderedPageBreak/>
        <w:t>outperformed it</w:t>
      </w:r>
      <w:r w:rsidR="00966C26">
        <w:rPr>
          <w:sz w:val="24"/>
          <w:szCs w:val="24"/>
          <w:lang w:eastAsia="ja-JP"/>
        </w:rPr>
        <w:t>s</w:t>
      </w:r>
      <w:r w:rsidRPr="00533063">
        <w:rPr>
          <w:sz w:val="24"/>
          <w:szCs w:val="24"/>
          <w:lang w:eastAsia="ja-JP"/>
        </w:rPr>
        <w:t xml:space="preserve"> baseline. By finding the lowest cost emissions reduction opportunities among Safeguard facilities, this helps Australia to meet its emissions reduction targets at least cost to the economy. </w:t>
      </w:r>
    </w:p>
    <w:p w14:paraId="677A6826" w14:textId="1861DE79" w:rsidR="003F24B3" w:rsidRPr="007F3DAE" w:rsidRDefault="004A48D6" w:rsidP="00997F75">
      <w:pPr>
        <w:pStyle w:val="Heading2"/>
      </w:pPr>
      <w:bookmarkStart w:id="1" w:name="_Toc146872807"/>
      <w:r w:rsidRPr="007F3DAE">
        <w:t>When will</w:t>
      </w:r>
      <w:r w:rsidR="003F24B3" w:rsidRPr="007F3DAE">
        <w:t xml:space="preserve"> international best practice apply?</w:t>
      </w:r>
      <w:bookmarkEnd w:id="1"/>
    </w:p>
    <w:p w14:paraId="257CBB91" w14:textId="01B7C363" w:rsidR="003F24B3" w:rsidRPr="00490529" w:rsidRDefault="00A10C64" w:rsidP="002505F6">
      <w:pPr>
        <w:keepNext/>
        <w:keepLines/>
        <w:rPr>
          <w:i/>
          <w:iCs/>
          <w:sz w:val="24"/>
          <w:szCs w:val="24"/>
          <w:lang w:eastAsia="ja-JP"/>
        </w:rPr>
      </w:pPr>
      <w:r w:rsidRPr="00490529">
        <w:rPr>
          <w:i/>
          <w:iCs/>
          <w:sz w:val="24"/>
          <w:szCs w:val="24"/>
          <w:lang w:eastAsia="ja-JP"/>
        </w:rPr>
        <w:t>International best practice will apply to</w:t>
      </w:r>
      <w:r w:rsidR="00E036DD" w:rsidRPr="00490529">
        <w:rPr>
          <w:i/>
          <w:iCs/>
          <w:sz w:val="24"/>
          <w:szCs w:val="24"/>
          <w:lang w:eastAsia="ja-JP"/>
        </w:rPr>
        <w:t xml:space="preserve"> new facilities and new products at existing facilities from 1 July 2023. </w:t>
      </w:r>
    </w:p>
    <w:p w14:paraId="5A163276" w14:textId="67D0890C" w:rsidR="00C33984" w:rsidRPr="00490529" w:rsidRDefault="009A5FFC" w:rsidP="003F24B3">
      <w:pPr>
        <w:rPr>
          <w:sz w:val="24"/>
          <w:szCs w:val="24"/>
          <w:lang w:eastAsia="ja-JP"/>
        </w:rPr>
      </w:pPr>
      <w:r w:rsidRPr="00490529">
        <w:rPr>
          <w:sz w:val="24"/>
          <w:szCs w:val="24"/>
          <w:lang w:eastAsia="ja-JP"/>
        </w:rPr>
        <w:t xml:space="preserve">International best practice will apply to </w:t>
      </w:r>
      <w:r w:rsidR="00254B77" w:rsidRPr="006C55B5">
        <w:rPr>
          <w:b/>
          <w:bCs/>
          <w:sz w:val="24"/>
          <w:szCs w:val="24"/>
          <w:lang w:eastAsia="ja-JP"/>
        </w:rPr>
        <w:t>new facilities</w:t>
      </w:r>
      <w:r w:rsidR="00254B77" w:rsidRPr="00FF1A59">
        <w:rPr>
          <w:b/>
          <w:bCs/>
          <w:sz w:val="24"/>
          <w:szCs w:val="24"/>
          <w:lang w:eastAsia="ja-JP"/>
        </w:rPr>
        <w:t xml:space="preserve"> </w:t>
      </w:r>
      <w:r w:rsidR="00FB3D5E" w:rsidRPr="004C6211">
        <w:rPr>
          <w:sz w:val="24"/>
          <w:szCs w:val="24"/>
          <w:lang w:eastAsia="ja-JP"/>
        </w:rPr>
        <w:t xml:space="preserve">that are first covered by the Safeguard Mechanism </w:t>
      </w:r>
      <w:r w:rsidR="00CA3C38" w:rsidRPr="004C6211">
        <w:rPr>
          <w:sz w:val="24"/>
          <w:szCs w:val="24"/>
          <w:lang w:eastAsia="ja-JP"/>
        </w:rPr>
        <w:t>after 1</w:t>
      </w:r>
      <w:r w:rsidR="00211D12" w:rsidRPr="004C6211">
        <w:rPr>
          <w:sz w:val="24"/>
          <w:szCs w:val="24"/>
          <w:lang w:eastAsia="ja-JP"/>
        </w:rPr>
        <w:t> </w:t>
      </w:r>
      <w:r w:rsidR="00CA3C38" w:rsidRPr="004C6211">
        <w:rPr>
          <w:sz w:val="24"/>
          <w:szCs w:val="24"/>
          <w:lang w:eastAsia="ja-JP"/>
        </w:rPr>
        <w:t>July</w:t>
      </w:r>
      <w:r w:rsidR="00211D12" w:rsidRPr="004C6211">
        <w:rPr>
          <w:sz w:val="24"/>
          <w:szCs w:val="24"/>
          <w:lang w:eastAsia="ja-JP"/>
        </w:rPr>
        <w:t> </w:t>
      </w:r>
      <w:r w:rsidR="00CA3C38" w:rsidRPr="004C6211">
        <w:rPr>
          <w:sz w:val="24"/>
          <w:szCs w:val="24"/>
          <w:lang w:eastAsia="ja-JP"/>
        </w:rPr>
        <w:t>2023</w:t>
      </w:r>
      <w:r w:rsidR="00CA3C38" w:rsidRPr="00490529">
        <w:rPr>
          <w:sz w:val="24"/>
          <w:szCs w:val="24"/>
          <w:lang w:eastAsia="ja-JP"/>
        </w:rPr>
        <w:t xml:space="preserve">. </w:t>
      </w:r>
      <w:r w:rsidR="002F4A93" w:rsidRPr="00490529">
        <w:rPr>
          <w:sz w:val="24"/>
          <w:szCs w:val="24"/>
          <w:lang w:eastAsia="ja-JP"/>
        </w:rPr>
        <w:t>However, i</w:t>
      </w:r>
      <w:r w:rsidR="00AE642C" w:rsidRPr="00490529">
        <w:rPr>
          <w:sz w:val="24"/>
          <w:szCs w:val="24"/>
          <w:lang w:eastAsia="ja-JP"/>
        </w:rPr>
        <w:t xml:space="preserve">t will not apply to </w:t>
      </w:r>
      <w:r w:rsidR="007970DA" w:rsidRPr="00490529">
        <w:rPr>
          <w:sz w:val="24"/>
          <w:szCs w:val="24"/>
        </w:rPr>
        <w:t xml:space="preserve">facilities that </w:t>
      </w:r>
      <w:r w:rsidR="00363EA0" w:rsidRPr="00490529">
        <w:rPr>
          <w:sz w:val="24"/>
          <w:szCs w:val="24"/>
        </w:rPr>
        <w:t>exceed</w:t>
      </w:r>
      <w:r w:rsidR="007970DA" w:rsidRPr="00490529">
        <w:rPr>
          <w:sz w:val="24"/>
          <w:szCs w:val="24"/>
        </w:rPr>
        <w:t xml:space="preserve"> the</w:t>
      </w:r>
      <w:r w:rsidR="00363EA0" w:rsidRPr="00490529">
        <w:rPr>
          <w:sz w:val="24"/>
          <w:szCs w:val="24"/>
        </w:rPr>
        <w:t xml:space="preserve"> </w:t>
      </w:r>
      <w:proofErr w:type="gramStart"/>
      <w:r w:rsidR="00363EA0" w:rsidRPr="00490529">
        <w:rPr>
          <w:sz w:val="24"/>
          <w:szCs w:val="24"/>
        </w:rPr>
        <w:t>100,000</w:t>
      </w:r>
      <w:r w:rsidR="00211D12">
        <w:rPr>
          <w:sz w:val="24"/>
          <w:szCs w:val="24"/>
        </w:rPr>
        <w:t> tonne</w:t>
      </w:r>
      <w:proofErr w:type="gramEnd"/>
      <w:r w:rsidR="00211D12">
        <w:rPr>
          <w:sz w:val="24"/>
          <w:szCs w:val="24"/>
        </w:rPr>
        <w:t> </w:t>
      </w:r>
      <w:r w:rsidR="00363EA0" w:rsidRPr="00490529">
        <w:rPr>
          <w:sz w:val="24"/>
          <w:szCs w:val="24"/>
        </w:rPr>
        <w:t>coverage</w:t>
      </w:r>
      <w:r w:rsidR="007970DA" w:rsidRPr="00490529">
        <w:rPr>
          <w:sz w:val="24"/>
          <w:szCs w:val="24"/>
        </w:rPr>
        <w:t xml:space="preserve"> threshold after 1</w:t>
      </w:r>
      <w:r w:rsidR="00211D12">
        <w:rPr>
          <w:sz w:val="24"/>
          <w:szCs w:val="24"/>
        </w:rPr>
        <w:t> </w:t>
      </w:r>
      <w:r w:rsidR="007970DA" w:rsidRPr="00490529">
        <w:rPr>
          <w:sz w:val="24"/>
          <w:szCs w:val="24"/>
        </w:rPr>
        <w:t>July</w:t>
      </w:r>
      <w:r w:rsidR="00211D12">
        <w:rPr>
          <w:sz w:val="24"/>
          <w:szCs w:val="24"/>
        </w:rPr>
        <w:t> </w:t>
      </w:r>
      <w:r w:rsidR="007970DA" w:rsidRPr="00490529">
        <w:rPr>
          <w:sz w:val="24"/>
          <w:szCs w:val="24"/>
        </w:rPr>
        <w:t xml:space="preserve">2023 but have been </w:t>
      </w:r>
      <w:r w:rsidR="00C52D3F" w:rsidRPr="00490529">
        <w:rPr>
          <w:sz w:val="24"/>
          <w:szCs w:val="24"/>
        </w:rPr>
        <w:t xml:space="preserve">undertaking commercial </w:t>
      </w:r>
      <w:r w:rsidR="007970DA" w:rsidRPr="00490529">
        <w:rPr>
          <w:sz w:val="24"/>
          <w:szCs w:val="24"/>
        </w:rPr>
        <w:t>operati</w:t>
      </w:r>
      <w:r w:rsidR="00C52D3F" w:rsidRPr="00490529">
        <w:rPr>
          <w:sz w:val="24"/>
          <w:szCs w:val="24"/>
        </w:rPr>
        <w:t>ons</w:t>
      </w:r>
      <w:r w:rsidR="007970DA" w:rsidRPr="00490529">
        <w:rPr>
          <w:sz w:val="24"/>
          <w:szCs w:val="24"/>
        </w:rPr>
        <w:t xml:space="preserve"> and reporting under NGERS for some time</w:t>
      </w:r>
      <w:r w:rsidR="00B432A4" w:rsidRPr="00490529">
        <w:rPr>
          <w:sz w:val="24"/>
          <w:szCs w:val="24"/>
        </w:rPr>
        <w:t>.</w:t>
      </w:r>
      <w:r w:rsidR="00A747AE" w:rsidRPr="00490529">
        <w:rPr>
          <w:sz w:val="24"/>
          <w:szCs w:val="24"/>
        </w:rPr>
        <w:t xml:space="preserve"> </w:t>
      </w:r>
    </w:p>
    <w:p w14:paraId="3EA134C1" w14:textId="40E5BB01" w:rsidR="005432A3" w:rsidRPr="00490529" w:rsidRDefault="004A1526" w:rsidP="003F24B3">
      <w:pPr>
        <w:rPr>
          <w:sz w:val="24"/>
          <w:szCs w:val="24"/>
          <w:lang w:eastAsia="ja-JP"/>
        </w:rPr>
      </w:pPr>
      <w:r w:rsidRPr="00490529">
        <w:rPr>
          <w:sz w:val="24"/>
          <w:szCs w:val="24"/>
          <w:lang w:eastAsia="ja-JP"/>
        </w:rPr>
        <w:t>I</w:t>
      </w:r>
      <w:r w:rsidR="003F24B3" w:rsidRPr="00490529">
        <w:rPr>
          <w:sz w:val="24"/>
          <w:szCs w:val="24"/>
          <w:lang w:eastAsia="ja-JP"/>
        </w:rPr>
        <w:t xml:space="preserve">nternational best practice will </w:t>
      </w:r>
      <w:r w:rsidRPr="00490529">
        <w:rPr>
          <w:sz w:val="24"/>
          <w:szCs w:val="24"/>
          <w:lang w:eastAsia="ja-JP"/>
        </w:rPr>
        <w:t xml:space="preserve">also </w:t>
      </w:r>
      <w:r w:rsidR="003F24B3" w:rsidRPr="00490529">
        <w:rPr>
          <w:sz w:val="24"/>
          <w:szCs w:val="24"/>
          <w:lang w:eastAsia="ja-JP"/>
        </w:rPr>
        <w:t xml:space="preserve">apply </w:t>
      </w:r>
      <w:r w:rsidR="00E5061A">
        <w:rPr>
          <w:sz w:val="24"/>
          <w:szCs w:val="24"/>
          <w:lang w:eastAsia="ja-JP"/>
        </w:rPr>
        <w:t xml:space="preserve">to </w:t>
      </w:r>
      <w:r w:rsidR="00E5061A" w:rsidRPr="00E5061A">
        <w:rPr>
          <w:b/>
          <w:bCs/>
          <w:sz w:val="24"/>
          <w:szCs w:val="24"/>
          <w:lang w:eastAsia="ja-JP"/>
        </w:rPr>
        <w:t xml:space="preserve">new products </w:t>
      </w:r>
      <w:r w:rsidR="003F24B3" w:rsidRPr="00E5061A">
        <w:rPr>
          <w:b/>
          <w:bCs/>
          <w:sz w:val="24"/>
          <w:szCs w:val="24"/>
          <w:lang w:eastAsia="ja-JP"/>
        </w:rPr>
        <w:t>at</w:t>
      </w:r>
      <w:r w:rsidR="003F24B3" w:rsidRPr="00490529">
        <w:rPr>
          <w:sz w:val="24"/>
          <w:szCs w:val="24"/>
          <w:lang w:eastAsia="ja-JP"/>
        </w:rPr>
        <w:t xml:space="preserve"> </w:t>
      </w:r>
      <w:r w:rsidR="003F24B3" w:rsidRPr="00FF1A59">
        <w:rPr>
          <w:b/>
          <w:bCs/>
          <w:sz w:val="24"/>
          <w:szCs w:val="24"/>
          <w:lang w:eastAsia="ja-JP"/>
        </w:rPr>
        <w:t>existing facilities</w:t>
      </w:r>
      <w:r w:rsidR="003F24B3" w:rsidRPr="00490529">
        <w:rPr>
          <w:sz w:val="24"/>
          <w:szCs w:val="24"/>
          <w:lang w:eastAsia="ja-JP"/>
        </w:rPr>
        <w:t xml:space="preserve">. </w:t>
      </w:r>
      <w:r w:rsidRPr="00490529">
        <w:rPr>
          <w:sz w:val="24"/>
          <w:szCs w:val="24"/>
          <w:lang w:eastAsia="ja-JP"/>
        </w:rPr>
        <w:t>This will reduce competitive distortions between new and existing facilities</w:t>
      </w:r>
      <w:r w:rsidR="002430EE">
        <w:rPr>
          <w:sz w:val="24"/>
          <w:szCs w:val="24"/>
          <w:lang w:eastAsia="ja-JP"/>
        </w:rPr>
        <w:t>. I</w:t>
      </w:r>
      <w:r w:rsidR="003D67F0">
        <w:rPr>
          <w:sz w:val="24"/>
          <w:szCs w:val="24"/>
          <w:lang w:eastAsia="ja-JP"/>
        </w:rPr>
        <w:t>nternational best practice</w:t>
      </w:r>
      <w:r w:rsidR="009E4F23">
        <w:rPr>
          <w:sz w:val="24"/>
          <w:szCs w:val="24"/>
          <w:lang w:eastAsia="ja-JP"/>
        </w:rPr>
        <w:t xml:space="preserve"> will o</w:t>
      </w:r>
      <w:r w:rsidR="00547CBC">
        <w:rPr>
          <w:sz w:val="24"/>
          <w:szCs w:val="24"/>
          <w:lang w:eastAsia="ja-JP"/>
        </w:rPr>
        <w:t>nly</w:t>
      </w:r>
      <w:r w:rsidR="009E4F23">
        <w:rPr>
          <w:sz w:val="24"/>
          <w:szCs w:val="24"/>
          <w:lang w:eastAsia="ja-JP"/>
        </w:rPr>
        <w:t xml:space="preserve"> apply to</w:t>
      </w:r>
      <w:r w:rsidR="00547CBC">
        <w:rPr>
          <w:sz w:val="24"/>
          <w:szCs w:val="24"/>
          <w:lang w:eastAsia="ja-JP"/>
        </w:rPr>
        <w:t xml:space="preserve"> the new production variable</w:t>
      </w:r>
      <w:r w:rsidR="003D67F0">
        <w:rPr>
          <w:sz w:val="24"/>
          <w:szCs w:val="24"/>
          <w:lang w:eastAsia="ja-JP"/>
        </w:rPr>
        <w:t xml:space="preserve"> at the existing facility</w:t>
      </w:r>
      <w:r w:rsidR="00547CBC">
        <w:rPr>
          <w:sz w:val="24"/>
          <w:szCs w:val="24"/>
          <w:lang w:eastAsia="ja-JP"/>
        </w:rPr>
        <w:t xml:space="preserve">. </w:t>
      </w:r>
      <w:r w:rsidR="00F849A3">
        <w:rPr>
          <w:sz w:val="24"/>
          <w:szCs w:val="24"/>
          <w:lang w:eastAsia="ja-JP"/>
        </w:rPr>
        <w:t>The emissions-intensity value associated with o</w:t>
      </w:r>
      <w:r w:rsidR="009E4F23">
        <w:rPr>
          <w:sz w:val="24"/>
          <w:szCs w:val="24"/>
          <w:lang w:eastAsia="ja-JP"/>
        </w:rPr>
        <w:t>ther production variables will remain unchanged.</w:t>
      </w:r>
    </w:p>
    <w:p w14:paraId="107D2E76" w14:textId="029CED2E" w:rsidR="00D15699" w:rsidRPr="00007DB7" w:rsidRDefault="00C61BB7" w:rsidP="00D15699">
      <w:pPr>
        <w:rPr>
          <w:color w:val="FF0000"/>
          <w:sz w:val="24"/>
          <w:szCs w:val="24"/>
        </w:rPr>
      </w:pPr>
      <w:r w:rsidRPr="00490529">
        <w:rPr>
          <w:sz w:val="24"/>
          <w:szCs w:val="24"/>
          <w:lang w:eastAsia="ja-JP"/>
        </w:rPr>
        <w:t>A</w:t>
      </w:r>
      <w:r w:rsidR="003F24B3" w:rsidRPr="00490529">
        <w:rPr>
          <w:sz w:val="24"/>
          <w:szCs w:val="24"/>
          <w:lang w:eastAsia="ja-JP"/>
        </w:rPr>
        <w:t xml:space="preserve"> product </w:t>
      </w:r>
      <w:r w:rsidRPr="00490529">
        <w:rPr>
          <w:sz w:val="24"/>
          <w:szCs w:val="24"/>
          <w:lang w:eastAsia="ja-JP"/>
        </w:rPr>
        <w:t xml:space="preserve">is new if </w:t>
      </w:r>
      <w:r w:rsidR="003F24B3" w:rsidRPr="00490529">
        <w:rPr>
          <w:sz w:val="24"/>
          <w:szCs w:val="24"/>
          <w:lang w:eastAsia="ja-JP"/>
        </w:rPr>
        <w:t xml:space="preserve">the facility </w:t>
      </w:r>
      <w:r w:rsidRPr="00490529">
        <w:rPr>
          <w:sz w:val="24"/>
          <w:szCs w:val="24"/>
          <w:lang w:eastAsia="ja-JP"/>
        </w:rPr>
        <w:t xml:space="preserve">has </w:t>
      </w:r>
      <w:r w:rsidR="00AC5A47">
        <w:rPr>
          <w:sz w:val="24"/>
          <w:szCs w:val="24"/>
          <w:lang w:eastAsia="ja-JP"/>
        </w:rPr>
        <w:t xml:space="preserve">not </w:t>
      </w:r>
      <w:r w:rsidR="003F24B3" w:rsidRPr="00490529">
        <w:rPr>
          <w:sz w:val="24"/>
          <w:szCs w:val="24"/>
          <w:lang w:eastAsia="ja-JP"/>
        </w:rPr>
        <w:t>produc</w:t>
      </w:r>
      <w:r w:rsidRPr="00490529">
        <w:rPr>
          <w:sz w:val="24"/>
          <w:szCs w:val="24"/>
          <w:lang w:eastAsia="ja-JP"/>
        </w:rPr>
        <w:t>ed it in commercial quantities</w:t>
      </w:r>
      <w:r w:rsidR="003F24B3" w:rsidRPr="00490529">
        <w:rPr>
          <w:sz w:val="24"/>
          <w:szCs w:val="24"/>
          <w:lang w:eastAsia="ja-JP"/>
        </w:rPr>
        <w:t xml:space="preserve"> before 1</w:t>
      </w:r>
      <w:r w:rsidR="005432A3" w:rsidRPr="00490529">
        <w:rPr>
          <w:sz w:val="24"/>
          <w:szCs w:val="24"/>
          <w:lang w:eastAsia="ja-JP"/>
        </w:rPr>
        <w:t> </w:t>
      </w:r>
      <w:r w:rsidR="003F24B3" w:rsidRPr="00490529">
        <w:rPr>
          <w:sz w:val="24"/>
          <w:szCs w:val="24"/>
          <w:lang w:eastAsia="ja-JP"/>
        </w:rPr>
        <w:t>July</w:t>
      </w:r>
      <w:r w:rsidR="005432A3" w:rsidRPr="00490529">
        <w:rPr>
          <w:sz w:val="24"/>
          <w:szCs w:val="24"/>
          <w:lang w:eastAsia="ja-JP"/>
        </w:rPr>
        <w:t> </w:t>
      </w:r>
      <w:r w:rsidR="003F24B3" w:rsidRPr="00490529">
        <w:rPr>
          <w:sz w:val="24"/>
          <w:szCs w:val="24"/>
          <w:lang w:eastAsia="ja-JP"/>
        </w:rPr>
        <w:t>2023.</w:t>
      </w:r>
      <w:r w:rsidR="005432A3" w:rsidRPr="00490529">
        <w:rPr>
          <w:sz w:val="24"/>
          <w:szCs w:val="24"/>
          <w:lang w:eastAsia="ja-JP"/>
        </w:rPr>
        <w:t xml:space="preserve"> International best practice will </w:t>
      </w:r>
      <w:r w:rsidR="005432A3" w:rsidRPr="00A619C9">
        <w:rPr>
          <w:b/>
          <w:bCs/>
          <w:sz w:val="24"/>
          <w:szCs w:val="24"/>
          <w:lang w:eastAsia="ja-JP"/>
        </w:rPr>
        <w:t xml:space="preserve">not apply if the </w:t>
      </w:r>
      <w:r w:rsidR="00EF3220" w:rsidRPr="00A619C9">
        <w:rPr>
          <w:b/>
          <w:bCs/>
          <w:sz w:val="24"/>
          <w:szCs w:val="24"/>
          <w:lang w:eastAsia="ja-JP"/>
        </w:rPr>
        <w:t xml:space="preserve">product is materially </w:t>
      </w:r>
      <w:proofErr w:type="gramStart"/>
      <w:r w:rsidR="00EF3220" w:rsidRPr="00A619C9">
        <w:rPr>
          <w:b/>
          <w:bCs/>
          <w:sz w:val="24"/>
          <w:szCs w:val="24"/>
          <w:lang w:eastAsia="ja-JP"/>
        </w:rPr>
        <w:t>similar to</w:t>
      </w:r>
      <w:proofErr w:type="gramEnd"/>
      <w:r w:rsidR="00EF3220" w:rsidRPr="00A619C9">
        <w:rPr>
          <w:b/>
          <w:bCs/>
          <w:sz w:val="24"/>
          <w:szCs w:val="24"/>
          <w:lang w:eastAsia="ja-JP"/>
        </w:rPr>
        <w:t xml:space="preserve"> a product already being produced</w:t>
      </w:r>
      <w:r w:rsidR="00EF3220" w:rsidRPr="00A619C9">
        <w:rPr>
          <w:sz w:val="24"/>
          <w:szCs w:val="24"/>
          <w:lang w:eastAsia="ja-JP"/>
        </w:rPr>
        <w:t xml:space="preserve">. For example, </w:t>
      </w:r>
      <w:r w:rsidR="00F14EB3" w:rsidRPr="00A619C9">
        <w:rPr>
          <w:sz w:val="24"/>
          <w:szCs w:val="24"/>
          <w:lang w:eastAsia="ja-JP"/>
        </w:rPr>
        <w:t xml:space="preserve">if a </w:t>
      </w:r>
      <w:r w:rsidR="00517131">
        <w:rPr>
          <w:sz w:val="24"/>
          <w:szCs w:val="24"/>
          <w:lang w:eastAsia="ja-JP"/>
        </w:rPr>
        <w:t>facility</w:t>
      </w:r>
      <w:r w:rsidR="00F14EB3" w:rsidRPr="00A619C9">
        <w:rPr>
          <w:sz w:val="24"/>
          <w:szCs w:val="24"/>
          <w:lang w:eastAsia="ja-JP"/>
        </w:rPr>
        <w:t xml:space="preserve"> starts producing </w:t>
      </w:r>
      <w:r w:rsidR="007636E1" w:rsidRPr="00A619C9">
        <w:rPr>
          <w:sz w:val="24"/>
          <w:szCs w:val="24"/>
          <w:lang w:eastAsia="ja-JP"/>
        </w:rPr>
        <w:t>‘</w:t>
      </w:r>
      <w:r w:rsidR="00EF3220" w:rsidRPr="00A619C9">
        <w:rPr>
          <w:sz w:val="24"/>
          <w:szCs w:val="24"/>
          <w:lang w:eastAsia="ja-JP"/>
        </w:rPr>
        <w:t>beverage grade ethanol</w:t>
      </w:r>
      <w:r w:rsidR="007636E1" w:rsidRPr="00A619C9">
        <w:rPr>
          <w:sz w:val="24"/>
          <w:szCs w:val="24"/>
          <w:lang w:eastAsia="ja-JP"/>
        </w:rPr>
        <w:t>’</w:t>
      </w:r>
      <w:r w:rsidR="00F14EB3" w:rsidRPr="00A619C9">
        <w:rPr>
          <w:sz w:val="24"/>
          <w:szCs w:val="24"/>
          <w:lang w:eastAsia="ja-JP"/>
        </w:rPr>
        <w:t xml:space="preserve"> using a production line that </w:t>
      </w:r>
      <w:r w:rsidR="007636E1" w:rsidRPr="00A619C9">
        <w:rPr>
          <w:sz w:val="24"/>
          <w:szCs w:val="24"/>
          <w:lang w:eastAsia="ja-JP"/>
        </w:rPr>
        <w:t>already produces ‘95%</w:t>
      </w:r>
      <w:r w:rsidR="00F14EB3" w:rsidRPr="00A619C9">
        <w:rPr>
          <w:sz w:val="24"/>
          <w:szCs w:val="24"/>
          <w:lang w:eastAsia="ja-JP"/>
        </w:rPr>
        <w:t xml:space="preserve"> ethanol</w:t>
      </w:r>
      <w:r w:rsidR="007636E1" w:rsidRPr="00A619C9">
        <w:rPr>
          <w:sz w:val="24"/>
          <w:szCs w:val="24"/>
          <w:lang w:eastAsia="ja-JP"/>
        </w:rPr>
        <w:t>’</w:t>
      </w:r>
      <w:r w:rsidR="00D15699" w:rsidRPr="00A619C9">
        <w:rPr>
          <w:sz w:val="24"/>
          <w:szCs w:val="24"/>
        </w:rPr>
        <w:t xml:space="preserve">, it could apply </w:t>
      </w:r>
      <w:r w:rsidR="00F25D08" w:rsidRPr="00A619C9">
        <w:rPr>
          <w:sz w:val="24"/>
          <w:szCs w:val="24"/>
        </w:rPr>
        <w:t xml:space="preserve">to the Clean Energy Regulator </w:t>
      </w:r>
      <w:r w:rsidR="00A619C9" w:rsidRPr="00A619C9">
        <w:rPr>
          <w:sz w:val="24"/>
          <w:szCs w:val="24"/>
        </w:rPr>
        <w:t xml:space="preserve">to </w:t>
      </w:r>
      <w:r w:rsidR="005A27AE">
        <w:rPr>
          <w:sz w:val="24"/>
          <w:szCs w:val="24"/>
        </w:rPr>
        <w:t xml:space="preserve">set its baseline </w:t>
      </w:r>
      <w:r w:rsidR="00A619C9" w:rsidRPr="00A619C9">
        <w:rPr>
          <w:sz w:val="24"/>
          <w:szCs w:val="24"/>
        </w:rPr>
        <w:t>us</w:t>
      </w:r>
      <w:r w:rsidR="005A27AE">
        <w:rPr>
          <w:sz w:val="24"/>
          <w:szCs w:val="24"/>
        </w:rPr>
        <w:t>ing</w:t>
      </w:r>
      <w:r w:rsidR="00D15699" w:rsidRPr="00A619C9">
        <w:rPr>
          <w:sz w:val="24"/>
          <w:szCs w:val="24"/>
        </w:rPr>
        <w:t xml:space="preserve"> the emissions intensity corresponding to </w:t>
      </w:r>
      <w:r w:rsidR="00697392">
        <w:rPr>
          <w:sz w:val="24"/>
          <w:szCs w:val="24"/>
        </w:rPr>
        <w:t>‘</w:t>
      </w:r>
      <w:r w:rsidR="00D15699" w:rsidRPr="00A619C9">
        <w:rPr>
          <w:sz w:val="24"/>
          <w:szCs w:val="24"/>
        </w:rPr>
        <w:t>95% ethanol</w:t>
      </w:r>
      <w:r w:rsidR="00697392">
        <w:rPr>
          <w:sz w:val="24"/>
          <w:szCs w:val="24"/>
        </w:rPr>
        <w:t>’</w:t>
      </w:r>
      <w:r w:rsidR="00D15699" w:rsidRPr="00A619C9">
        <w:rPr>
          <w:sz w:val="24"/>
          <w:szCs w:val="24"/>
        </w:rPr>
        <w:t xml:space="preserve"> </w:t>
      </w:r>
      <w:r w:rsidR="005A27AE">
        <w:rPr>
          <w:sz w:val="24"/>
          <w:szCs w:val="24"/>
        </w:rPr>
        <w:t>for</w:t>
      </w:r>
      <w:r w:rsidR="00D15699" w:rsidRPr="00A619C9">
        <w:rPr>
          <w:sz w:val="24"/>
          <w:szCs w:val="24"/>
        </w:rPr>
        <w:t xml:space="preserve"> its </w:t>
      </w:r>
      <w:r w:rsidR="00697392">
        <w:rPr>
          <w:sz w:val="24"/>
          <w:szCs w:val="24"/>
        </w:rPr>
        <w:t>‘</w:t>
      </w:r>
      <w:r w:rsidR="00D15699" w:rsidRPr="00A619C9">
        <w:rPr>
          <w:sz w:val="24"/>
          <w:szCs w:val="24"/>
        </w:rPr>
        <w:t>beverage grade ethanol</w:t>
      </w:r>
      <w:r w:rsidR="00697392">
        <w:rPr>
          <w:sz w:val="24"/>
          <w:szCs w:val="24"/>
        </w:rPr>
        <w:t>’</w:t>
      </w:r>
      <w:r w:rsidR="00D15699" w:rsidRPr="00A619C9">
        <w:rPr>
          <w:sz w:val="24"/>
          <w:szCs w:val="24"/>
        </w:rPr>
        <w:t>.</w:t>
      </w:r>
    </w:p>
    <w:p w14:paraId="50F702A7" w14:textId="0A8DF3A8" w:rsidR="00D127CA" w:rsidRPr="00997F75" w:rsidRDefault="00D127CA" w:rsidP="00A619C9">
      <w:pPr>
        <w:pStyle w:val="Heading3"/>
        <w:rPr>
          <w:color w:val="1F497D" w:themeColor="text2"/>
        </w:rPr>
      </w:pPr>
      <w:bookmarkStart w:id="2" w:name="_Toc146872808"/>
      <w:r w:rsidRPr="00997F75">
        <w:rPr>
          <w:color w:val="1F497D" w:themeColor="text2"/>
        </w:rPr>
        <w:t>Safeguard Mechanism baselines</w:t>
      </w:r>
      <w:r w:rsidR="002322AC" w:rsidRPr="00997F75">
        <w:rPr>
          <w:color w:val="1F497D" w:themeColor="text2"/>
        </w:rPr>
        <w:t xml:space="preserve"> and production variables</w:t>
      </w:r>
      <w:bookmarkEnd w:id="2"/>
    </w:p>
    <w:p w14:paraId="72FAD782" w14:textId="12120AFF" w:rsidR="00D127CA" w:rsidRPr="00490529" w:rsidRDefault="00D127CA" w:rsidP="00D127CA">
      <w:pPr>
        <w:rPr>
          <w:i/>
          <w:iCs/>
          <w:sz w:val="24"/>
          <w:szCs w:val="24"/>
        </w:rPr>
      </w:pPr>
      <w:r w:rsidRPr="00490529">
        <w:rPr>
          <w:i/>
          <w:iCs/>
          <w:sz w:val="24"/>
          <w:szCs w:val="24"/>
        </w:rPr>
        <w:t xml:space="preserve">New facility baselines decline at the same rate as existing facilities. </w:t>
      </w:r>
      <w:r w:rsidR="00DE0ACE">
        <w:rPr>
          <w:i/>
          <w:iCs/>
          <w:sz w:val="24"/>
          <w:szCs w:val="24"/>
        </w:rPr>
        <w:t xml:space="preserve">All </w:t>
      </w:r>
      <w:r w:rsidR="007104E8">
        <w:rPr>
          <w:i/>
          <w:iCs/>
          <w:sz w:val="24"/>
          <w:szCs w:val="24"/>
        </w:rPr>
        <w:t xml:space="preserve">facilities—including new facilities—can apply </w:t>
      </w:r>
      <w:r w:rsidRPr="00490529">
        <w:rPr>
          <w:i/>
          <w:iCs/>
          <w:sz w:val="24"/>
          <w:szCs w:val="24"/>
        </w:rPr>
        <w:t>for a reduced decline rate</w:t>
      </w:r>
      <w:r w:rsidR="007104E8">
        <w:rPr>
          <w:i/>
          <w:iCs/>
          <w:sz w:val="24"/>
          <w:szCs w:val="24"/>
        </w:rPr>
        <w:t xml:space="preserve"> if they face significant costs</w:t>
      </w:r>
      <w:r w:rsidRPr="00490529">
        <w:rPr>
          <w:i/>
          <w:iCs/>
          <w:sz w:val="24"/>
          <w:szCs w:val="24"/>
        </w:rPr>
        <w:t xml:space="preserve">. </w:t>
      </w:r>
    </w:p>
    <w:p w14:paraId="45988EF5" w14:textId="0E5C5E42" w:rsidR="00C62379" w:rsidRDefault="00317AC0" w:rsidP="00D127CA">
      <w:pPr>
        <w:rPr>
          <w:sz w:val="24"/>
          <w:szCs w:val="24"/>
        </w:rPr>
      </w:pPr>
      <w:r>
        <w:rPr>
          <w:sz w:val="24"/>
          <w:szCs w:val="24"/>
        </w:rPr>
        <w:t xml:space="preserve">International best practice benchmarks will be used to set baselines for new </w:t>
      </w:r>
      <w:r w:rsidR="00CB0FCE">
        <w:rPr>
          <w:sz w:val="24"/>
          <w:szCs w:val="24"/>
        </w:rPr>
        <w:t xml:space="preserve">facilities and new products at existing facilities. Other Safeguard Mechanism policy settings will be applied consistently to new and existing facilities. </w:t>
      </w:r>
      <w:r w:rsidR="00C62379">
        <w:rPr>
          <w:sz w:val="24"/>
          <w:szCs w:val="24"/>
        </w:rPr>
        <w:t>This means</w:t>
      </w:r>
      <w:r w:rsidR="00F43CBF">
        <w:rPr>
          <w:sz w:val="24"/>
          <w:szCs w:val="24"/>
        </w:rPr>
        <w:t>, for example</w:t>
      </w:r>
      <w:r w:rsidR="00C62379">
        <w:rPr>
          <w:sz w:val="24"/>
          <w:szCs w:val="24"/>
        </w:rPr>
        <w:t xml:space="preserve">: </w:t>
      </w:r>
    </w:p>
    <w:p w14:paraId="1C2A93A9" w14:textId="0646665B" w:rsidR="00D127CA" w:rsidRPr="00C62379" w:rsidRDefault="00DE6189" w:rsidP="004A33C8">
      <w:pPr>
        <w:pStyle w:val="ListParagraph"/>
        <w:numPr>
          <w:ilvl w:val="0"/>
          <w:numId w:val="28"/>
        </w:numPr>
        <w:spacing w:before="0" w:after="240" w:line="276" w:lineRule="auto"/>
        <w:ind w:left="425" w:hanging="357"/>
        <w:rPr>
          <w:sz w:val="24"/>
          <w:szCs w:val="24"/>
        </w:rPr>
      </w:pPr>
      <w:r>
        <w:rPr>
          <w:sz w:val="24"/>
          <w:szCs w:val="24"/>
        </w:rPr>
        <w:t>All b</w:t>
      </w:r>
      <w:r w:rsidR="00D127CA" w:rsidRPr="00C62379">
        <w:rPr>
          <w:sz w:val="24"/>
          <w:szCs w:val="24"/>
        </w:rPr>
        <w:t>aselines</w:t>
      </w:r>
      <w:r>
        <w:rPr>
          <w:sz w:val="24"/>
          <w:szCs w:val="24"/>
        </w:rPr>
        <w:t>—new and</w:t>
      </w:r>
      <w:r w:rsidR="00D127CA" w:rsidRPr="00C62379">
        <w:rPr>
          <w:sz w:val="24"/>
          <w:szCs w:val="24"/>
        </w:rPr>
        <w:t xml:space="preserve"> existing</w:t>
      </w:r>
      <w:r>
        <w:rPr>
          <w:sz w:val="24"/>
          <w:szCs w:val="24"/>
        </w:rPr>
        <w:t>—</w:t>
      </w:r>
      <w:r w:rsidR="00D127CA" w:rsidRPr="00C62379">
        <w:rPr>
          <w:sz w:val="24"/>
          <w:szCs w:val="24"/>
        </w:rPr>
        <w:t>are production-adjusted</w:t>
      </w:r>
      <w:r>
        <w:rPr>
          <w:sz w:val="24"/>
          <w:szCs w:val="24"/>
        </w:rPr>
        <w:t>,</w:t>
      </w:r>
      <w:r w:rsidR="00D127CA" w:rsidRPr="00C62379">
        <w:rPr>
          <w:sz w:val="24"/>
          <w:szCs w:val="24"/>
        </w:rPr>
        <w:t xml:space="preserve"> </w:t>
      </w:r>
      <w:r>
        <w:rPr>
          <w:sz w:val="24"/>
          <w:szCs w:val="24"/>
        </w:rPr>
        <w:t>s</w:t>
      </w:r>
      <w:r w:rsidR="00C62379">
        <w:rPr>
          <w:sz w:val="24"/>
          <w:szCs w:val="24"/>
        </w:rPr>
        <w:t>o</w:t>
      </w:r>
      <w:r w:rsidR="00D127CA" w:rsidRPr="00C62379">
        <w:rPr>
          <w:sz w:val="24"/>
          <w:szCs w:val="24"/>
        </w:rPr>
        <w:t xml:space="preserve"> </w:t>
      </w:r>
      <w:r w:rsidR="00552314">
        <w:rPr>
          <w:sz w:val="24"/>
          <w:szCs w:val="24"/>
        </w:rPr>
        <w:t>they</w:t>
      </w:r>
      <w:r w:rsidR="00D127CA" w:rsidRPr="00C62379">
        <w:rPr>
          <w:sz w:val="24"/>
          <w:szCs w:val="24"/>
        </w:rPr>
        <w:t xml:space="preserve"> rise and fall with production, helping to decouple emissions and economic growth. </w:t>
      </w:r>
    </w:p>
    <w:p w14:paraId="2395F103" w14:textId="77777777" w:rsidR="008A7AF0" w:rsidRDefault="002D6A2C" w:rsidP="004A33C8">
      <w:pPr>
        <w:pStyle w:val="ListParagraph"/>
        <w:numPr>
          <w:ilvl w:val="0"/>
          <w:numId w:val="28"/>
        </w:numPr>
        <w:spacing w:before="0" w:after="240" w:line="276" w:lineRule="auto"/>
        <w:ind w:left="425" w:hanging="357"/>
        <w:rPr>
          <w:sz w:val="24"/>
          <w:szCs w:val="24"/>
        </w:rPr>
      </w:pPr>
      <w:r w:rsidRPr="00C62379">
        <w:rPr>
          <w:sz w:val="24"/>
          <w:szCs w:val="24"/>
        </w:rPr>
        <w:t>A decline rate of</w:t>
      </w:r>
      <w:r w:rsidR="00D127CA" w:rsidRPr="00C62379">
        <w:rPr>
          <w:sz w:val="24"/>
          <w:szCs w:val="24"/>
        </w:rPr>
        <w:t xml:space="preserve"> 4.9 per cent each year </w:t>
      </w:r>
      <w:r w:rsidRPr="00C62379">
        <w:rPr>
          <w:sz w:val="24"/>
          <w:szCs w:val="24"/>
        </w:rPr>
        <w:t xml:space="preserve">will apply </w:t>
      </w:r>
      <w:r w:rsidR="00D127CA" w:rsidRPr="00C62379">
        <w:rPr>
          <w:sz w:val="24"/>
          <w:szCs w:val="24"/>
        </w:rPr>
        <w:t xml:space="preserve">to </w:t>
      </w:r>
      <w:r w:rsidRPr="00C62379">
        <w:rPr>
          <w:sz w:val="24"/>
          <w:szCs w:val="24"/>
        </w:rPr>
        <w:t xml:space="preserve">all baselines to </w:t>
      </w:r>
      <w:r w:rsidR="00D127CA" w:rsidRPr="00C62379">
        <w:rPr>
          <w:sz w:val="24"/>
          <w:szCs w:val="24"/>
        </w:rPr>
        <w:t xml:space="preserve">2030, </w:t>
      </w:r>
      <w:r w:rsidR="00A737B9" w:rsidRPr="00C62379">
        <w:rPr>
          <w:sz w:val="24"/>
          <w:szCs w:val="24"/>
        </w:rPr>
        <w:t xml:space="preserve">including for new facilities, </w:t>
      </w:r>
      <w:r w:rsidR="00D127CA" w:rsidRPr="00C62379">
        <w:rPr>
          <w:sz w:val="24"/>
          <w:szCs w:val="24"/>
        </w:rPr>
        <w:t xml:space="preserve">ensuring Safeguard facilities deliver a proportional share of the 2030 national target. </w:t>
      </w:r>
    </w:p>
    <w:p w14:paraId="286F7092" w14:textId="1D8F755B" w:rsidR="00D127CA" w:rsidRPr="00C62379" w:rsidRDefault="00D127CA" w:rsidP="004A33C8">
      <w:pPr>
        <w:pStyle w:val="ListParagraph"/>
        <w:numPr>
          <w:ilvl w:val="0"/>
          <w:numId w:val="28"/>
        </w:numPr>
        <w:spacing w:before="0" w:after="240" w:line="276" w:lineRule="auto"/>
        <w:ind w:left="425" w:hanging="357"/>
        <w:rPr>
          <w:sz w:val="24"/>
          <w:szCs w:val="24"/>
        </w:rPr>
      </w:pPr>
      <w:r w:rsidRPr="00C62379">
        <w:rPr>
          <w:sz w:val="24"/>
          <w:szCs w:val="24"/>
        </w:rPr>
        <w:t xml:space="preserve">Trade-exposed facilities, including new facilities, can apply </w:t>
      </w:r>
      <w:r w:rsidR="007F39D3" w:rsidRPr="00C62379">
        <w:rPr>
          <w:sz w:val="24"/>
          <w:szCs w:val="24"/>
        </w:rPr>
        <w:t xml:space="preserve">to be trade-exposed baseline-adjusted (TEBA) facilities, </w:t>
      </w:r>
      <w:r w:rsidR="00CB190E" w:rsidRPr="00C62379">
        <w:rPr>
          <w:sz w:val="24"/>
          <w:szCs w:val="24"/>
        </w:rPr>
        <w:t xml:space="preserve">and receive a </w:t>
      </w:r>
      <w:r w:rsidRPr="00C62379">
        <w:rPr>
          <w:sz w:val="24"/>
          <w:szCs w:val="24"/>
        </w:rPr>
        <w:t xml:space="preserve">reduced decline rate </w:t>
      </w:r>
      <w:r w:rsidR="00CB190E" w:rsidRPr="00C62379">
        <w:rPr>
          <w:sz w:val="24"/>
          <w:szCs w:val="24"/>
        </w:rPr>
        <w:t>if their scheme costs are sufficiently high</w:t>
      </w:r>
      <w:r w:rsidRPr="00C62379">
        <w:rPr>
          <w:sz w:val="24"/>
          <w:szCs w:val="24"/>
        </w:rPr>
        <w:t>.</w:t>
      </w:r>
      <w:r w:rsidR="00551D98" w:rsidRPr="00C62379">
        <w:rPr>
          <w:sz w:val="24"/>
          <w:szCs w:val="24"/>
        </w:rPr>
        <w:t xml:space="preserve"> </w:t>
      </w:r>
    </w:p>
    <w:p w14:paraId="563E5107" w14:textId="4D61F178" w:rsidR="00D127CA" w:rsidRPr="00490529" w:rsidRDefault="00E25F76" w:rsidP="00D127CA">
      <w:pPr>
        <w:rPr>
          <w:sz w:val="24"/>
          <w:szCs w:val="24"/>
        </w:rPr>
      </w:pPr>
      <w:r w:rsidRPr="00490529">
        <w:rPr>
          <w:sz w:val="24"/>
          <w:szCs w:val="24"/>
        </w:rPr>
        <w:lastRenderedPageBreak/>
        <w:t xml:space="preserve">Formulas for </w:t>
      </w:r>
      <w:r w:rsidR="00634FF1" w:rsidRPr="00490529">
        <w:rPr>
          <w:sz w:val="24"/>
          <w:szCs w:val="24"/>
        </w:rPr>
        <w:t xml:space="preserve">setting baselines </w:t>
      </w:r>
      <w:r w:rsidRPr="00490529">
        <w:rPr>
          <w:sz w:val="24"/>
          <w:szCs w:val="24"/>
        </w:rPr>
        <w:t xml:space="preserve">are in section 11 (for existing facilities) and section </w:t>
      </w:r>
      <w:r w:rsidR="007252BD" w:rsidRPr="00490529">
        <w:rPr>
          <w:sz w:val="24"/>
          <w:szCs w:val="24"/>
        </w:rPr>
        <w:t xml:space="preserve">25 (for new facilities) of the Safeguard Rules. </w:t>
      </w:r>
      <w:r w:rsidR="00D127CA" w:rsidRPr="00490529">
        <w:rPr>
          <w:sz w:val="24"/>
          <w:szCs w:val="24"/>
        </w:rPr>
        <w:t>In a simplified form, the baseline setting formula is the sum of production multiplied by emissions intensity for all relevant outputs at the facility multiplied by a decline factor:</w:t>
      </w:r>
    </w:p>
    <w:p w14:paraId="0EA1D956" w14:textId="7E34F6A8" w:rsidR="00D127CA" w:rsidRPr="00997F75" w:rsidRDefault="00D127CA" w:rsidP="00AD58EB">
      <w:pPr>
        <w:shd w:val="clear" w:color="auto" w:fill="FFFFFF" w:themeFill="background1"/>
        <w:tabs>
          <w:tab w:val="center" w:pos="4536"/>
          <w:tab w:val="right" w:pos="9026"/>
        </w:tabs>
        <w:spacing w:after="240"/>
        <w:ind w:left="357"/>
        <w:rPr>
          <w:b/>
          <w:color w:val="1F497D" w:themeColor="text2"/>
          <w:sz w:val="24"/>
          <w:szCs w:val="24"/>
        </w:rPr>
      </w:pPr>
      <w:r w:rsidRPr="00997F75">
        <w:rPr>
          <w:b/>
          <w:color w:val="1F497D" w:themeColor="text2"/>
          <w:sz w:val="24"/>
          <w:szCs w:val="24"/>
        </w:rPr>
        <w:t xml:space="preserve">Facility baseline = </w:t>
      </w:r>
      <w:r w:rsidR="008D1A19" w:rsidRPr="00997F75">
        <w:rPr>
          <w:rFonts w:cstheme="minorHAnsi"/>
          <w:b/>
          <w:color w:val="1F497D" w:themeColor="text2"/>
          <w:sz w:val="24"/>
          <w:szCs w:val="24"/>
        </w:rPr>
        <w:t>∑</w:t>
      </w:r>
      <w:r w:rsidRPr="00997F75">
        <w:rPr>
          <w:b/>
          <w:color w:val="1F497D" w:themeColor="text2"/>
          <w:sz w:val="24"/>
          <w:szCs w:val="24"/>
        </w:rPr>
        <w:t xml:space="preserve"> Production </w:t>
      </w:r>
      <w:r w:rsidR="000B0306" w:rsidRPr="00997F75">
        <w:rPr>
          <w:rFonts w:cstheme="minorHAnsi"/>
          <w:b/>
          <w:color w:val="1F497D" w:themeColor="text2"/>
          <w:sz w:val="24"/>
          <w:szCs w:val="24"/>
        </w:rPr>
        <w:t>×</w:t>
      </w:r>
      <w:r w:rsidRPr="00997F75">
        <w:rPr>
          <w:b/>
          <w:color w:val="1F497D" w:themeColor="text2"/>
          <w:sz w:val="24"/>
          <w:szCs w:val="24"/>
        </w:rPr>
        <w:t xml:space="preserve"> emissions intensity</w:t>
      </w:r>
      <w:r w:rsidRPr="00997F75">
        <w:rPr>
          <w:b/>
          <w:color w:val="1F497D" w:themeColor="text2"/>
          <w:sz w:val="24"/>
          <w:szCs w:val="24"/>
          <w:shd w:val="clear" w:color="auto" w:fill="FFFFFF" w:themeFill="background1"/>
        </w:rPr>
        <w:t xml:space="preserve"> ×</w:t>
      </w:r>
      <w:r w:rsidRPr="00997F75">
        <w:rPr>
          <w:b/>
          <w:color w:val="1F497D" w:themeColor="text2"/>
          <w:sz w:val="24"/>
          <w:szCs w:val="24"/>
        </w:rPr>
        <w:t xml:space="preserve"> decline factor</w:t>
      </w:r>
      <w:r w:rsidRPr="00997F75">
        <w:rPr>
          <w:b/>
          <w:color w:val="1F497D" w:themeColor="text2"/>
          <w:sz w:val="24"/>
          <w:szCs w:val="24"/>
        </w:rPr>
        <w:tab/>
        <w:t>(1)</w:t>
      </w:r>
    </w:p>
    <w:p w14:paraId="150ED2A7" w14:textId="18952C12" w:rsidR="00D127CA" w:rsidRPr="00490529" w:rsidRDefault="00D127CA" w:rsidP="00D127CA">
      <w:pPr>
        <w:shd w:val="clear" w:color="auto" w:fill="FFFFFF" w:themeFill="background1"/>
        <w:spacing w:after="140"/>
        <w:rPr>
          <w:sz w:val="24"/>
          <w:szCs w:val="24"/>
        </w:rPr>
      </w:pPr>
      <w:r w:rsidRPr="00490529">
        <w:rPr>
          <w:sz w:val="24"/>
          <w:szCs w:val="24"/>
        </w:rPr>
        <w:t>Where</w:t>
      </w:r>
      <w:r w:rsidR="008D1A19" w:rsidRPr="00490529">
        <w:rPr>
          <w:sz w:val="24"/>
          <w:szCs w:val="24"/>
        </w:rPr>
        <w:t xml:space="preserve"> the sum takes place over each production variable applicable to the facility, and</w:t>
      </w:r>
      <w:r w:rsidRPr="00490529">
        <w:rPr>
          <w:sz w:val="24"/>
          <w:szCs w:val="24"/>
        </w:rPr>
        <w:t xml:space="preserve">: </w:t>
      </w:r>
    </w:p>
    <w:p w14:paraId="74B402DE" w14:textId="019AD4B4" w:rsidR="00D127CA" w:rsidRPr="00D83BEE" w:rsidRDefault="00D127CA" w:rsidP="004A33C8">
      <w:pPr>
        <w:pStyle w:val="ListParagraph"/>
        <w:numPr>
          <w:ilvl w:val="0"/>
          <w:numId w:val="12"/>
        </w:numPr>
        <w:shd w:val="clear" w:color="auto" w:fill="FFFFFF" w:themeFill="background1"/>
        <w:spacing w:before="0" w:after="240" w:line="276" w:lineRule="auto"/>
        <w:ind w:left="425" w:hanging="425"/>
        <w:rPr>
          <w:rFonts w:asciiTheme="minorHAnsi" w:hAnsiTheme="minorHAnsi" w:cstheme="minorBidi"/>
          <w:sz w:val="24"/>
          <w:szCs w:val="24"/>
        </w:rPr>
      </w:pPr>
      <w:r w:rsidRPr="00D83BEE">
        <w:rPr>
          <w:rFonts w:asciiTheme="minorHAnsi" w:hAnsiTheme="minorHAnsi" w:cstheme="minorBidi"/>
          <w:b/>
          <w:bCs/>
          <w:sz w:val="24"/>
          <w:szCs w:val="24"/>
        </w:rPr>
        <w:t>production</w:t>
      </w:r>
      <w:r w:rsidRPr="00D83BEE">
        <w:rPr>
          <w:rFonts w:asciiTheme="minorHAnsi" w:hAnsiTheme="minorHAnsi" w:cstheme="minorBidi"/>
          <w:sz w:val="24"/>
          <w:szCs w:val="24"/>
        </w:rPr>
        <w:t xml:space="preserve"> is the quantity of </w:t>
      </w:r>
      <w:r w:rsidR="004F3ADB" w:rsidRPr="00D83BEE">
        <w:rPr>
          <w:rFonts w:asciiTheme="minorHAnsi" w:hAnsiTheme="minorHAnsi" w:cstheme="minorBidi"/>
          <w:sz w:val="24"/>
          <w:szCs w:val="24"/>
        </w:rPr>
        <w:t>a</w:t>
      </w:r>
      <w:r w:rsidRPr="00D83BEE">
        <w:rPr>
          <w:rFonts w:asciiTheme="minorHAnsi" w:hAnsiTheme="minorHAnsi" w:cstheme="minorBidi"/>
          <w:sz w:val="24"/>
          <w:szCs w:val="24"/>
        </w:rPr>
        <w:t xml:space="preserve"> production variable applicable to the facility. Production variables are the product or service being delivered, for example tonnes of iron ore or tonne-</w:t>
      </w:r>
      <w:r w:rsidR="00B822D4" w:rsidRPr="00D83BEE">
        <w:rPr>
          <w:rFonts w:asciiTheme="minorHAnsi" w:hAnsiTheme="minorHAnsi" w:cstheme="minorBidi"/>
          <w:sz w:val="24"/>
          <w:szCs w:val="24"/>
        </w:rPr>
        <w:t>kilometres</w:t>
      </w:r>
      <w:r w:rsidRPr="00D83BEE">
        <w:rPr>
          <w:rFonts w:asciiTheme="minorHAnsi" w:hAnsiTheme="minorHAnsi" w:cstheme="minorBidi"/>
          <w:sz w:val="24"/>
          <w:szCs w:val="24"/>
        </w:rPr>
        <w:t xml:space="preserve"> of bulk freight transport.</w:t>
      </w:r>
    </w:p>
    <w:p w14:paraId="38DEF350" w14:textId="7201DF2D" w:rsidR="00D127CA" w:rsidRPr="00D83BEE" w:rsidRDefault="00D127CA" w:rsidP="004A33C8">
      <w:pPr>
        <w:pStyle w:val="ListParagraph"/>
        <w:numPr>
          <w:ilvl w:val="0"/>
          <w:numId w:val="12"/>
        </w:numPr>
        <w:shd w:val="clear" w:color="auto" w:fill="FFFFFF" w:themeFill="background1"/>
        <w:spacing w:before="0" w:after="240" w:line="276" w:lineRule="auto"/>
        <w:ind w:left="426" w:hanging="426"/>
        <w:rPr>
          <w:rFonts w:asciiTheme="minorHAnsi" w:hAnsiTheme="minorHAnsi" w:cstheme="minorBidi"/>
          <w:sz w:val="24"/>
          <w:szCs w:val="24"/>
        </w:rPr>
      </w:pPr>
      <w:r w:rsidRPr="00D83BEE">
        <w:rPr>
          <w:rFonts w:asciiTheme="minorHAnsi" w:hAnsiTheme="minorHAnsi" w:cstheme="minorBidi"/>
          <w:b/>
          <w:bCs/>
          <w:sz w:val="24"/>
          <w:szCs w:val="24"/>
        </w:rPr>
        <w:t>emissions</w:t>
      </w:r>
      <w:r w:rsidR="000B0306" w:rsidRPr="00D83BEE">
        <w:rPr>
          <w:rFonts w:asciiTheme="minorHAnsi" w:hAnsiTheme="minorHAnsi" w:cstheme="minorBidi"/>
          <w:b/>
          <w:bCs/>
          <w:sz w:val="24"/>
          <w:szCs w:val="24"/>
        </w:rPr>
        <w:t xml:space="preserve"> </w:t>
      </w:r>
      <w:r w:rsidRPr="00D83BEE">
        <w:rPr>
          <w:rFonts w:asciiTheme="minorHAnsi" w:hAnsiTheme="minorHAnsi" w:cstheme="minorBidi"/>
          <w:b/>
          <w:bCs/>
          <w:sz w:val="24"/>
          <w:szCs w:val="24"/>
        </w:rPr>
        <w:t>intensity</w:t>
      </w:r>
      <w:r w:rsidRPr="00D83BEE">
        <w:rPr>
          <w:rFonts w:asciiTheme="minorHAnsi" w:hAnsiTheme="minorHAnsi" w:cstheme="minorBidi"/>
          <w:sz w:val="24"/>
          <w:szCs w:val="24"/>
        </w:rPr>
        <w:t xml:space="preserve"> is the emissions per unit of production variable, for example, emissions per tonne of iron ore or tonne-</w:t>
      </w:r>
      <w:r w:rsidR="00B822D4" w:rsidRPr="00D83BEE">
        <w:rPr>
          <w:rFonts w:asciiTheme="minorHAnsi" w:hAnsiTheme="minorHAnsi" w:cstheme="minorBidi"/>
          <w:sz w:val="24"/>
          <w:szCs w:val="24"/>
        </w:rPr>
        <w:t>kilometre</w:t>
      </w:r>
      <w:r w:rsidRPr="00D83BEE">
        <w:rPr>
          <w:rFonts w:asciiTheme="minorHAnsi" w:hAnsiTheme="minorHAnsi" w:cstheme="minorBidi"/>
          <w:sz w:val="24"/>
          <w:szCs w:val="24"/>
        </w:rPr>
        <w:t xml:space="preserve"> of bulk freight transport.</w:t>
      </w:r>
    </w:p>
    <w:p w14:paraId="5C2916DB" w14:textId="77777777" w:rsidR="00D127CA" w:rsidRPr="00D83BEE" w:rsidRDefault="00D127CA" w:rsidP="004A33C8">
      <w:pPr>
        <w:pStyle w:val="ListParagraph"/>
        <w:numPr>
          <w:ilvl w:val="1"/>
          <w:numId w:val="12"/>
        </w:numPr>
        <w:shd w:val="clear" w:color="auto" w:fill="FFFFFF" w:themeFill="background1"/>
        <w:spacing w:before="0" w:after="240" w:line="276" w:lineRule="auto"/>
        <w:ind w:left="851"/>
        <w:rPr>
          <w:rFonts w:asciiTheme="minorHAnsi" w:hAnsiTheme="minorHAnsi" w:cstheme="minorBidi"/>
          <w:sz w:val="24"/>
          <w:szCs w:val="24"/>
        </w:rPr>
      </w:pPr>
      <w:r w:rsidRPr="00D83BEE">
        <w:rPr>
          <w:rFonts w:asciiTheme="minorHAnsi" w:hAnsiTheme="minorHAnsi" w:cstheme="minorBidi"/>
          <w:sz w:val="24"/>
          <w:szCs w:val="24"/>
        </w:rPr>
        <w:t xml:space="preserve">For new facilities and products, this emissions intensity will be set at an international best practice benchmark. </w:t>
      </w:r>
    </w:p>
    <w:p w14:paraId="2F5EC4BF" w14:textId="52E93B4F" w:rsidR="00D127CA" w:rsidRPr="00D83BEE" w:rsidRDefault="00D127CA" w:rsidP="004A33C8">
      <w:pPr>
        <w:pStyle w:val="ListParagraph"/>
        <w:numPr>
          <w:ilvl w:val="0"/>
          <w:numId w:val="12"/>
        </w:numPr>
        <w:shd w:val="clear" w:color="auto" w:fill="FFFFFF" w:themeFill="background1"/>
        <w:spacing w:before="0" w:after="240" w:line="276" w:lineRule="auto"/>
        <w:ind w:left="426" w:hanging="426"/>
        <w:rPr>
          <w:rFonts w:asciiTheme="minorHAnsi" w:hAnsiTheme="minorHAnsi" w:cstheme="minorBidi"/>
          <w:sz w:val="24"/>
          <w:szCs w:val="24"/>
        </w:rPr>
      </w:pPr>
      <w:r w:rsidRPr="00D83BEE">
        <w:rPr>
          <w:rFonts w:asciiTheme="minorHAnsi" w:hAnsiTheme="minorHAnsi" w:cstheme="minorBidi"/>
          <w:b/>
          <w:bCs/>
          <w:sz w:val="24"/>
          <w:szCs w:val="24"/>
        </w:rPr>
        <w:t>decline factor</w:t>
      </w:r>
      <w:r w:rsidRPr="00D83BEE">
        <w:rPr>
          <w:rFonts w:asciiTheme="minorHAnsi" w:hAnsiTheme="minorHAnsi" w:cstheme="minorBidi"/>
          <w:sz w:val="24"/>
          <w:szCs w:val="24"/>
        </w:rPr>
        <w:t xml:space="preserve"> is the cumulative decline rate, as described in table 1.</w:t>
      </w:r>
    </w:p>
    <w:p w14:paraId="61AEB085" w14:textId="77777777" w:rsidR="00D127CA" w:rsidRPr="00D83BEE" w:rsidRDefault="00D127CA" w:rsidP="004A33C8">
      <w:pPr>
        <w:pStyle w:val="ListParagraph"/>
        <w:numPr>
          <w:ilvl w:val="1"/>
          <w:numId w:val="12"/>
        </w:numPr>
        <w:shd w:val="clear" w:color="auto" w:fill="FFFFFF" w:themeFill="background1"/>
        <w:spacing w:before="0" w:after="240" w:line="276" w:lineRule="auto"/>
        <w:ind w:left="850" w:hanging="357"/>
        <w:rPr>
          <w:rFonts w:asciiTheme="minorHAnsi" w:hAnsiTheme="minorHAnsi" w:cstheme="minorBidi"/>
          <w:sz w:val="24"/>
          <w:szCs w:val="24"/>
        </w:rPr>
      </w:pPr>
      <w:r w:rsidRPr="00D83BEE">
        <w:rPr>
          <w:rFonts w:asciiTheme="minorHAnsi" w:hAnsiTheme="minorHAnsi" w:cstheme="minorBidi"/>
          <w:sz w:val="24"/>
          <w:szCs w:val="24"/>
        </w:rPr>
        <w:t xml:space="preserve">The decline factor specified for a financial year applies to all baselines applying in that year (unless a reduced rate applies for trade exposure). This means that a new facility first needing a baseline in 2027-28 will have a decline factor of 0.755. </w:t>
      </w:r>
    </w:p>
    <w:p w14:paraId="05B6D60E" w14:textId="77777777" w:rsidR="00D127CA" w:rsidRPr="00490529" w:rsidRDefault="00D127CA" w:rsidP="00D127CA">
      <w:pPr>
        <w:pStyle w:val="TableHeading"/>
        <w:rPr>
          <w:sz w:val="24"/>
          <w:szCs w:val="24"/>
        </w:rPr>
      </w:pPr>
      <w:r w:rsidRPr="00490529">
        <w:rPr>
          <w:sz w:val="24"/>
          <w:szCs w:val="24"/>
        </w:rPr>
        <w:t xml:space="preserve">Table 1: Decline </w:t>
      </w:r>
      <w:proofErr w:type="gramStart"/>
      <w:r w:rsidRPr="00490529">
        <w:rPr>
          <w:sz w:val="24"/>
          <w:szCs w:val="24"/>
        </w:rPr>
        <w:t>factor</w:t>
      </w:r>
      <w:proofErr w:type="gramEnd"/>
    </w:p>
    <w:tbl>
      <w:tblPr>
        <w:tblStyle w:val="TableGrid"/>
        <w:tblW w:w="9067" w:type="dxa"/>
        <w:tblLook w:val="04A0" w:firstRow="1" w:lastRow="0" w:firstColumn="1" w:lastColumn="0" w:noHBand="0" w:noVBand="1"/>
      </w:tblPr>
      <w:tblGrid>
        <w:gridCol w:w="1413"/>
        <w:gridCol w:w="1093"/>
        <w:gridCol w:w="1093"/>
        <w:gridCol w:w="1094"/>
        <w:gridCol w:w="1093"/>
        <w:gridCol w:w="1094"/>
        <w:gridCol w:w="1093"/>
        <w:gridCol w:w="1094"/>
      </w:tblGrid>
      <w:tr w:rsidR="00D127CA" w:rsidRPr="00490529" w14:paraId="5B40ECFC" w14:textId="77777777" w:rsidTr="00E11100">
        <w:trPr>
          <w:cantSplit/>
          <w:tblHeader/>
        </w:trPr>
        <w:tc>
          <w:tcPr>
            <w:tcW w:w="1413" w:type="dxa"/>
            <w:shd w:val="clear" w:color="auto" w:fill="DBE5F1" w:themeFill="accent1" w:themeFillTint="33"/>
          </w:tcPr>
          <w:p w14:paraId="523E949A" w14:textId="77777777" w:rsidR="00D127CA" w:rsidRPr="00490529" w:rsidRDefault="00D127CA" w:rsidP="000C4AFE">
            <w:pPr>
              <w:keepLines/>
              <w:spacing w:after="60"/>
              <w:jc w:val="center"/>
              <w:rPr>
                <w:b/>
                <w:sz w:val="24"/>
                <w:szCs w:val="24"/>
              </w:rPr>
            </w:pPr>
          </w:p>
        </w:tc>
        <w:tc>
          <w:tcPr>
            <w:tcW w:w="1093" w:type="dxa"/>
            <w:shd w:val="clear" w:color="auto" w:fill="DBE5F1" w:themeFill="accent1" w:themeFillTint="33"/>
            <w:vAlign w:val="center"/>
          </w:tcPr>
          <w:p w14:paraId="45D7B6A8" w14:textId="77777777" w:rsidR="00D127CA" w:rsidRPr="00490529" w:rsidRDefault="00D127CA" w:rsidP="000C4AFE">
            <w:pPr>
              <w:keepLines/>
              <w:spacing w:after="60"/>
              <w:jc w:val="center"/>
              <w:rPr>
                <w:sz w:val="24"/>
                <w:szCs w:val="24"/>
              </w:rPr>
            </w:pPr>
            <w:r w:rsidRPr="00490529">
              <w:rPr>
                <w:rFonts w:ascii="Calibri" w:hAnsi="Calibri" w:cs="Calibri"/>
                <w:sz w:val="24"/>
                <w:szCs w:val="24"/>
              </w:rPr>
              <w:t>2023-24</w:t>
            </w:r>
          </w:p>
        </w:tc>
        <w:tc>
          <w:tcPr>
            <w:tcW w:w="1093" w:type="dxa"/>
            <w:shd w:val="clear" w:color="auto" w:fill="DBE5F1" w:themeFill="accent1" w:themeFillTint="33"/>
            <w:vAlign w:val="center"/>
          </w:tcPr>
          <w:p w14:paraId="7F871548" w14:textId="77777777" w:rsidR="00D127CA" w:rsidRPr="00490529" w:rsidRDefault="00D127CA" w:rsidP="000C4AFE">
            <w:pPr>
              <w:keepLines/>
              <w:spacing w:after="60"/>
              <w:jc w:val="center"/>
              <w:rPr>
                <w:sz w:val="24"/>
                <w:szCs w:val="24"/>
              </w:rPr>
            </w:pPr>
            <w:r w:rsidRPr="00490529">
              <w:rPr>
                <w:rFonts w:ascii="Calibri" w:hAnsi="Calibri" w:cs="Calibri"/>
                <w:sz w:val="24"/>
                <w:szCs w:val="24"/>
              </w:rPr>
              <w:t>2024-25</w:t>
            </w:r>
          </w:p>
        </w:tc>
        <w:tc>
          <w:tcPr>
            <w:tcW w:w="1094" w:type="dxa"/>
            <w:shd w:val="clear" w:color="auto" w:fill="DBE5F1" w:themeFill="accent1" w:themeFillTint="33"/>
            <w:vAlign w:val="center"/>
          </w:tcPr>
          <w:p w14:paraId="7C486B94" w14:textId="77777777" w:rsidR="00D127CA" w:rsidRPr="00490529" w:rsidRDefault="00D127CA" w:rsidP="000C4AFE">
            <w:pPr>
              <w:keepLines/>
              <w:spacing w:after="60"/>
              <w:jc w:val="center"/>
              <w:rPr>
                <w:sz w:val="24"/>
                <w:szCs w:val="24"/>
              </w:rPr>
            </w:pPr>
            <w:r w:rsidRPr="00490529">
              <w:rPr>
                <w:rFonts w:ascii="Calibri" w:hAnsi="Calibri" w:cs="Calibri"/>
                <w:sz w:val="24"/>
                <w:szCs w:val="24"/>
              </w:rPr>
              <w:t>2025-26</w:t>
            </w:r>
          </w:p>
        </w:tc>
        <w:tc>
          <w:tcPr>
            <w:tcW w:w="1093" w:type="dxa"/>
            <w:shd w:val="clear" w:color="auto" w:fill="DBE5F1" w:themeFill="accent1" w:themeFillTint="33"/>
            <w:vAlign w:val="center"/>
          </w:tcPr>
          <w:p w14:paraId="015419DC" w14:textId="77777777" w:rsidR="00D127CA" w:rsidRPr="00490529" w:rsidRDefault="00D127CA" w:rsidP="000C4AFE">
            <w:pPr>
              <w:keepLines/>
              <w:spacing w:after="60"/>
              <w:jc w:val="center"/>
              <w:rPr>
                <w:sz w:val="24"/>
                <w:szCs w:val="24"/>
              </w:rPr>
            </w:pPr>
            <w:r w:rsidRPr="00490529">
              <w:rPr>
                <w:rFonts w:ascii="Calibri" w:hAnsi="Calibri" w:cs="Calibri"/>
                <w:sz w:val="24"/>
                <w:szCs w:val="24"/>
              </w:rPr>
              <w:t>2026-27</w:t>
            </w:r>
          </w:p>
        </w:tc>
        <w:tc>
          <w:tcPr>
            <w:tcW w:w="1094" w:type="dxa"/>
            <w:shd w:val="clear" w:color="auto" w:fill="DBE5F1" w:themeFill="accent1" w:themeFillTint="33"/>
            <w:vAlign w:val="center"/>
          </w:tcPr>
          <w:p w14:paraId="1270C199" w14:textId="77777777" w:rsidR="00D127CA" w:rsidRPr="00490529" w:rsidRDefault="00D127CA" w:rsidP="000C4AFE">
            <w:pPr>
              <w:keepLines/>
              <w:spacing w:after="60"/>
              <w:jc w:val="center"/>
              <w:rPr>
                <w:sz w:val="24"/>
                <w:szCs w:val="24"/>
              </w:rPr>
            </w:pPr>
            <w:r w:rsidRPr="00490529">
              <w:rPr>
                <w:rFonts w:ascii="Calibri" w:hAnsi="Calibri" w:cs="Calibri"/>
                <w:sz w:val="24"/>
                <w:szCs w:val="24"/>
              </w:rPr>
              <w:t>2027-28</w:t>
            </w:r>
          </w:p>
        </w:tc>
        <w:tc>
          <w:tcPr>
            <w:tcW w:w="1093" w:type="dxa"/>
            <w:shd w:val="clear" w:color="auto" w:fill="DBE5F1" w:themeFill="accent1" w:themeFillTint="33"/>
            <w:vAlign w:val="center"/>
          </w:tcPr>
          <w:p w14:paraId="0ABFD8A9" w14:textId="77777777" w:rsidR="00D127CA" w:rsidRPr="00490529" w:rsidRDefault="00D127CA" w:rsidP="000C4AFE">
            <w:pPr>
              <w:keepLines/>
              <w:spacing w:after="60"/>
              <w:jc w:val="center"/>
              <w:rPr>
                <w:sz w:val="24"/>
                <w:szCs w:val="24"/>
              </w:rPr>
            </w:pPr>
            <w:r w:rsidRPr="00490529">
              <w:rPr>
                <w:rFonts w:ascii="Calibri" w:hAnsi="Calibri" w:cs="Calibri"/>
                <w:sz w:val="24"/>
                <w:szCs w:val="24"/>
              </w:rPr>
              <w:t>2028-29</w:t>
            </w:r>
          </w:p>
        </w:tc>
        <w:tc>
          <w:tcPr>
            <w:tcW w:w="1094" w:type="dxa"/>
            <w:shd w:val="clear" w:color="auto" w:fill="DBE5F1" w:themeFill="accent1" w:themeFillTint="33"/>
            <w:vAlign w:val="center"/>
          </w:tcPr>
          <w:p w14:paraId="7CE794B5" w14:textId="77777777" w:rsidR="00D127CA" w:rsidRPr="00490529" w:rsidRDefault="00D127CA" w:rsidP="000C4AFE">
            <w:pPr>
              <w:keepLines/>
              <w:spacing w:after="60"/>
              <w:jc w:val="center"/>
              <w:rPr>
                <w:sz w:val="24"/>
                <w:szCs w:val="24"/>
              </w:rPr>
            </w:pPr>
            <w:r w:rsidRPr="00490529">
              <w:rPr>
                <w:rFonts w:ascii="Calibri" w:hAnsi="Calibri" w:cs="Calibri"/>
                <w:sz w:val="24"/>
                <w:szCs w:val="24"/>
              </w:rPr>
              <w:t>2029-30</w:t>
            </w:r>
          </w:p>
        </w:tc>
      </w:tr>
      <w:tr w:rsidR="00D127CA" w:rsidRPr="00490529" w14:paraId="41924D7E" w14:textId="77777777" w:rsidTr="00D127CA">
        <w:tc>
          <w:tcPr>
            <w:tcW w:w="1413" w:type="dxa"/>
          </w:tcPr>
          <w:p w14:paraId="64D06021" w14:textId="77777777" w:rsidR="00D127CA" w:rsidRPr="00490529" w:rsidRDefault="00D127CA" w:rsidP="000C4AFE">
            <w:pPr>
              <w:keepLines/>
              <w:spacing w:after="60"/>
              <w:ind w:left="-113"/>
              <w:jc w:val="center"/>
              <w:rPr>
                <w:sz w:val="24"/>
                <w:szCs w:val="24"/>
              </w:rPr>
            </w:pPr>
            <w:r w:rsidRPr="00490529">
              <w:rPr>
                <w:sz w:val="24"/>
                <w:szCs w:val="24"/>
              </w:rPr>
              <w:t>Decline factor</w:t>
            </w:r>
          </w:p>
        </w:tc>
        <w:tc>
          <w:tcPr>
            <w:tcW w:w="1093" w:type="dxa"/>
            <w:vAlign w:val="bottom"/>
          </w:tcPr>
          <w:p w14:paraId="2904B100" w14:textId="77777777" w:rsidR="00D127CA" w:rsidRPr="00490529" w:rsidRDefault="00D127CA" w:rsidP="00DE543C">
            <w:pPr>
              <w:keepLines/>
              <w:spacing w:after="240"/>
              <w:jc w:val="center"/>
              <w:rPr>
                <w:sz w:val="24"/>
                <w:szCs w:val="24"/>
              </w:rPr>
            </w:pPr>
            <w:r w:rsidRPr="00490529">
              <w:rPr>
                <w:rFonts w:ascii="Calibri" w:hAnsi="Calibri" w:cs="Calibri"/>
                <w:color w:val="000000"/>
                <w:sz w:val="24"/>
                <w:szCs w:val="24"/>
              </w:rPr>
              <w:t>0.951</w:t>
            </w:r>
          </w:p>
        </w:tc>
        <w:tc>
          <w:tcPr>
            <w:tcW w:w="1093" w:type="dxa"/>
            <w:vAlign w:val="bottom"/>
          </w:tcPr>
          <w:p w14:paraId="34070CC4" w14:textId="77777777" w:rsidR="00D127CA" w:rsidRPr="00490529" w:rsidRDefault="00D127CA" w:rsidP="00DE543C">
            <w:pPr>
              <w:keepLines/>
              <w:spacing w:after="240"/>
              <w:jc w:val="center"/>
              <w:rPr>
                <w:sz w:val="24"/>
                <w:szCs w:val="24"/>
              </w:rPr>
            </w:pPr>
            <w:r w:rsidRPr="00490529">
              <w:rPr>
                <w:rFonts w:ascii="Calibri" w:hAnsi="Calibri" w:cs="Calibri"/>
                <w:color w:val="000000"/>
                <w:sz w:val="24"/>
                <w:szCs w:val="24"/>
              </w:rPr>
              <w:t>0.902</w:t>
            </w:r>
          </w:p>
        </w:tc>
        <w:tc>
          <w:tcPr>
            <w:tcW w:w="1094" w:type="dxa"/>
            <w:vAlign w:val="bottom"/>
          </w:tcPr>
          <w:p w14:paraId="0D8184C9" w14:textId="77777777" w:rsidR="00D127CA" w:rsidRPr="00490529" w:rsidRDefault="00D127CA" w:rsidP="00DE543C">
            <w:pPr>
              <w:keepLines/>
              <w:spacing w:after="240"/>
              <w:jc w:val="center"/>
              <w:rPr>
                <w:sz w:val="24"/>
                <w:szCs w:val="24"/>
              </w:rPr>
            </w:pPr>
            <w:r w:rsidRPr="00490529">
              <w:rPr>
                <w:rFonts w:ascii="Calibri" w:hAnsi="Calibri" w:cs="Calibri"/>
                <w:color w:val="000000"/>
                <w:sz w:val="24"/>
                <w:szCs w:val="24"/>
              </w:rPr>
              <w:t>0.853</w:t>
            </w:r>
          </w:p>
        </w:tc>
        <w:tc>
          <w:tcPr>
            <w:tcW w:w="1093" w:type="dxa"/>
            <w:vAlign w:val="bottom"/>
          </w:tcPr>
          <w:p w14:paraId="3CCFD4BB" w14:textId="77777777" w:rsidR="00D127CA" w:rsidRPr="00490529" w:rsidRDefault="00D127CA" w:rsidP="00DE543C">
            <w:pPr>
              <w:keepLines/>
              <w:spacing w:after="240"/>
              <w:jc w:val="center"/>
              <w:rPr>
                <w:sz w:val="24"/>
                <w:szCs w:val="24"/>
              </w:rPr>
            </w:pPr>
            <w:r w:rsidRPr="00490529">
              <w:rPr>
                <w:rFonts w:ascii="Calibri" w:hAnsi="Calibri" w:cs="Calibri"/>
                <w:color w:val="000000"/>
                <w:sz w:val="24"/>
                <w:szCs w:val="24"/>
              </w:rPr>
              <w:t>0.804</w:t>
            </w:r>
          </w:p>
        </w:tc>
        <w:tc>
          <w:tcPr>
            <w:tcW w:w="1094" w:type="dxa"/>
            <w:vAlign w:val="bottom"/>
          </w:tcPr>
          <w:p w14:paraId="0C20EF3D" w14:textId="77777777" w:rsidR="00D127CA" w:rsidRPr="00490529" w:rsidRDefault="00D127CA" w:rsidP="00DE543C">
            <w:pPr>
              <w:keepLines/>
              <w:spacing w:after="240"/>
              <w:jc w:val="center"/>
              <w:rPr>
                <w:sz w:val="24"/>
                <w:szCs w:val="24"/>
              </w:rPr>
            </w:pPr>
            <w:r w:rsidRPr="00490529">
              <w:rPr>
                <w:rFonts w:ascii="Calibri" w:hAnsi="Calibri" w:cs="Calibri"/>
                <w:color w:val="000000"/>
                <w:sz w:val="24"/>
                <w:szCs w:val="24"/>
              </w:rPr>
              <w:t>0.755</w:t>
            </w:r>
          </w:p>
        </w:tc>
        <w:tc>
          <w:tcPr>
            <w:tcW w:w="1093" w:type="dxa"/>
            <w:vAlign w:val="bottom"/>
          </w:tcPr>
          <w:p w14:paraId="6686C0D0" w14:textId="77777777" w:rsidR="00D127CA" w:rsidRPr="00490529" w:rsidRDefault="00D127CA" w:rsidP="00DE543C">
            <w:pPr>
              <w:keepLines/>
              <w:spacing w:after="240"/>
              <w:jc w:val="center"/>
              <w:rPr>
                <w:sz w:val="24"/>
                <w:szCs w:val="24"/>
              </w:rPr>
            </w:pPr>
            <w:r w:rsidRPr="00490529">
              <w:rPr>
                <w:rFonts w:ascii="Calibri" w:hAnsi="Calibri" w:cs="Calibri"/>
                <w:color w:val="000000"/>
                <w:sz w:val="24"/>
                <w:szCs w:val="24"/>
              </w:rPr>
              <w:t>0.706</w:t>
            </w:r>
          </w:p>
        </w:tc>
        <w:tc>
          <w:tcPr>
            <w:tcW w:w="1094" w:type="dxa"/>
            <w:vAlign w:val="bottom"/>
          </w:tcPr>
          <w:p w14:paraId="5A9FDA9B" w14:textId="77777777" w:rsidR="00D127CA" w:rsidRPr="00490529" w:rsidRDefault="00D127CA" w:rsidP="00DE543C">
            <w:pPr>
              <w:keepLines/>
              <w:spacing w:after="240"/>
              <w:jc w:val="center"/>
              <w:rPr>
                <w:sz w:val="24"/>
                <w:szCs w:val="24"/>
              </w:rPr>
            </w:pPr>
            <w:r w:rsidRPr="00490529">
              <w:rPr>
                <w:rFonts w:ascii="Calibri" w:hAnsi="Calibri" w:cs="Calibri"/>
                <w:color w:val="000000"/>
                <w:sz w:val="24"/>
                <w:szCs w:val="24"/>
              </w:rPr>
              <w:t>0.657</w:t>
            </w:r>
          </w:p>
        </w:tc>
      </w:tr>
    </w:tbl>
    <w:p w14:paraId="5A4D0437" w14:textId="77777777" w:rsidR="009A7AEB" w:rsidRPr="00490529" w:rsidRDefault="009A7AEB" w:rsidP="00FE72EF">
      <w:pPr>
        <w:spacing w:after="0"/>
        <w:rPr>
          <w:sz w:val="24"/>
          <w:szCs w:val="24"/>
          <w:lang w:eastAsia="ja-JP"/>
        </w:rPr>
      </w:pPr>
    </w:p>
    <w:p w14:paraId="170BB3A8" w14:textId="29028E14" w:rsidR="009A0656" w:rsidRPr="00490529" w:rsidRDefault="009A0656" w:rsidP="009A0656">
      <w:pPr>
        <w:rPr>
          <w:color w:val="0E101A"/>
          <w:sz w:val="24"/>
          <w:szCs w:val="24"/>
        </w:rPr>
      </w:pPr>
      <w:r w:rsidRPr="00490529">
        <w:rPr>
          <w:color w:val="0E101A"/>
          <w:sz w:val="24"/>
          <w:szCs w:val="24"/>
        </w:rPr>
        <w:t>Production variables and industry average emissions intensities are legislated in Schedule 1 of the Safeguard Rule</w:t>
      </w:r>
      <w:r w:rsidR="00E80B46" w:rsidRPr="00490529">
        <w:rPr>
          <w:color w:val="0E101A"/>
          <w:sz w:val="24"/>
          <w:szCs w:val="24"/>
        </w:rPr>
        <w:t>s</w:t>
      </w:r>
      <w:r w:rsidRPr="00490529">
        <w:rPr>
          <w:color w:val="0E101A"/>
          <w:sz w:val="24"/>
          <w:szCs w:val="24"/>
        </w:rPr>
        <w:t xml:space="preserve">. This is where </w:t>
      </w:r>
      <w:r w:rsidR="00B87B98" w:rsidRPr="00490529">
        <w:rPr>
          <w:color w:val="0E101A"/>
          <w:sz w:val="24"/>
          <w:szCs w:val="24"/>
        </w:rPr>
        <w:t xml:space="preserve">international </w:t>
      </w:r>
      <w:r w:rsidRPr="00490529">
        <w:rPr>
          <w:color w:val="0E101A"/>
          <w:sz w:val="24"/>
          <w:szCs w:val="24"/>
        </w:rPr>
        <w:t xml:space="preserve">best practice benchmarks will also be listed. The </w:t>
      </w:r>
      <w:hyperlink r:id="rId13" w:anchor=":~:text=The%20Safeguard%20Mechanism%20and%20National,calculations%20under%20the%20Safeguard%20Mechanism" w:history="1">
        <w:r w:rsidRPr="00490529">
          <w:rPr>
            <w:rStyle w:val="Hyperlink"/>
            <w:sz w:val="24"/>
            <w:szCs w:val="24"/>
          </w:rPr>
          <w:t>Safeguard Mechanism Document</w:t>
        </w:r>
      </w:hyperlink>
      <w:r w:rsidRPr="00490529">
        <w:rPr>
          <w:color w:val="0E101A"/>
          <w:sz w:val="24"/>
          <w:szCs w:val="24"/>
        </w:rPr>
        <w:t xml:space="preserve"> describes the emissions sources for each production variable that are relevant for calculating the corresponding emissions intensities.</w:t>
      </w:r>
    </w:p>
    <w:p w14:paraId="27305361" w14:textId="2C26E24D" w:rsidR="003B175D" w:rsidRPr="00DF2F30" w:rsidRDefault="003B175D" w:rsidP="003B175D">
      <w:pPr>
        <w:pStyle w:val="Heading3"/>
        <w:rPr>
          <w:color w:val="1F497D" w:themeColor="text2"/>
        </w:rPr>
      </w:pPr>
      <w:bookmarkStart w:id="3" w:name="_Toc146872809"/>
      <w:r w:rsidRPr="00DF2F30">
        <w:rPr>
          <w:color w:val="1F497D" w:themeColor="text2"/>
        </w:rPr>
        <w:t xml:space="preserve">Principles for developing international best practice </w:t>
      </w:r>
      <w:proofErr w:type="gramStart"/>
      <w:r w:rsidRPr="00DF2F30">
        <w:rPr>
          <w:color w:val="1F497D" w:themeColor="text2"/>
        </w:rPr>
        <w:t>benchmarks</w:t>
      </w:r>
      <w:bookmarkEnd w:id="3"/>
      <w:proofErr w:type="gramEnd"/>
    </w:p>
    <w:p w14:paraId="20FEB59D" w14:textId="7877CE40" w:rsidR="00F4770C" w:rsidRPr="00490529" w:rsidRDefault="00F4770C" w:rsidP="009A0656">
      <w:pPr>
        <w:rPr>
          <w:color w:val="0E101A"/>
          <w:sz w:val="24"/>
          <w:szCs w:val="24"/>
        </w:rPr>
      </w:pPr>
      <w:r w:rsidRPr="00490529">
        <w:rPr>
          <w:color w:val="0E101A"/>
          <w:sz w:val="24"/>
          <w:szCs w:val="24"/>
        </w:rPr>
        <w:t xml:space="preserve">Production variables </w:t>
      </w:r>
      <w:r w:rsidR="00840711" w:rsidRPr="00490529">
        <w:rPr>
          <w:color w:val="0E101A"/>
          <w:sz w:val="24"/>
          <w:szCs w:val="24"/>
        </w:rPr>
        <w:t xml:space="preserve">and industry average emissions intensities </w:t>
      </w:r>
      <w:r w:rsidR="0070786E" w:rsidRPr="00490529">
        <w:rPr>
          <w:color w:val="0E101A"/>
          <w:sz w:val="24"/>
          <w:szCs w:val="24"/>
        </w:rPr>
        <w:t xml:space="preserve">for these production variables </w:t>
      </w:r>
      <w:r w:rsidRPr="00490529">
        <w:rPr>
          <w:color w:val="0E101A"/>
          <w:sz w:val="24"/>
          <w:szCs w:val="24"/>
        </w:rPr>
        <w:t xml:space="preserve">have been developed in consultation with industry </w:t>
      </w:r>
      <w:r w:rsidR="0081549C" w:rsidRPr="00490529">
        <w:rPr>
          <w:color w:val="0E101A"/>
          <w:sz w:val="24"/>
          <w:szCs w:val="24"/>
        </w:rPr>
        <w:t>under a framework</w:t>
      </w:r>
      <w:r w:rsidR="005E4FF9" w:rsidRPr="00490529">
        <w:rPr>
          <w:rStyle w:val="FootnoteReference"/>
          <w:color w:val="0E101A"/>
          <w:sz w:val="24"/>
          <w:szCs w:val="24"/>
        </w:rPr>
        <w:footnoteReference w:id="4"/>
      </w:r>
      <w:r w:rsidR="0081549C" w:rsidRPr="00490529">
        <w:rPr>
          <w:color w:val="0E101A"/>
          <w:sz w:val="24"/>
          <w:szCs w:val="24"/>
        </w:rPr>
        <w:t xml:space="preserve"> based on four principles</w:t>
      </w:r>
      <w:r w:rsidR="00401F0D" w:rsidRPr="00490529">
        <w:rPr>
          <w:color w:val="0E101A"/>
          <w:sz w:val="24"/>
          <w:szCs w:val="24"/>
        </w:rPr>
        <w:t xml:space="preserve">: </w:t>
      </w:r>
      <w:r w:rsidR="0081549C" w:rsidRPr="00490529">
        <w:rPr>
          <w:color w:val="0E101A"/>
          <w:sz w:val="24"/>
          <w:szCs w:val="24"/>
        </w:rPr>
        <w:t xml:space="preserve"> </w:t>
      </w:r>
    </w:p>
    <w:p w14:paraId="07CF238D" w14:textId="77777777" w:rsidR="00C3646C" w:rsidRPr="00490529" w:rsidRDefault="00B21339" w:rsidP="00026DED">
      <w:pPr>
        <w:pStyle w:val="ListParagraph"/>
        <w:keepNext/>
        <w:keepLines/>
        <w:numPr>
          <w:ilvl w:val="0"/>
          <w:numId w:val="23"/>
        </w:numPr>
        <w:ind w:left="425" w:hanging="425"/>
        <w:rPr>
          <w:i/>
          <w:iCs/>
          <w:color w:val="0E101A"/>
          <w:sz w:val="24"/>
          <w:szCs w:val="24"/>
        </w:rPr>
      </w:pPr>
      <w:r w:rsidRPr="00490529">
        <w:rPr>
          <w:i/>
          <w:iCs/>
          <w:sz w:val="24"/>
          <w:szCs w:val="24"/>
        </w:rPr>
        <w:lastRenderedPageBreak/>
        <w:t xml:space="preserve">Principle 1: Effective </w:t>
      </w:r>
    </w:p>
    <w:p w14:paraId="7D0E57CC" w14:textId="7D9CEA22" w:rsidR="00B21339" w:rsidRPr="00490529" w:rsidRDefault="00B21339" w:rsidP="00026DED">
      <w:pPr>
        <w:pStyle w:val="ListParagraph"/>
        <w:keepNext/>
        <w:keepLines/>
        <w:ind w:left="426"/>
        <w:rPr>
          <w:color w:val="0E101A"/>
          <w:sz w:val="24"/>
          <w:szCs w:val="24"/>
        </w:rPr>
      </w:pPr>
      <w:r w:rsidRPr="00490529">
        <w:rPr>
          <w:sz w:val="24"/>
          <w:szCs w:val="24"/>
        </w:rPr>
        <w:t xml:space="preserve">Provide a suitable basis for setting baselines that reflect emissions per unit of production. </w:t>
      </w:r>
    </w:p>
    <w:p w14:paraId="446CCEAE" w14:textId="77777777" w:rsidR="00C3646C" w:rsidRPr="00490529" w:rsidRDefault="00B21339" w:rsidP="00026DED">
      <w:pPr>
        <w:pStyle w:val="ListParagraph"/>
        <w:keepNext/>
        <w:keepLines/>
        <w:numPr>
          <w:ilvl w:val="0"/>
          <w:numId w:val="23"/>
        </w:numPr>
        <w:ind w:left="426" w:hanging="426"/>
        <w:rPr>
          <w:i/>
          <w:iCs/>
          <w:sz w:val="24"/>
          <w:szCs w:val="24"/>
        </w:rPr>
      </w:pPr>
      <w:r w:rsidRPr="00490529">
        <w:rPr>
          <w:i/>
          <w:iCs/>
          <w:sz w:val="24"/>
          <w:szCs w:val="24"/>
        </w:rPr>
        <w:t>Principle 2: Consistent</w:t>
      </w:r>
    </w:p>
    <w:p w14:paraId="6897A0EB" w14:textId="25583819" w:rsidR="00B21339" w:rsidRPr="00490529" w:rsidRDefault="00B21339" w:rsidP="00026DED">
      <w:pPr>
        <w:pStyle w:val="ListParagraph"/>
        <w:keepNext/>
        <w:keepLines/>
        <w:ind w:left="426"/>
        <w:rPr>
          <w:sz w:val="24"/>
          <w:szCs w:val="24"/>
        </w:rPr>
      </w:pPr>
      <w:r w:rsidRPr="00490529">
        <w:rPr>
          <w:sz w:val="24"/>
          <w:szCs w:val="24"/>
        </w:rPr>
        <w:t>Treat facilities and industries consistently. Provide a suitable reference point that is representative of a sectoral average.</w:t>
      </w:r>
    </w:p>
    <w:p w14:paraId="758DEA2F" w14:textId="77777777" w:rsidR="00B21339" w:rsidRPr="00490529" w:rsidRDefault="00B21339" w:rsidP="00026DED">
      <w:pPr>
        <w:pStyle w:val="ListParagraph"/>
        <w:keepNext/>
        <w:keepLines/>
        <w:numPr>
          <w:ilvl w:val="0"/>
          <w:numId w:val="23"/>
        </w:numPr>
        <w:ind w:left="426" w:hanging="426"/>
        <w:rPr>
          <w:i/>
          <w:iCs/>
          <w:sz w:val="24"/>
          <w:szCs w:val="24"/>
        </w:rPr>
      </w:pPr>
      <w:r w:rsidRPr="00490529">
        <w:rPr>
          <w:i/>
          <w:iCs/>
          <w:sz w:val="24"/>
          <w:szCs w:val="24"/>
        </w:rPr>
        <w:t>Principle 3: Practical</w:t>
      </w:r>
    </w:p>
    <w:p w14:paraId="26FF2322" w14:textId="19448ACF" w:rsidR="00B21339" w:rsidRPr="00490529" w:rsidRDefault="00B21339" w:rsidP="00026DED">
      <w:pPr>
        <w:pStyle w:val="ListParagraph"/>
        <w:keepNext/>
        <w:keepLines/>
        <w:ind w:left="426"/>
        <w:rPr>
          <w:sz w:val="24"/>
          <w:szCs w:val="24"/>
        </w:rPr>
      </w:pPr>
      <w:r w:rsidRPr="00490529">
        <w:rPr>
          <w:sz w:val="24"/>
          <w:szCs w:val="24"/>
        </w:rPr>
        <w:t>Be as simple and low cost as possible, avoiding excessive measurement and reporting requirements and building on existing schemes, where possible.</w:t>
      </w:r>
    </w:p>
    <w:p w14:paraId="4F0DB298" w14:textId="77777777" w:rsidR="00C3646C" w:rsidRPr="00490529" w:rsidRDefault="00B21339" w:rsidP="00026DED">
      <w:pPr>
        <w:pStyle w:val="ListParagraph"/>
        <w:keepNext/>
        <w:keepLines/>
        <w:numPr>
          <w:ilvl w:val="0"/>
          <w:numId w:val="23"/>
        </w:numPr>
        <w:ind w:left="426" w:hanging="426"/>
        <w:rPr>
          <w:i/>
          <w:iCs/>
          <w:sz w:val="24"/>
          <w:szCs w:val="24"/>
        </w:rPr>
      </w:pPr>
      <w:r w:rsidRPr="00490529">
        <w:rPr>
          <w:i/>
          <w:iCs/>
          <w:sz w:val="24"/>
          <w:szCs w:val="24"/>
        </w:rPr>
        <w:t>Principle 4: Robust</w:t>
      </w:r>
    </w:p>
    <w:p w14:paraId="3D176FD9" w14:textId="2501BF1E" w:rsidR="00EF7832" w:rsidRPr="00490529" w:rsidRDefault="00B21339" w:rsidP="00026DED">
      <w:pPr>
        <w:pStyle w:val="ListParagraph"/>
        <w:keepLines/>
        <w:ind w:left="425"/>
        <w:rPr>
          <w:sz w:val="24"/>
          <w:szCs w:val="24"/>
        </w:rPr>
      </w:pPr>
      <w:r w:rsidRPr="00490529">
        <w:rPr>
          <w:sz w:val="24"/>
          <w:szCs w:val="24"/>
        </w:rPr>
        <w:t>Be based on high quality data and robust methodology that protects the confidentiality of sensitive industry data.</w:t>
      </w:r>
    </w:p>
    <w:p w14:paraId="2E0B63E3" w14:textId="4F3749B7" w:rsidR="00B21339" w:rsidRPr="00490529" w:rsidRDefault="00C1590A" w:rsidP="00B21339">
      <w:pPr>
        <w:rPr>
          <w:sz w:val="24"/>
          <w:szCs w:val="24"/>
        </w:rPr>
      </w:pPr>
      <w:r w:rsidRPr="00490529">
        <w:rPr>
          <w:color w:val="0E101A"/>
          <w:sz w:val="24"/>
          <w:szCs w:val="24"/>
        </w:rPr>
        <w:t xml:space="preserve">In many cases </w:t>
      </w:r>
      <w:r w:rsidR="00C13D61" w:rsidRPr="00490529">
        <w:rPr>
          <w:color w:val="0E101A"/>
          <w:sz w:val="24"/>
          <w:szCs w:val="24"/>
        </w:rPr>
        <w:t xml:space="preserve">these principles are </w:t>
      </w:r>
      <w:r w:rsidRPr="00490529">
        <w:rPr>
          <w:color w:val="0E101A"/>
          <w:sz w:val="24"/>
          <w:szCs w:val="24"/>
        </w:rPr>
        <w:t xml:space="preserve">more </w:t>
      </w:r>
      <w:r w:rsidR="00C13D61" w:rsidRPr="00490529">
        <w:rPr>
          <w:color w:val="0E101A"/>
          <w:sz w:val="24"/>
          <w:szCs w:val="24"/>
        </w:rPr>
        <w:t>d</w:t>
      </w:r>
      <w:r w:rsidRPr="00490529">
        <w:rPr>
          <w:color w:val="0E101A"/>
          <w:sz w:val="24"/>
          <w:szCs w:val="24"/>
        </w:rPr>
        <w:t>irectly relevant to production</w:t>
      </w:r>
      <w:r w:rsidR="005C1411" w:rsidRPr="00490529">
        <w:rPr>
          <w:color w:val="0E101A"/>
          <w:sz w:val="24"/>
          <w:szCs w:val="24"/>
        </w:rPr>
        <w:t xml:space="preserve"> variable definitions</w:t>
      </w:r>
      <w:r w:rsidR="00B04411" w:rsidRPr="00490529">
        <w:rPr>
          <w:color w:val="0E101A"/>
          <w:sz w:val="24"/>
          <w:szCs w:val="24"/>
        </w:rPr>
        <w:t>. However, international best practice benchmark emissions intensities should be set in a way that is consistent with these principles</w:t>
      </w:r>
      <w:r w:rsidR="00135169" w:rsidRPr="00490529">
        <w:rPr>
          <w:color w:val="0E101A"/>
          <w:sz w:val="24"/>
          <w:szCs w:val="24"/>
        </w:rPr>
        <w:t xml:space="preserve">. </w:t>
      </w:r>
      <w:proofErr w:type="gramStart"/>
      <w:r w:rsidR="00135169" w:rsidRPr="00490529">
        <w:rPr>
          <w:color w:val="0E101A"/>
          <w:sz w:val="24"/>
          <w:szCs w:val="24"/>
        </w:rPr>
        <w:t>In particular, they</w:t>
      </w:r>
      <w:proofErr w:type="gramEnd"/>
      <w:r w:rsidR="00135169" w:rsidRPr="00490529">
        <w:rPr>
          <w:color w:val="0E101A"/>
          <w:sz w:val="24"/>
          <w:szCs w:val="24"/>
        </w:rPr>
        <w:t xml:space="preserve"> should be based on </w:t>
      </w:r>
      <w:r w:rsidR="00135169" w:rsidRPr="00490529">
        <w:rPr>
          <w:sz w:val="24"/>
          <w:szCs w:val="24"/>
        </w:rPr>
        <w:t>high quality data and robust methodolog</w:t>
      </w:r>
      <w:r w:rsidR="0008045D" w:rsidRPr="00490529">
        <w:rPr>
          <w:sz w:val="24"/>
          <w:szCs w:val="24"/>
        </w:rPr>
        <w:t>y</w:t>
      </w:r>
      <w:r w:rsidR="00135169" w:rsidRPr="00490529">
        <w:rPr>
          <w:sz w:val="24"/>
          <w:szCs w:val="24"/>
        </w:rPr>
        <w:t>.</w:t>
      </w:r>
    </w:p>
    <w:p w14:paraId="6DF19740" w14:textId="6FFF415A" w:rsidR="00C7734E" w:rsidRPr="00490529" w:rsidRDefault="00C7734E" w:rsidP="00B21339">
      <w:pPr>
        <w:rPr>
          <w:color w:val="0E101A"/>
          <w:sz w:val="24"/>
          <w:szCs w:val="24"/>
        </w:rPr>
      </w:pPr>
      <w:r w:rsidRPr="00490529">
        <w:rPr>
          <w:bCs/>
          <w:sz w:val="24"/>
          <w:szCs w:val="24"/>
        </w:rPr>
        <w:t xml:space="preserve">Further information </w:t>
      </w:r>
      <w:r w:rsidR="00FD2DD9" w:rsidRPr="00490529">
        <w:rPr>
          <w:bCs/>
          <w:sz w:val="24"/>
          <w:szCs w:val="24"/>
        </w:rPr>
        <w:t xml:space="preserve">on the Safeguard Mechanism is </w:t>
      </w:r>
      <w:r w:rsidRPr="00490529">
        <w:rPr>
          <w:bCs/>
          <w:sz w:val="24"/>
          <w:szCs w:val="24"/>
        </w:rPr>
        <w:t xml:space="preserve">on the Department’s website: </w:t>
      </w:r>
      <w:hyperlink r:id="rId14" w:history="1">
        <w:r w:rsidRPr="00490529">
          <w:rPr>
            <w:rStyle w:val="Hyperlink"/>
            <w:sz w:val="24"/>
            <w:szCs w:val="24"/>
          </w:rPr>
          <w:t>Safeguard Mechanism - DCCEEW</w:t>
        </w:r>
      </w:hyperlink>
    </w:p>
    <w:p w14:paraId="182CF307" w14:textId="77777777" w:rsidR="00446502" w:rsidRDefault="00446502" w:rsidP="00A9179D">
      <w:pPr>
        <w:pStyle w:val="Heading2"/>
      </w:pPr>
      <w:bookmarkStart w:id="4" w:name="_Toc146872810"/>
      <w:r w:rsidRPr="00490529">
        <w:t>Setting international best practice benchmarks</w:t>
      </w:r>
      <w:bookmarkEnd w:id="4"/>
    </w:p>
    <w:p w14:paraId="76C4DCE3" w14:textId="189B8339" w:rsidR="007F5979" w:rsidRPr="00F76989" w:rsidRDefault="007F5979" w:rsidP="007F5979">
      <w:pPr>
        <w:rPr>
          <w:sz w:val="24"/>
          <w:szCs w:val="24"/>
          <w:lang w:eastAsia="ja-JP"/>
        </w:rPr>
      </w:pPr>
      <w:r w:rsidRPr="00F76989">
        <w:rPr>
          <w:sz w:val="24"/>
          <w:szCs w:val="24"/>
          <w:lang w:eastAsia="ja-JP"/>
        </w:rPr>
        <w:t xml:space="preserve">This section provides an overview </w:t>
      </w:r>
      <w:r w:rsidR="00B54780" w:rsidRPr="00F76989">
        <w:rPr>
          <w:sz w:val="24"/>
          <w:szCs w:val="24"/>
          <w:lang w:eastAsia="ja-JP"/>
        </w:rPr>
        <w:t>of the key steps for calculating international best practice benchmarks</w:t>
      </w:r>
      <w:r w:rsidR="00AB3252" w:rsidRPr="00F76989">
        <w:rPr>
          <w:sz w:val="24"/>
          <w:szCs w:val="24"/>
          <w:lang w:eastAsia="ja-JP"/>
        </w:rPr>
        <w:t xml:space="preserve"> and includes a theoretical </w:t>
      </w:r>
      <w:r w:rsidR="00431CB8">
        <w:rPr>
          <w:sz w:val="24"/>
          <w:szCs w:val="24"/>
          <w:lang w:eastAsia="ja-JP"/>
        </w:rPr>
        <w:t>example</w:t>
      </w:r>
      <w:r w:rsidR="00AB3252" w:rsidRPr="00F76989">
        <w:rPr>
          <w:sz w:val="24"/>
          <w:szCs w:val="24"/>
          <w:lang w:eastAsia="ja-JP"/>
        </w:rPr>
        <w:t xml:space="preserve">. </w:t>
      </w:r>
      <w:r w:rsidR="00F76989" w:rsidRPr="00F76989">
        <w:rPr>
          <w:sz w:val="24"/>
          <w:szCs w:val="24"/>
          <w:lang w:eastAsia="ja-JP"/>
        </w:rPr>
        <w:t>Individual elements of the method are explained in more detail in section 3.</w:t>
      </w:r>
    </w:p>
    <w:p w14:paraId="46557B56" w14:textId="5E43EA81" w:rsidR="00A9179D" w:rsidRPr="00DF2F30" w:rsidRDefault="007F5979" w:rsidP="007F5979">
      <w:pPr>
        <w:pStyle w:val="Heading3"/>
        <w:rPr>
          <w:color w:val="1F497D" w:themeColor="text2"/>
        </w:rPr>
      </w:pPr>
      <w:bookmarkStart w:id="5" w:name="_Toc146872811"/>
      <w:r w:rsidRPr="00DF2F30">
        <w:rPr>
          <w:color w:val="1F497D" w:themeColor="text2"/>
        </w:rPr>
        <w:t>High level calculation method</w:t>
      </w:r>
      <w:bookmarkEnd w:id="5"/>
    </w:p>
    <w:p w14:paraId="0F7420DF" w14:textId="2AE80E04" w:rsidR="00446502" w:rsidRPr="00490529" w:rsidRDefault="00446502" w:rsidP="009E679E">
      <w:pPr>
        <w:keepNext/>
        <w:rPr>
          <w:rStyle w:val="Emphasis"/>
          <w:sz w:val="24"/>
          <w:szCs w:val="24"/>
        </w:rPr>
      </w:pPr>
      <w:r w:rsidRPr="00490529">
        <w:rPr>
          <w:rStyle w:val="Emphasis"/>
          <w:sz w:val="24"/>
          <w:szCs w:val="24"/>
        </w:rPr>
        <w:t xml:space="preserve">Use facility-level emissions and production data from </w:t>
      </w:r>
      <w:r w:rsidR="003A3DFA">
        <w:rPr>
          <w:rStyle w:val="Emphasis"/>
          <w:sz w:val="24"/>
          <w:szCs w:val="24"/>
        </w:rPr>
        <w:t>the best performing</w:t>
      </w:r>
      <w:r w:rsidRPr="00490529">
        <w:rPr>
          <w:rStyle w:val="Emphasis"/>
          <w:sz w:val="24"/>
          <w:szCs w:val="24"/>
        </w:rPr>
        <w:t xml:space="preserve"> </w:t>
      </w:r>
      <w:r w:rsidR="004D2BBC">
        <w:rPr>
          <w:rStyle w:val="Emphasis"/>
          <w:sz w:val="24"/>
          <w:szCs w:val="24"/>
        </w:rPr>
        <w:t>five</w:t>
      </w:r>
      <w:r w:rsidRPr="00490529">
        <w:rPr>
          <w:rStyle w:val="Emphasis"/>
          <w:sz w:val="24"/>
          <w:szCs w:val="24"/>
        </w:rPr>
        <w:t xml:space="preserve"> facilities</w:t>
      </w:r>
      <w:r w:rsidR="003A3DFA">
        <w:rPr>
          <w:rStyle w:val="Emphasis"/>
          <w:sz w:val="24"/>
          <w:szCs w:val="24"/>
        </w:rPr>
        <w:t xml:space="preserve"> globally (including in Australia)</w:t>
      </w:r>
      <w:r w:rsidR="0096177D">
        <w:rPr>
          <w:rStyle w:val="Emphasis"/>
          <w:sz w:val="24"/>
          <w:szCs w:val="24"/>
        </w:rPr>
        <w:t>, ignoring any offsets.</w:t>
      </w:r>
    </w:p>
    <w:p w14:paraId="751DCFDE" w14:textId="2B67B1C9" w:rsidR="00446502" w:rsidRPr="00490529" w:rsidRDefault="006556A0" w:rsidP="00446502">
      <w:pPr>
        <w:rPr>
          <w:color w:val="0E101A"/>
          <w:sz w:val="24"/>
          <w:szCs w:val="24"/>
        </w:rPr>
      </w:pPr>
      <w:r w:rsidRPr="00490529">
        <w:rPr>
          <w:color w:val="0E101A"/>
          <w:sz w:val="24"/>
          <w:szCs w:val="24"/>
        </w:rPr>
        <w:t>Consistent with the calculation of</w:t>
      </w:r>
      <w:r w:rsidR="00446502" w:rsidRPr="00490529">
        <w:rPr>
          <w:color w:val="0E101A"/>
          <w:sz w:val="24"/>
          <w:szCs w:val="24"/>
        </w:rPr>
        <w:t xml:space="preserve"> </w:t>
      </w:r>
      <w:r w:rsidR="00F46B3A" w:rsidRPr="00490529">
        <w:rPr>
          <w:color w:val="0E101A"/>
          <w:sz w:val="24"/>
          <w:szCs w:val="24"/>
        </w:rPr>
        <w:t xml:space="preserve">industry </w:t>
      </w:r>
      <w:r w:rsidR="00446502" w:rsidRPr="00490529">
        <w:rPr>
          <w:color w:val="0E101A"/>
          <w:sz w:val="24"/>
          <w:szCs w:val="24"/>
        </w:rPr>
        <w:t>average emissions intensities, best practice benchmarks will use facility-level emissions and production data.</w:t>
      </w:r>
    </w:p>
    <w:p w14:paraId="3FE45CCD" w14:textId="2F01BFE3" w:rsidR="00446502" w:rsidRPr="00490529" w:rsidRDefault="00446502" w:rsidP="00446502">
      <w:pPr>
        <w:rPr>
          <w:color w:val="0E101A"/>
          <w:sz w:val="24"/>
          <w:szCs w:val="24"/>
        </w:rPr>
      </w:pPr>
      <w:r w:rsidRPr="00490529">
        <w:rPr>
          <w:color w:val="0E101A"/>
          <w:sz w:val="24"/>
          <w:szCs w:val="24"/>
        </w:rPr>
        <w:t xml:space="preserve">Where practical, </w:t>
      </w:r>
      <w:r w:rsidR="009F43C1">
        <w:rPr>
          <w:color w:val="0E101A"/>
          <w:sz w:val="24"/>
          <w:szCs w:val="24"/>
        </w:rPr>
        <w:t xml:space="preserve">the </w:t>
      </w:r>
      <w:r w:rsidR="00B07D89">
        <w:rPr>
          <w:color w:val="0E101A"/>
          <w:sz w:val="24"/>
          <w:szCs w:val="24"/>
        </w:rPr>
        <w:t xml:space="preserve">middle three of </w:t>
      </w:r>
      <w:r w:rsidR="009F43C1">
        <w:rPr>
          <w:color w:val="0E101A"/>
          <w:sz w:val="24"/>
          <w:szCs w:val="24"/>
        </w:rPr>
        <w:t>five</w:t>
      </w:r>
      <w:r w:rsidRPr="00490529">
        <w:rPr>
          <w:color w:val="0E101A"/>
          <w:sz w:val="24"/>
          <w:szCs w:val="24"/>
        </w:rPr>
        <w:t xml:space="preserve"> years of data</w:t>
      </w:r>
      <w:r w:rsidR="6014D089" w:rsidRPr="4BEC7167">
        <w:rPr>
          <w:color w:val="0E101A"/>
          <w:sz w:val="24"/>
          <w:szCs w:val="24"/>
        </w:rPr>
        <w:t>, excluding the highest and lowest emissions-intensity years,</w:t>
      </w:r>
      <w:r w:rsidRPr="00490529">
        <w:rPr>
          <w:color w:val="0E101A"/>
          <w:sz w:val="24"/>
          <w:szCs w:val="24"/>
        </w:rPr>
        <w:t xml:space="preserve"> will be sourced from </w:t>
      </w:r>
      <w:r w:rsidR="001F69A3">
        <w:rPr>
          <w:color w:val="0E101A"/>
          <w:sz w:val="24"/>
          <w:szCs w:val="24"/>
        </w:rPr>
        <w:t>five</w:t>
      </w:r>
      <w:r w:rsidRPr="00490529">
        <w:rPr>
          <w:color w:val="0E101A"/>
          <w:sz w:val="24"/>
          <w:szCs w:val="24"/>
        </w:rPr>
        <w:t xml:space="preserve"> facilities. The benchmark will then be set at the production-weighted average emissions intensity of this data.</w:t>
      </w:r>
    </w:p>
    <w:p w14:paraId="36C90AD3" w14:textId="341CD982" w:rsidR="00446502" w:rsidRPr="00490529" w:rsidRDefault="00446502" w:rsidP="00A957F6">
      <w:pPr>
        <w:keepNext/>
        <w:rPr>
          <w:color w:val="0E101A"/>
          <w:sz w:val="24"/>
          <w:szCs w:val="24"/>
        </w:rPr>
      </w:pPr>
      <w:r w:rsidRPr="00490529">
        <w:rPr>
          <w:color w:val="0E101A"/>
          <w:sz w:val="24"/>
          <w:szCs w:val="24"/>
        </w:rPr>
        <w:t xml:space="preserve">In summary, </w:t>
      </w:r>
      <w:r w:rsidR="00640D74" w:rsidRPr="00490529">
        <w:rPr>
          <w:color w:val="0E101A"/>
          <w:sz w:val="24"/>
          <w:szCs w:val="24"/>
        </w:rPr>
        <w:t>the</w:t>
      </w:r>
      <w:r w:rsidRPr="00490529">
        <w:rPr>
          <w:color w:val="0E101A"/>
          <w:sz w:val="24"/>
          <w:szCs w:val="24"/>
        </w:rPr>
        <w:t xml:space="preserve"> high</w:t>
      </w:r>
      <w:r w:rsidR="00492370" w:rsidRPr="00490529">
        <w:rPr>
          <w:color w:val="0E101A"/>
          <w:sz w:val="24"/>
          <w:szCs w:val="24"/>
        </w:rPr>
        <w:t>-</w:t>
      </w:r>
      <w:r w:rsidRPr="00490529">
        <w:rPr>
          <w:color w:val="0E101A"/>
          <w:sz w:val="24"/>
          <w:szCs w:val="24"/>
        </w:rPr>
        <w:t>level steps are:</w:t>
      </w:r>
    </w:p>
    <w:p w14:paraId="59B11F23" w14:textId="06E0B6BB" w:rsidR="00446502" w:rsidRPr="00490529" w:rsidRDefault="00446502" w:rsidP="00EC7B73">
      <w:pPr>
        <w:pStyle w:val="ListNumber"/>
        <w:numPr>
          <w:ilvl w:val="0"/>
          <w:numId w:val="20"/>
        </w:numPr>
        <w:ind w:hanging="502"/>
        <w:rPr>
          <w:rStyle w:val="Emphasis"/>
          <w:i w:val="0"/>
          <w:iCs w:val="0"/>
          <w:color w:val="0E101A"/>
          <w:sz w:val="24"/>
          <w:szCs w:val="24"/>
        </w:rPr>
      </w:pPr>
      <w:r w:rsidRPr="00490529">
        <w:rPr>
          <w:rStyle w:val="Emphasis"/>
          <w:i w:val="0"/>
          <w:iCs w:val="0"/>
          <w:color w:val="0E101A"/>
          <w:sz w:val="24"/>
          <w:szCs w:val="24"/>
        </w:rPr>
        <w:t>Identify potential best practice facilities</w:t>
      </w:r>
      <w:r w:rsidR="001F69A3">
        <w:rPr>
          <w:rStyle w:val="Emphasis"/>
          <w:i w:val="0"/>
          <w:iCs w:val="0"/>
          <w:color w:val="0E101A"/>
          <w:sz w:val="24"/>
          <w:szCs w:val="24"/>
        </w:rPr>
        <w:t xml:space="preserve"> globally</w:t>
      </w:r>
      <w:r w:rsidR="002223FD">
        <w:rPr>
          <w:rStyle w:val="Emphasis"/>
          <w:i w:val="0"/>
          <w:iCs w:val="0"/>
          <w:color w:val="0E101A"/>
          <w:sz w:val="24"/>
          <w:szCs w:val="24"/>
        </w:rPr>
        <w:t xml:space="preserve">, </w:t>
      </w:r>
      <w:r w:rsidR="001F69A3">
        <w:rPr>
          <w:rStyle w:val="Emphasis"/>
          <w:i w:val="0"/>
          <w:iCs w:val="0"/>
          <w:color w:val="0E101A"/>
          <w:sz w:val="24"/>
          <w:szCs w:val="24"/>
        </w:rPr>
        <w:t>including Australian and international facilities</w:t>
      </w:r>
      <w:r w:rsidRPr="00490529">
        <w:rPr>
          <w:rStyle w:val="Emphasis"/>
          <w:i w:val="0"/>
          <w:iCs w:val="0"/>
          <w:color w:val="0E101A"/>
          <w:sz w:val="24"/>
          <w:szCs w:val="24"/>
        </w:rPr>
        <w:t xml:space="preserve">. </w:t>
      </w:r>
    </w:p>
    <w:p w14:paraId="7B045D6C" w14:textId="2BBE3972" w:rsidR="00446502" w:rsidRPr="00490529" w:rsidRDefault="00446502" w:rsidP="00EC7B73">
      <w:pPr>
        <w:pStyle w:val="ListNumber"/>
        <w:numPr>
          <w:ilvl w:val="0"/>
          <w:numId w:val="20"/>
        </w:numPr>
        <w:ind w:hanging="502"/>
        <w:rPr>
          <w:rStyle w:val="Emphasis"/>
          <w:i w:val="0"/>
          <w:iCs w:val="0"/>
          <w:color w:val="0E101A"/>
          <w:sz w:val="24"/>
          <w:szCs w:val="24"/>
        </w:rPr>
      </w:pPr>
      <w:r w:rsidRPr="00490529">
        <w:rPr>
          <w:rStyle w:val="Emphasis"/>
          <w:i w:val="0"/>
          <w:iCs w:val="0"/>
          <w:color w:val="0E101A"/>
          <w:sz w:val="24"/>
          <w:szCs w:val="24"/>
        </w:rPr>
        <w:lastRenderedPageBreak/>
        <w:t xml:space="preserve">For each potential best practice facility, collect data </w:t>
      </w:r>
      <w:r w:rsidR="3CA136B5" w:rsidRPr="4BEC7167">
        <w:rPr>
          <w:rStyle w:val="Emphasis"/>
          <w:i w:val="0"/>
          <w:iCs w:val="0"/>
          <w:color w:val="0E101A"/>
          <w:sz w:val="24"/>
          <w:szCs w:val="24"/>
        </w:rPr>
        <w:t xml:space="preserve">for five recent years, where practical, </w:t>
      </w:r>
      <w:r w:rsidRPr="00490529">
        <w:rPr>
          <w:rStyle w:val="Emphasis"/>
          <w:i w:val="0"/>
          <w:iCs w:val="0"/>
          <w:color w:val="0E101A"/>
          <w:sz w:val="24"/>
          <w:szCs w:val="24"/>
        </w:rPr>
        <w:t>and divide emissions by production to work out its emissions</w:t>
      </w:r>
      <w:r w:rsidR="4BA79756" w:rsidRPr="4BEC7167">
        <w:rPr>
          <w:rStyle w:val="Emphasis"/>
          <w:i w:val="0"/>
          <w:iCs w:val="0"/>
          <w:color w:val="0E101A"/>
          <w:sz w:val="24"/>
          <w:szCs w:val="24"/>
        </w:rPr>
        <w:t>-</w:t>
      </w:r>
      <w:r w:rsidRPr="00490529">
        <w:rPr>
          <w:rStyle w:val="Emphasis"/>
          <w:i w:val="0"/>
          <w:iCs w:val="0"/>
          <w:color w:val="0E101A"/>
          <w:sz w:val="24"/>
          <w:szCs w:val="24"/>
        </w:rPr>
        <w:t>intensity</w:t>
      </w:r>
      <w:r w:rsidR="7411E0CC" w:rsidRPr="4BEC7167">
        <w:rPr>
          <w:rStyle w:val="Emphasis"/>
          <w:i w:val="0"/>
          <w:iCs w:val="0"/>
          <w:color w:val="0E101A"/>
          <w:sz w:val="24"/>
          <w:szCs w:val="24"/>
        </w:rPr>
        <w:t xml:space="preserve"> in each year</w:t>
      </w:r>
      <w:r w:rsidRPr="00490529">
        <w:rPr>
          <w:rStyle w:val="Emphasis"/>
          <w:i w:val="0"/>
          <w:iCs w:val="0"/>
          <w:color w:val="0E101A"/>
          <w:sz w:val="24"/>
          <w:szCs w:val="24"/>
        </w:rPr>
        <w:t>, ignoring any offsetting.</w:t>
      </w:r>
      <w:r w:rsidR="789E1F63" w:rsidRPr="4BEC7167">
        <w:rPr>
          <w:rStyle w:val="Emphasis"/>
          <w:i w:val="0"/>
          <w:iCs w:val="0"/>
          <w:color w:val="0E101A"/>
          <w:sz w:val="24"/>
          <w:szCs w:val="24"/>
        </w:rPr>
        <w:t xml:space="preserve"> Exclude the highest and lowest emissions-intensity years. </w:t>
      </w:r>
    </w:p>
    <w:p w14:paraId="3A79C411" w14:textId="2007E05B" w:rsidR="00366589" w:rsidRPr="00490529" w:rsidRDefault="0021627C" w:rsidP="00EC7B73">
      <w:pPr>
        <w:pStyle w:val="ListNumber2"/>
        <w:numPr>
          <w:ilvl w:val="0"/>
          <w:numId w:val="21"/>
        </w:numPr>
        <w:ind w:left="851"/>
        <w:rPr>
          <w:rStyle w:val="Emphasis"/>
          <w:i w:val="0"/>
          <w:iCs w:val="0"/>
          <w:color w:val="0E101A"/>
          <w:sz w:val="24"/>
        </w:rPr>
      </w:pPr>
      <w:r w:rsidRPr="00490529">
        <w:rPr>
          <w:rStyle w:val="Emphasis"/>
          <w:i w:val="0"/>
          <w:iCs w:val="0"/>
          <w:color w:val="0E101A"/>
          <w:sz w:val="24"/>
        </w:rPr>
        <w:t>If emissions from the facility are associated with more than one production variable</w:t>
      </w:r>
      <w:r w:rsidR="00E32D39" w:rsidRPr="00490529">
        <w:rPr>
          <w:rStyle w:val="Emphasis"/>
          <w:i w:val="0"/>
          <w:iCs w:val="0"/>
          <w:color w:val="0E101A"/>
          <w:sz w:val="24"/>
        </w:rPr>
        <w:t>, only emissions</w:t>
      </w:r>
      <w:r w:rsidR="00E84AB4" w:rsidRPr="00490529">
        <w:rPr>
          <w:rStyle w:val="Emphasis"/>
          <w:i w:val="0"/>
          <w:iCs w:val="0"/>
          <w:color w:val="0E101A"/>
          <w:sz w:val="24"/>
        </w:rPr>
        <w:t xml:space="preserve"> relevant to th</w:t>
      </w:r>
      <w:r w:rsidR="0014279F" w:rsidRPr="00490529">
        <w:rPr>
          <w:rStyle w:val="Emphasis"/>
          <w:i w:val="0"/>
          <w:iCs w:val="0"/>
          <w:color w:val="0E101A"/>
          <w:sz w:val="24"/>
        </w:rPr>
        <w:t>e</w:t>
      </w:r>
      <w:r w:rsidR="00E84AB4" w:rsidRPr="00490529">
        <w:rPr>
          <w:rStyle w:val="Emphasis"/>
          <w:i w:val="0"/>
          <w:iCs w:val="0"/>
          <w:color w:val="0E101A"/>
          <w:sz w:val="24"/>
        </w:rPr>
        <w:t xml:space="preserve"> production variable would be used</w:t>
      </w:r>
      <w:r w:rsidR="0014279F" w:rsidRPr="00490529">
        <w:rPr>
          <w:rStyle w:val="Emphasis"/>
          <w:i w:val="0"/>
          <w:iCs w:val="0"/>
          <w:color w:val="0E101A"/>
          <w:sz w:val="24"/>
        </w:rPr>
        <w:t>.</w:t>
      </w:r>
      <w:r w:rsidR="006844B1" w:rsidRPr="00490529">
        <w:rPr>
          <w:rStyle w:val="Emphasis"/>
          <w:i w:val="0"/>
          <w:iCs w:val="0"/>
          <w:color w:val="0E101A"/>
          <w:sz w:val="24"/>
        </w:rPr>
        <w:t xml:space="preserve"> </w:t>
      </w:r>
      <w:r w:rsidR="003A33D0" w:rsidRPr="00490529">
        <w:rPr>
          <w:rStyle w:val="Emphasis"/>
          <w:i w:val="0"/>
          <w:iCs w:val="0"/>
          <w:color w:val="0E101A"/>
          <w:sz w:val="24"/>
        </w:rPr>
        <w:t>Any apportioning would be consistent with how industry average emissions</w:t>
      </w:r>
      <w:r w:rsidR="00CA75BC">
        <w:rPr>
          <w:rStyle w:val="Emphasis"/>
          <w:i w:val="0"/>
          <w:iCs w:val="0"/>
          <w:color w:val="0E101A"/>
          <w:sz w:val="24"/>
        </w:rPr>
        <w:t xml:space="preserve"> intensity values</w:t>
      </w:r>
      <w:r w:rsidR="003A33D0" w:rsidRPr="00490529">
        <w:rPr>
          <w:rStyle w:val="Emphasis"/>
          <w:i w:val="0"/>
          <w:iCs w:val="0"/>
          <w:color w:val="0E101A"/>
          <w:sz w:val="24"/>
        </w:rPr>
        <w:t xml:space="preserve"> were calculated.</w:t>
      </w:r>
    </w:p>
    <w:p w14:paraId="07616A7E" w14:textId="77777777" w:rsidR="00552180" w:rsidRDefault="00446502" w:rsidP="00EC7B73">
      <w:pPr>
        <w:pStyle w:val="ListNumber2"/>
        <w:numPr>
          <w:ilvl w:val="0"/>
          <w:numId w:val="21"/>
        </w:numPr>
        <w:ind w:left="851"/>
        <w:rPr>
          <w:rStyle w:val="Emphasis"/>
          <w:i w:val="0"/>
          <w:iCs w:val="0"/>
          <w:color w:val="0E101A"/>
          <w:sz w:val="24"/>
        </w:rPr>
      </w:pPr>
      <w:r w:rsidRPr="00490529">
        <w:rPr>
          <w:rStyle w:val="Emphasis"/>
          <w:i w:val="0"/>
          <w:iCs w:val="0"/>
          <w:color w:val="0E101A"/>
          <w:sz w:val="24"/>
        </w:rPr>
        <w:t xml:space="preserve">If necessary, adjust the emissions intensity for Australian conditions. </w:t>
      </w:r>
    </w:p>
    <w:p w14:paraId="71810506" w14:textId="3756A67E" w:rsidR="00446502" w:rsidRPr="00490529" w:rsidRDefault="00446502" w:rsidP="00EC7B73">
      <w:pPr>
        <w:pStyle w:val="ListNumber2"/>
        <w:numPr>
          <w:ilvl w:val="0"/>
          <w:numId w:val="21"/>
        </w:numPr>
        <w:ind w:left="851"/>
        <w:rPr>
          <w:rStyle w:val="Emphasis"/>
          <w:i w:val="0"/>
          <w:iCs w:val="0"/>
          <w:color w:val="0E101A"/>
          <w:sz w:val="24"/>
        </w:rPr>
      </w:pPr>
      <w:r w:rsidRPr="00490529">
        <w:rPr>
          <w:rStyle w:val="Emphasis"/>
          <w:i w:val="0"/>
          <w:iCs w:val="0"/>
          <w:color w:val="0E101A"/>
          <w:sz w:val="24"/>
        </w:rPr>
        <w:t>Revisit step 1</w:t>
      </w:r>
      <w:r w:rsidR="00C10B6D">
        <w:rPr>
          <w:rStyle w:val="Emphasis"/>
          <w:i w:val="0"/>
          <w:iCs w:val="0"/>
          <w:color w:val="0E101A"/>
          <w:sz w:val="24"/>
        </w:rPr>
        <w:t>. That is, re-order</w:t>
      </w:r>
      <w:r w:rsidRPr="00490529">
        <w:rPr>
          <w:rStyle w:val="Emphasis"/>
          <w:i w:val="0"/>
          <w:iCs w:val="0"/>
          <w:color w:val="0E101A"/>
          <w:sz w:val="24"/>
        </w:rPr>
        <w:t xml:space="preserve"> best practice facilities </w:t>
      </w:r>
      <w:r w:rsidR="00C10B6D">
        <w:rPr>
          <w:rStyle w:val="Emphasis"/>
          <w:i w:val="0"/>
          <w:iCs w:val="0"/>
          <w:color w:val="0E101A"/>
          <w:sz w:val="24"/>
        </w:rPr>
        <w:t>using</w:t>
      </w:r>
      <w:r w:rsidRPr="00490529">
        <w:rPr>
          <w:rStyle w:val="Emphasis"/>
          <w:i w:val="0"/>
          <w:iCs w:val="0"/>
          <w:color w:val="0E101A"/>
          <w:sz w:val="24"/>
        </w:rPr>
        <w:t xml:space="preserve"> adjusted emissions intensity value</w:t>
      </w:r>
      <w:r w:rsidR="00C10B6D">
        <w:rPr>
          <w:rStyle w:val="Emphasis"/>
          <w:i w:val="0"/>
          <w:iCs w:val="0"/>
          <w:color w:val="0E101A"/>
          <w:sz w:val="24"/>
        </w:rPr>
        <w:t>s</w:t>
      </w:r>
      <w:r w:rsidR="002C7167">
        <w:rPr>
          <w:rStyle w:val="Emphasis"/>
          <w:i w:val="0"/>
          <w:iCs w:val="0"/>
          <w:color w:val="0E101A"/>
          <w:sz w:val="24"/>
        </w:rPr>
        <w:t xml:space="preserve"> if needed</w:t>
      </w:r>
      <w:r w:rsidRPr="00490529">
        <w:rPr>
          <w:rStyle w:val="Emphasis"/>
          <w:i w:val="0"/>
          <w:iCs w:val="0"/>
          <w:color w:val="0E101A"/>
          <w:sz w:val="24"/>
        </w:rPr>
        <w:t xml:space="preserve">. </w:t>
      </w:r>
    </w:p>
    <w:p w14:paraId="7DAA9CB4" w14:textId="77777777" w:rsidR="00446502" w:rsidRPr="00490529" w:rsidRDefault="00446502" w:rsidP="00EC7B73">
      <w:pPr>
        <w:pStyle w:val="ListNumber"/>
        <w:numPr>
          <w:ilvl w:val="0"/>
          <w:numId w:val="20"/>
        </w:numPr>
        <w:ind w:hanging="502"/>
        <w:rPr>
          <w:rStyle w:val="Emphasis"/>
          <w:i w:val="0"/>
          <w:iCs w:val="0"/>
          <w:color w:val="0E101A"/>
          <w:sz w:val="24"/>
          <w:szCs w:val="24"/>
        </w:rPr>
      </w:pPr>
      <w:r w:rsidRPr="00490529">
        <w:rPr>
          <w:rStyle w:val="Emphasis"/>
          <w:i w:val="0"/>
          <w:iCs w:val="0"/>
          <w:color w:val="0E101A"/>
          <w:sz w:val="24"/>
          <w:szCs w:val="24"/>
        </w:rPr>
        <w:t xml:space="preserve">Calculate a production-weighted average emissions intensity. </w:t>
      </w:r>
    </w:p>
    <w:p w14:paraId="154AAA64" w14:textId="3D9433E1" w:rsidR="00446502" w:rsidRPr="006C55B5" w:rsidRDefault="00446502" w:rsidP="00EC7B73">
      <w:pPr>
        <w:pStyle w:val="ListNumber2"/>
        <w:numPr>
          <w:ilvl w:val="0"/>
          <w:numId w:val="22"/>
        </w:numPr>
        <w:ind w:left="851"/>
        <w:rPr>
          <w:rStyle w:val="Emphasis"/>
          <w:i w:val="0"/>
          <w:iCs w:val="0"/>
          <w:color w:val="0E101A"/>
          <w:sz w:val="24"/>
        </w:rPr>
      </w:pPr>
      <w:r w:rsidRPr="006C55B5">
        <w:rPr>
          <w:rStyle w:val="Emphasis"/>
          <w:i w:val="0"/>
          <w:iCs w:val="0"/>
          <w:color w:val="0E101A"/>
          <w:sz w:val="24"/>
        </w:rPr>
        <w:t xml:space="preserve">Use </w:t>
      </w:r>
      <w:r w:rsidR="00C10B6D" w:rsidRPr="006C55B5">
        <w:rPr>
          <w:rStyle w:val="Emphasis"/>
          <w:i w:val="0"/>
          <w:iCs w:val="0"/>
          <w:color w:val="0E101A"/>
          <w:sz w:val="24"/>
        </w:rPr>
        <w:t>five</w:t>
      </w:r>
      <w:r w:rsidRPr="006C55B5">
        <w:rPr>
          <w:rStyle w:val="Emphasis"/>
          <w:i w:val="0"/>
          <w:iCs w:val="0"/>
          <w:color w:val="0E101A"/>
          <w:sz w:val="24"/>
        </w:rPr>
        <w:t xml:space="preserve"> facilities, ensuring their combined annual production is </w:t>
      </w:r>
      <w:r w:rsidR="00E724CB" w:rsidRPr="006C55B5">
        <w:rPr>
          <w:rStyle w:val="Emphasis"/>
          <w:i w:val="0"/>
          <w:iCs w:val="0"/>
          <w:color w:val="0E101A"/>
          <w:sz w:val="24"/>
        </w:rPr>
        <w:t>between</w:t>
      </w:r>
      <w:r w:rsidRPr="006C55B5">
        <w:rPr>
          <w:rStyle w:val="Emphasis"/>
          <w:i w:val="0"/>
          <w:iCs w:val="0"/>
          <w:color w:val="0E101A"/>
          <w:sz w:val="24"/>
        </w:rPr>
        <w:t xml:space="preserve"> 10</w:t>
      </w:r>
      <w:r w:rsidR="00C10B6D" w:rsidRPr="006C55B5">
        <w:rPr>
          <w:rStyle w:val="Emphasis"/>
          <w:i w:val="0"/>
          <w:iCs w:val="0"/>
          <w:color w:val="0E101A"/>
          <w:sz w:val="24"/>
        </w:rPr>
        <w:t> </w:t>
      </w:r>
      <w:r w:rsidR="00E724CB" w:rsidRPr="006C55B5">
        <w:rPr>
          <w:rStyle w:val="Emphasis"/>
          <w:i w:val="0"/>
          <w:iCs w:val="0"/>
          <w:color w:val="0E101A"/>
          <w:sz w:val="24"/>
        </w:rPr>
        <w:t xml:space="preserve">and 25% </w:t>
      </w:r>
      <w:r w:rsidRPr="006C55B5">
        <w:rPr>
          <w:rStyle w:val="Emphasis"/>
          <w:i w:val="0"/>
          <w:iCs w:val="0"/>
          <w:color w:val="0E101A"/>
          <w:sz w:val="24"/>
        </w:rPr>
        <w:t xml:space="preserve">of the </w:t>
      </w:r>
      <w:r w:rsidR="00314607" w:rsidRPr="006C55B5">
        <w:rPr>
          <w:rStyle w:val="Emphasis"/>
          <w:i w:val="0"/>
          <w:iCs w:val="0"/>
          <w:color w:val="0E101A"/>
          <w:sz w:val="24"/>
        </w:rPr>
        <w:t>combined</w:t>
      </w:r>
      <w:r w:rsidR="008166AD" w:rsidRPr="006C55B5">
        <w:rPr>
          <w:rStyle w:val="Emphasis"/>
          <w:i w:val="0"/>
          <w:iCs w:val="0"/>
          <w:color w:val="0E101A"/>
          <w:sz w:val="24"/>
        </w:rPr>
        <w:t xml:space="preserve"> </w:t>
      </w:r>
      <w:r w:rsidRPr="006C55B5">
        <w:rPr>
          <w:rStyle w:val="Emphasis"/>
          <w:i w:val="0"/>
          <w:iCs w:val="0"/>
          <w:color w:val="0E101A"/>
          <w:sz w:val="24"/>
        </w:rPr>
        <w:t xml:space="preserve">annual production of </w:t>
      </w:r>
      <w:r w:rsidR="008166AD" w:rsidRPr="006C55B5">
        <w:rPr>
          <w:rStyle w:val="Emphasis"/>
          <w:i w:val="0"/>
          <w:iCs w:val="0"/>
          <w:color w:val="0E101A"/>
          <w:sz w:val="24"/>
        </w:rPr>
        <w:t>all</w:t>
      </w:r>
      <w:r w:rsidRPr="006C55B5">
        <w:rPr>
          <w:rStyle w:val="Emphasis"/>
          <w:i w:val="0"/>
          <w:iCs w:val="0"/>
          <w:color w:val="0E101A"/>
          <w:sz w:val="24"/>
        </w:rPr>
        <w:t xml:space="preserve"> relevant Safeguard facilities.</w:t>
      </w:r>
      <w:r w:rsidR="000F3988" w:rsidRPr="006C55B5">
        <w:rPr>
          <w:rStyle w:val="Emphasis"/>
          <w:i w:val="0"/>
          <w:iCs w:val="0"/>
          <w:color w:val="0E101A"/>
          <w:sz w:val="24"/>
        </w:rPr>
        <w:t xml:space="preserve"> </w:t>
      </w:r>
    </w:p>
    <w:p w14:paraId="6C7781B0" w14:textId="5A6489E2" w:rsidR="00446502" w:rsidRPr="00490529" w:rsidRDefault="00446502" w:rsidP="00EC7B73">
      <w:pPr>
        <w:pStyle w:val="ListNumber"/>
        <w:numPr>
          <w:ilvl w:val="0"/>
          <w:numId w:val="20"/>
        </w:numPr>
        <w:ind w:hanging="502"/>
        <w:rPr>
          <w:rStyle w:val="Emphasis"/>
          <w:i w:val="0"/>
          <w:iCs w:val="0"/>
          <w:color w:val="0E101A"/>
          <w:sz w:val="24"/>
          <w:szCs w:val="24"/>
        </w:rPr>
      </w:pPr>
      <w:r w:rsidRPr="00490529">
        <w:rPr>
          <w:rStyle w:val="Emphasis"/>
          <w:i w:val="0"/>
          <w:iCs w:val="0"/>
          <w:color w:val="0E101A"/>
          <w:sz w:val="24"/>
          <w:szCs w:val="24"/>
        </w:rPr>
        <w:t>Compare the emissions intensity calculated in step 3 to the top</w:t>
      </w:r>
      <w:r w:rsidR="00FE2C7F" w:rsidRPr="00490529">
        <w:rPr>
          <w:rStyle w:val="Emphasis"/>
          <w:i w:val="0"/>
          <w:iCs w:val="0"/>
          <w:color w:val="0E101A"/>
          <w:sz w:val="24"/>
          <w:szCs w:val="24"/>
        </w:rPr>
        <w:t xml:space="preserve"> </w:t>
      </w:r>
      <w:r w:rsidRPr="00173E10">
        <w:rPr>
          <w:rStyle w:val="Emphasis"/>
          <w:i w:val="0"/>
          <w:iCs w:val="0"/>
          <w:color w:val="0E101A"/>
          <w:sz w:val="24"/>
          <w:szCs w:val="24"/>
        </w:rPr>
        <w:t>10</w:t>
      </w:r>
      <w:r w:rsidR="00FE2C7F" w:rsidRPr="00173E10">
        <w:rPr>
          <w:rStyle w:val="Emphasis"/>
          <w:i w:val="0"/>
          <w:iCs w:val="0"/>
          <w:color w:val="0E101A"/>
          <w:sz w:val="24"/>
          <w:szCs w:val="24"/>
        </w:rPr>
        <w:t xml:space="preserve"> per </w:t>
      </w:r>
      <w:r w:rsidR="005A469F" w:rsidRPr="00173E10">
        <w:rPr>
          <w:rStyle w:val="Emphasis"/>
          <w:i w:val="0"/>
          <w:iCs w:val="0"/>
          <w:color w:val="0E101A"/>
          <w:sz w:val="24"/>
          <w:szCs w:val="24"/>
        </w:rPr>
        <w:t>cent</w:t>
      </w:r>
      <w:r w:rsidRPr="00490529">
        <w:rPr>
          <w:rStyle w:val="Emphasis"/>
          <w:i w:val="0"/>
          <w:iCs w:val="0"/>
          <w:color w:val="0E101A"/>
          <w:sz w:val="24"/>
          <w:szCs w:val="24"/>
        </w:rPr>
        <w:t xml:space="preserve"> Australian performance and select whichever value is lower.</w:t>
      </w:r>
    </w:p>
    <w:p w14:paraId="3FB72217" w14:textId="7609C85B" w:rsidR="00446502" w:rsidRDefault="00446502" w:rsidP="00EC7B73">
      <w:pPr>
        <w:pStyle w:val="ListNumber"/>
        <w:numPr>
          <w:ilvl w:val="0"/>
          <w:numId w:val="20"/>
        </w:numPr>
        <w:ind w:hanging="502"/>
        <w:rPr>
          <w:rStyle w:val="Emphasis"/>
          <w:i w:val="0"/>
          <w:iCs w:val="0"/>
          <w:color w:val="0E101A"/>
          <w:sz w:val="24"/>
          <w:szCs w:val="24"/>
        </w:rPr>
      </w:pPr>
      <w:r w:rsidRPr="00490529">
        <w:rPr>
          <w:rStyle w:val="Emphasis"/>
          <w:i w:val="0"/>
          <w:iCs w:val="0"/>
          <w:color w:val="0E101A"/>
          <w:sz w:val="24"/>
          <w:szCs w:val="24"/>
        </w:rPr>
        <w:t xml:space="preserve">For fossil fuel production variables, compare the value to relevant methane standards. If the standards are </w:t>
      </w:r>
      <w:r w:rsidR="002E00E8" w:rsidRPr="00490529">
        <w:rPr>
          <w:rStyle w:val="Emphasis"/>
          <w:i w:val="0"/>
          <w:iCs w:val="0"/>
          <w:color w:val="0E101A"/>
          <w:sz w:val="24"/>
          <w:szCs w:val="24"/>
        </w:rPr>
        <w:t xml:space="preserve">more stringent </w:t>
      </w:r>
      <w:r w:rsidRPr="00490529">
        <w:rPr>
          <w:rStyle w:val="Emphasis"/>
          <w:i w:val="0"/>
          <w:iCs w:val="0"/>
          <w:color w:val="0E101A"/>
          <w:sz w:val="24"/>
          <w:szCs w:val="24"/>
        </w:rPr>
        <w:t>than the benchmark, adjust to account for the standard.</w:t>
      </w:r>
    </w:p>
    <w:p w14:paraId="1F923C45" w14:textId="77777777" w:rsidR="003D2BA3" w:rsidRPr="00933B2D" w:rsidRDefault="003D2BA3" w:rsidP="00933B2D">
      <w:pPr>
        <w:pStyle w:val="ListNumber"/>
        <w:numPr>
          <w:ilvl w:val="0"/>
          <w:numId w:val="0"/>
        </w:numPr>
        <w:tabs>
          <w:tab w:val="clear" w:pos="142"/>
        </w:tabs>
        <w:rPr>
          <w:rStyle w:val="Emphasis"/>
          <w:i w:val="0"/>
          <w:iCs w:val="0"/>
          <w:color w:val="0E101A"/>
          <w:sz w:val="24"/>
          <w:szCs w:val="24"/>
        </w:rPr>
      </w:pPr>
      <w:r w:rsidRPr="00933B2D">
        <w:rPr>
          <w:rStyle w:val="Emphasis"/>
          <w:i w:val="0"/>
          <w:iCs w:val="0"/>
          <w:color w:val="0E101A"/>
          <w:sz w:val="24"/>
          <w:szCs w:val="24"/>
        </w:rPr>
        <w:t>The calculation method is illustrated in a theoretical example below.</w:t>
      </w:r>
    </w:p>
    <w:p w14:paraId="6FAB9BC1" w14:textId="320834A7" w:rsidR="00946834" w:rsidRPr="00DF2F30" w:rsidRDefault="00946834" w:rsidP="007F5979">
      <w:pPr>
        <w:pStyle w:val="Heading3"/>
        <w:rPr>
          <w:color w:val="1F497D" w:themeColor="text2"/>
        </w:rPr>
      </w:pPr>
      <w:bookmarkStart w:id="6" w:name="_Toc146872812"/>
      <w:r w:rsidRPr="00DF2F30">
        <w:rPr>
          <w:color w:val="1F497D" w:themeColor="text2"/>
        </w:rPr>
        <w:t>Theoretic example</w:t>
      </w:r>
      <w:r w:rsidR="00A93526" w:rsidRPr="00DF2F30">
        <w:rPr>
          <w:color w:val="1F497D" w:themeColor="text2"/>
        </w:rPr>
        <w:t xml:space="preserve"> of the calculation method</w:t>
      </w:r>
      <w:bookmarkEnd w:id="6"/>
    </w:p>
    <w:p w14:paraId="481EF483" w14:textId="0F66A3EE" w:rsidR="003D2BA3" w:rsidRPr="00933B2D" w:rsidRDefault="003D2BA3" w:rsidP="00EE6509">
      <w:pPr>
        <w:pStyle w:val="ListNumber"/>
        <w:numPr>
          <w:ilvl w:val="0"/>
          <w:numId w:val="0"/>
        </w:numPr>
        <w:tabs>
          <w:tab w:val="clear" w:pos="142"/>
        </w:tabs>
        <w:rPr>
          <w:rStyle w:val="Emphasis"/>
          <w:b/>
          <w:bCs/>
          <w:i w:val="0"/>
          <w:iCs w:val="0"/>
          <w:color w:val="0E101A"/>
          <w:sz w:val="24"/>
          <w:szCs w:val="24"/>
        </w:rPr>
      </w:pPr>
      <w:r w:rsidRPr="00933B2D">
        <w:rPr>
          <w:rStyle w:val="Emphasis"/>
          <w:b/>
          <w:bCs/>
          <w:i w:val="0"/>
          <w:iCs w:val="0"/>
          <w:color w:val="0E101A"/>
          <w:sz w:val="24"/>
          <w:szCs w:val="24"/>
        </w:rPr>
        <w:t xml:space="preserve">Step 1: Identify best practice </w:t>
      </w:r>
      <w:proofErr w:type="gramStart"/>
      <w:r w:rsidRPr="00933B2D">
        <w:rPr>
          <w:rStyle w:val="Emphasis"/>
          <w:b/>
          <w:bCs/>
          <w:i w:val="0"/>
          <w:iCs w:val="0"/>
          <w:color w:val="0E101A"/>
          <w:sz w:val="24"/>
          <w:szCs w:val="24"/>
        </w:rPr>
        <w:t>facilities</w:t>
      </w:r>
      <w:proofErr w:type="gramEnd"/>
    </w:p>
    <w:p w14:paraId="71C7C8B4" w14:textId="06A4A740" w:rsidR="00946834" w:rsidRDefault="00946834" w:rsidP="00EE6509">
      <w:pPr>
        <w:pStyle w:val="ListNumber"/>
        <w:numPr>
          <w:ilvl w:val="0"/>
          <w:numId w:val="0"/>
        </w:numPr>
        <w:tabs>
          <w:tab w:val="clear" w:pos="142"/>
        </w:tabs>
        <w:rPr>
          <w:rStyle w:val="Emphasis"/>
          <w:i w:val="0"/>
          <w:iCs w:val="0"/>
          <w:color w:val="0E101A"/>
          <w:sz w:val="24"/>
          <w:szCs w:val="24"/>
        </w:rPr>
      </w:pPr>
      <w:r>
        <w:rPr>
          <w:rStyle w:val="Emphasis"/>
          <w:i w:val="0"/>
          <w:iCs w:val="0"/>
          <w:color w:val="0E101A"/>
          <w:sz w:val="24"/>
          <w:szCs w:val="24"/>
        </w:rPr>
        <w:t xml:space="preserve">The first step is to identify the best practice facilities, including Australian and international facilities. </w:t>
      </w:r>
    </w:p>
    <w:p w14:paraId="2C86CEF9" w14:textId="7327D6D7" w:rsidR="00EE6509" w:rsidRPr="00EE6509" w:rsidRDefault="00EE6509" w:rsidP="00EE6509">
      <w:pPr>
        <w:pStyle w:val="ListNumber"/>
        <w:numPr>
          <w:ilvl w:val="0"/>
          <w:numId w:val="0"/>
        </w:numPr>
        <w:tabs>
          <w:tab w:val="clear" w:pos="142"/>
        </w:tabs>
        <w:rPr>
          <w:rStyle w:val="Emphasis"/>
          <w:i w:val="0"/>
          <w:iCs w:val="0"/>
          <w:color w:val="0E101A"/>
          <w:sz w:val="24"/>
          <w:szCs w:val="24"/>
        </w:rPr>
      </w:pPr>
      <w:r w:rsidRPr="00EE6509">
        <w:rPr>
          <w:rStyle w:val="Emphasis"/>
          <w:i w:val="0"/>
          <w:iCs w:val="0"/>
          <w:color w:val="0E101A"/>
          <w:sz w:val="24"/>
          <w:szCs w:val="24"/>
        </w:rPr>
        <w:t>In the following example, there are 19 facilities producing a given output</w:t>
      </w:r>
      <w:r w:rsidR="00D141A1">
        <w:rPr>
          <w:rStyle w:val="Emphasis"/>
          <w:i w:val="0"/>
          <w:iCs w:val="0"/>
          <w:color w:val="0E101A"/>
          <w:sz w:val="24"/>
          <w:szCs w:val="24"/>
        </w:rPr>
        <w:t xml:space="preserve"> globally (including Australia)</w:t>
      </w:r>
      <w:r w:rsidRPr="00EE6509">
        <w:rPr>
          <w:rStyle w:val="Emphasis"/>
          <w:i w:val="0"/>
          <w:iCs w:val="0"/>
          <w:color w:val="0E101A"/>
          <w:sz w:val="24"/>
          <w:szCs w:val="24"/>
        </w:rPr>
        <w:t xml:space="preserve">. </w:t>
      </w:r>
      <w:r w:rsidR="00D44A7E">
        <w:rPr>
          <w:rStyle w:val="Emphasis"/>
          <w:i w:val="0"/>
          <w:iCs w:val="0"/>
          <w:color w:val="0E101A"/>
          <w:sz w:val="24"/>
          <w:szCs w:val="24"/>
        </w:rPr>
        <w:t xml:space="preserve">The following chart ranks each facility by emissions-intensity. </w:t>
      </w:r>
      <w:r w:rsidRPr="00EE6509">
        <w:rPr>
          <w:rStyle w:val="Emphasis"/>
          <w:i w:val="0"/>
          <w:iCs w:val="0"/>
          <w:color w:val="0E101A"/>
          <w:sz w:val="24"/>
          <w:szCs w:val="24"/>
        </w:rPr>
        <w:t>Facilities A, B, C, D and E are the potential five best practice facilities. Facilities B, C and D are Safeguard facilities located in Australia.</w:t>
      </w:r>
    </w:p>
    <w:p w14:paraId="752C9C13" w14:textId="206AFE93" w:rsidR="00EF3478" w:rsidRDefault="004353AE" w:rsidP="004353AE">
      <w:pPr>
        <w:pStyle w:val="ListNumber"/>
        <w:numPr>
          <w:ilvl w:val="0"/>
          <w:numId w:val="0"/>
        </w:numPr>
        <w:rPr>
          <w:rStyle w:val="Emphasis"/>
          <w:b/>
          <w:bCs/>
          <w:i w:val="0"/>
          <w:iCs w:val="0"/>
          <w:color w:val="0E101A"/>
          <w:sz w:val="24"/>
          <w:szCs w:val="24"/>
        </w:rPr>
      </w:pPr>
      <w:r>
        <w:rPr>
          <w:b/>
          <w:bCs/>
          <w:noProof/>
          <w:color w:val="0E101A"/>
          <w:sz w:val="24"/>
          <w:szCs w:val="24"/>
        </w:rPr>
        <w:lastRenderedPageBreak/>
        <mc:AlternateContent>
          <mc:Choice Requires="wps">
            <w:drawing>
              <wp:inline distT="0" distB="0" distL="0" distR="0" wp14:anchorId="0A34C4F5" wp14:editId="361AA746">
                <wp:extent cx="5727700" cy="3867150"/>
                <wp:effectExtent l="0" t="0" r="6350" b="0"/>
                <wp:docPr id="1559397347" name="Text Box 1559397347"/>
                <wp:cNvGraphicFramePr/>
                <a:graphic xmlns:a="http://schemas.openxmlformats.org/drawingml/2006/main">
                  <a:graphicData uri="http://schemas.microsoft.com/office/word/2010/wordprocessingShape">
                    <wps:wsp>
                      <wps:cNvSpPr txBox="1"/>
                      <wps:spPr>
                        <a:xfrm>
                          <a:off x="0" y="0"/>
                          <a:ext cx="5727700" cy="3867150"/>
                        </a:xfrm>
                        <a:prstGeom prst="rect">
                          <a:avLst/>
                        </a:prstGeom>
                        <a:solidFill>
                          <a:schemeClr val="lt1"/>
                        </a:solidFill>
                        <a:ln w="6350">
                          <a:noFill/>
                        </a:ln>
                      </wps:spPr>
                      <wps:txbx>
                        <w:txbxContent>
                          <w:p w14:paraId="1DAB7427" w14:textId="6D5E0BCB" w:rsidR="00EF3478" w:rsidRDefault="00212B8D" w:rsidP="00D94468">
                            <w:r>
                              <w:rPr>
                                <w:noProof/>
                              </w:rPr>
                              <w:drawing>
                                <wp:inline distT="0" distB="0" distL="0" distR="0" wp14:anchorId="4BF76780" wp14:editId="6F958B7D">
                                  <wp:extent cx="5538470" cy="3749040"/>
                                  <wp:effectExtent l="0" t="0" r="5080" b="3810"/>
                                  <wp:docPr id="153134443" name="Picture 153134443" descr="A chart illustrating the ranking of emissions intensity values for a given output and selection of the top 5 facilities, whether Australian or glob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34443" name="Picture 1" descr="A chart illustrating the ranking of emissions intensity values for a given output and selection of the top 5 facilities, whether Australian or global. "/>
                                          <pic:cNvPicPr/>
                                        </pic:nvPicPr>
                                        <pic:blipFill>
                                          <a:blip r:embed="rId15"/>
                                          <a:stretch>
                                            <a:fillRect/>
                                          </a:stretch>
                                        </pic:blipFill>
                                        <pic:spPr>
                                          <a:xfrm>
                                            <a:off x="0" y="0"/>
                                            <a:ext cx="5538470" cy="37490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A34C4F5" id="_x0000_t202" coordsize="21600,21600" o:spt="202" path="m,l,21600r21600,l21600,xe">
                <v:stroke joinstyle="miter"/>
                <v:path gradientshapeok="t" o:connecttype="rect"/>
              </v:shapetype>
              <v:shape id="Text Box 1559397347" o:spid="_x0000_s1026" type="#_x0000_t202" style="width:451pt;height: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" fillcolor="white [3201]" stroked="f" strokeweight=".5pt">
                <v:textbox>
                  <w:txbxContent>
                    <w:p w14:paraId="1DAB7427" w14:textId="6D5E0BCB" w:rsidR="00EF3478" w:rsidRDefault="00212B8D" w:rsidP="00D94468">
                      <w:r>
                        <w:rPr>
                          <w:noProof/>
                        </w:rPr>
                        <w:drawing>
                          <wp:inline distT="0" distB="0" distL="0" distR="0" wp14:anchorId="4BF76780" wp14:editId="6F958B7D">
                            <wp:extent cx="5538470" cy="3749040"/>
                            <wp:effectExtent l="0" t="0" r="5080" b="3810"/>
                            <wp:docPr id="153134443" name="Picture 153134443" descr="A chart illustrating the ranking of emissions intensity values for a given output and selection of the top 5 facilities, whether Australian or glob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34443" name="Picture 1" descr="A chart illustrating the ranking of emissions intensity values for a given output and selection of the top 5 facilities, whether Australian or global. "/>
                                    <pic:cNvPicPr/>
                                  </pic:nvPicPr>
                                  <pic:blipFill>
                                    <a:blip r:embed="rId16"/>
                                    <a:stretch>
                                      <a:fillRect/>
                                    </a:stretch>
                                  </pic:blipFill>
                                  <pic:spPr>
                                    <a:xfrm>
                                      <a:off x="0" y="0"/>
                                      <a:ext cx="5538470" cy="3749040"/>
                                    </a:xfrm>
                                    <a:prstGeom prst="rect">
                                      <a:avLst/>
                                    </a:prstGeom>
                                  </pic:spPr>
                                </pic:pic>
                              </a:graphicData>
                            </a:graphic>
                          </wp:inline>
                        </w:drawing>
                      </w:r>
                    </w:p>
                  </w:txbxContent>
                </v:textbox>
                <w10:anchorlock/>
              </v:shape>
            </w:pict>
          </mc:Fallback>
        </mc:AlternateContent>
      </w:r>
    </w:p>
    <w:p w14:paraId="44A6F1F3" w14:textId="14365F2A" w:rsidR="0044337B" w:rsidRDefault="0044337B" w:rsidP="002742EE">
      <w:pPr>
        <w:pStyle w:val="ListNumber"/>
        <w:numPr>
          <w:ilvl w:val="0"/>
          <w:numId w:val="0"/>
        </w:numPr>
        <w:spacing w:before="480"/>
        <w:rPr>
          <w:rStyle w:val="Emphasis"/>
          <w:b/>
          <w:bCs/>
          <w:color w:val="0E101A"/>
          <w:sz w:val="24"/>
          <w:szCs w:val="24"/>
        </w:rPr>
      </w:pPr>
      <w:r w:rsidRPr="001D5EF0">
        <w:rPr>
          <w:rStyle w:val="Emphasis"/>
          <w:b/>
          <w:bCs/>
          <w:color w:val="0E101A"/>
          <w:sz w:val="24"/>
          <w:szCs w:val="24"/>
        </w:rPr>
        <w:t xml:space="preserve">Step 2: Calculate </w:t>
      </w:r>
      <w:r>
        <w:rPr>
          <w:rStyle w:val="Emphasis"/>
          <w:b/>
          <w:bCs/>
          <w:color w:val="0E101A"/>
          <w:sz w:val="24"/>
          <w:szCs w:val="24"/>
        </w:rPr>
        <w:t>the</w:t>
      </w:r>
      <w:r w:rsidRPr="001D5EF0">
        <w:rPr>
          <w:rStyle w:val="Emphasis"/>
          <w:b/>
          <w:bCs/>
          <w:color w:val="0E101A"/>
          <w:sz w:val="24"/>
          <w:szCs w:val="24"/>
        </w:rPr>
        <w:t xml:space="preserve"> emissions-intensity </w:t>
      </w:r>
      <w:r w:rsidR="005A6E5D">
        <w:rPr>
          <w:rStyle w:val="Emphasis"/>
          <w:b/>
          <w:bCs/>
          <w:color w:val="0E101A"/>
          <w:sz w:val="24"/>
          <w:szCs w:val="24"/>
        </w:rPr>
        <w:t>for the</w:t>
      </w:r>
      <w:r w:rsidRPr="001D5EF0">
        <w:rPr>
          <w:rStyle w:val="Emphasis"/>
          <w:b/>
          <w:bCs/>
          <w:color w:val="0E101A"/>
          <w:sz w:val="24"/>
          <w:szCs w:val="24"/>
        </w:rPr>
        <w:t xml:space="preserve"> 5 </w:t>
      </w:r>
      <w:r w:rsidR="005A6E5D">
        <w:rPr>
          <w:rStyle w:val="Emphasis"/>
          <w:b/>
          <w:bCs/>
          <w:color w:val="0E101A"/>
          <w:sz w:val="24"/>
          <w:szCs w:val="24"/>
        </w:rPr>
        <w:t xml:space="preserve">best performing </w:t>
      </w:r>
      <w:r w:rsidRPr="001D5EF0">
        <w:rPr>
          <w:rStyle w:val="Emphasis"/>
          <w:b/>
          <w:bCs/>
          <w:color w:val="0E101A"/>
          <w:sz w:val="24"/>
          <w:szCs w:val="24"/>
        </w:rPr>
        <w:t>facilities using the middle 3 of 5 years, where practical</w:t>
      </w:r>
    </w:p>
    <w:p w14:paraId="5FE152A4" w14:textId="789914E7" w:rsidR="00716866" w:rsidRDefault="00716866" w:rsidP="00B908B5">
      <w:pPr>
        <w:pStyle w:val="ListNumber"/>
        <w:numPr>
          <w:ilvl w:val="0"/>
          <w:numId w:val="0"/>
        </w:numPr>
        <w:spacing w:after="240"/>
        <w:rPr>
          <w:rStyle w:val="Emphasis"/>
          <w:i w:val="0"/>
          <w:iCs w:val="0"/>
          <w:color w:val="0E101A"/>
          <w:sz w:val="24"/>
          <w:szCs w:val="24"/>
        </w:rPr>
      </w:pPr>
      <w:r w:rsidRPr="00C9434A">
        <w:rPr>
          <w:rStyle w:val="Emphasis"/>
          <w:i w:val="0"/>
          <w:iCs w:val="0"/>
          <w:color w:val="0E101A"/>
          <w:sz w:val="24"/>
          <w:szCs w:val="24"/>
        </w:rPr>
        <w:t xml:space="preserve">The following data is available for facilities A, B, C, D and E. </w:t>
      </w:r>
    </w:p>
    <w:p w14:paraId="6824789D" w14:textId="6E221952" w:rsidR="00C9434A" w:rsidRDefault="0019070E" w:rsidP="00C9434A">
      <w:pPr>
        <w:pStyle w:val="ListNumber"/>
        <w:numPr>
          <w:ilvl w:val="0"/>
          <w:numId w:val="0"/>
        </w:numPr>
        <w:rPr>
          <w:rStyle w:val="Emphasis"/>
          <w:i w:val="0"/>
          <w:iCs w:val="0"/>
          <w:color w:val="0E101A"/>
          <w:sz w:val="24"/>
          <w:szCs w:val="24"/>
        </w:rPr>
      </w:pPr>
      <w:r w:rsidRPr="0019070E">
        <w:rPr>
          <w:noProof/>
          <w:color w:val="0E101A"/>
          <w:sz w:val="24"/>
          <w:szCs w:val="24"/>
        </w:rPr>
        <w:drawing>
          <wp:inline distT="0" distB="0" distL="0" distR="0" wp14:anchorId="16B6492A" wp14:editId="4733B1C0">
            <wp:extent cx="5759450" cy="3342005"/>
            <wp:effectExtent l="0" t="0" r="0" b="0"/>
            <wp:docPr id="159749039" name="Picture 159749039" descr="This screenshot contains five tables, one table for each of the facilities A to E in the theoretic example of how to calculate the benchmark. These tables represent step 2 of the calculation which is the collect 5 years data for each faci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9039" name="Picture 159749039" descr="This screenshot contains five tables, one table for each of the facilities A to E in the theoretic example of how to calculate the benchmark. These tables represent step 2 of the calculation which is the collect 5 years data for each facility. "/>
                    <pic:cNvPicPr/>
                  </pic:nvPicPr>
                  <pic:blipFill>
                    <a:blip r:embed="rId17"/>
                    <a:stretch>
                      <a:fillRect/>
                    </a:stretch>
                  </pic:blipFill>
                  <pic:spPr>
                    <a:xfrm>
                      <a:off x="0" y="0"/>
                      <a:ext cx="5759450" cy="3342005"/>
                    </a:xfrm>
                    <a:prstGeom prst="rect">
                      <a:avLst/>
                    </a:prstGeom>
                  </pic:spPr>
                </pic:pic>
              </a:graphicData>
            </a:graphic>
          </wp:inline>
        </w:drawing>
      </w:r>
    </w:p>
    <w:p w14:paraId="23C3C773" w14:textId="77777777" w:rsidR="0056668D" w:rsidRDefault="0056668D" w:rsidP="002742EE">
      <w:pPr>
        <w:pStyle w:val="ListNumber"/>
        <w:keepLines/>
        <w:numPr>
          <w:ilvl w:val="0"/>
          <w:numId w:val="0"/>
        </w:numPr>
        <w:rPr>
          <w:rStyle w:val="Emphasis"/>
          <w:i w:val="0"/>
          <w:iCs w:val="0"/>
          <w:color w:val="0E101A"/>
          <w:sz w:val="24"/>
          <w:szCs w:val="24"/>
        </w:rPr>
      </w:pPr>
      <w:r w:rsidRPr="00C9434A">
        <w:rPr>
          <w:rStyle w:val="Emphasis"/>
          <w:i w:val="0"/>
          <w:iCs w:val="0"/>
          <w:color w:val="0E101A"/>
          <w:sz w:val="24"/>
          <w:szCs w:val="24"/>
        </w:rPr>
        <w:lastRenderedPageBreak/>
        <w:t>Where 5 years of data are available, the highest and lowest emissions-intensity years are removed. For facility C, only 3 years of data are available. For facility E, 4 years of data are available, so the highest emissions-intensity year is removed. This leaves 3 years of data for the 5 facilities.</w:t>
      </w:r>
      <w:r>
        <w:rPr>
          <w:rStyle w:val="Emphasis"/>
          <w:i w:val="0"/>
          <w:iCs w:val="0"/>
          <w:color w:val="0E101A"/>
          <w:sz w:val="24"/>
          <w:szCs w:val="24"/>
        </w:rPr>
        <w:t xml:space="preserve"> They remain the five best practice facilities so these 15 data points will be used in the final calculation.</w:t>
      </w:r>
    </w:p>
    <w:p w14:paraId="3D5D65A5" w14:textId="3CDD30B7" w:rsidR="00C271B5" w:rsidRPr="00C271B5" w:rsidRDefault="00C271B5" w:rsidP="00C271B5">
      <w:pPr>
        <w:pStyle w:val="ListNumber"/>
        <w:numPr>
          <w:ilvl w:val="0"/>
          <w:numId w:val="0"/>
        </w:numPr>
        <w:rPr>
          <w:rStyle w:val="Emphasis"/>
          <w:b/>
          <w:bCs/>
          <w:color w:val="0E101A"/>
          <w:sz w:val="24"/>
          <w:szCs w:val="24"/>
        </w:rPr>
      </w:pPr>
      <w:r w:rsidRPr="00C271B5">
        <w:rPr>
          <w:rStyle w:val="Emphasis"/>
          <w:sz w:val="24"/>
          <w:szCs w:val="24"/>
        </w:rPr>
        <w:t>Step 3: Calculate the production-weighted emissions-</w:t>
      </w:r>
      <w:proofErr w:type="gramStart"/>
      <w:r w:rsidRPr="00C271B5">
        <w:rPr>
          <w:rStyle w:val="Emphasis"/>
          <w:sz w:val="24"/>
          <w:szCs w:val="24"/>
        </w:rPr>
        <w:t>intensity</w:t>
      </w:r>
      <w:proofErr w:type="gramEnd"/>
    </w:p>
    <w:p w14:paraId="43114874" w14:textId="68D626CE" w:rsidR="00C271B5" w:rsidRPr="00E651D4" w:rsidRDefault="00C271B5" w:rsidP="00C271B5">
      <w:pPr>
        <w:pStyle w:val="paragraph"/>
        <w:spacing w:before="0" w:beforeAutospacing="0" w:after="0" w:afterAutospacing="0"/>
        <w:textAlignment w:val="baseline"/>
        <w:rPr>
          <w:rStyle w:val="Emphasis"/>
          <w:rFonts w:asciiTheme="minorHAnsi" w:eastAsiaTheme="minorHAnsi" w:hAnsiTheme="minorHAnsi" w:cstheme="minorBidi"/>
          <w:i w:val="0"/>
          <w:iCs w:val="0"/>
          <w:lang w:eastAsia="en-US"/>
        </w:rPr>
      </w:pPr>
      <w:r w:rsidRPr="00B60C14">
        <w:rPr>
          <w:rStyle w:val="Emphasis"/>
          <w:rFonts w:asciiTheme="minorHAnsi" w:eastAsiaTheme="minorHAnsi" w:hAnsiTheme="minorHAnsi" w:cstheme="minorBidi"/>
          <w:i w:val="0"/>
          <w:iCs w:val="0"/>
          <w:color w:val="0E101A"/>
          <w:lang w:eastAsia="en-US"/>
        </w:rPr>
        <w:t xml:space="preserve">The production-weighted emissions-intensity is </w:t>
      </w:r>
      <w:r w:rsidR="0020447A" w:rsidRPr="0020447A">
        <w:rPr>
          <w:rStyle w:val="Emphasis"/>
          <w:rFonts w:asciiTheme="minorHAnsi" w:eastAsiaTheme="minorHAnsi" w:hAnsiTheme="minorHAnsi" w:cstheme="minorBidi"/>
          <w:i w:val="0"/>
          <w:iCs w:val="0"/>
          <w:color w:val="0E101A"/>
          <w:lang w:eastAsia="en-US"/>
        </w:rPr>
        <w:t>0.363 tonnes of CO</w:t>
      </w:r>
      <w:r w:rsidR="0020447A" w:rsidRPr="0020447A">
        <w:rPr>
          <w:rStyle w:val="Emphasis"/>
          <w:rFonts w:asciiTheme="minorHAnsi" w:eastAsiaTheme="minorHAnsi" w:hAnsiTheme="minorHAnsi" w:cstheme="minorBidi"/>
          <w:i w:val="0"/>
          <w:iCs w:val="0"/>
          <w:color w:val="0E101A"/>
          <w:vertAlign w:val="subscript"/>
          <w:lang w:eastAsia="en-US"/>
        </w:rPr>
        <w:t>2</w:t>
      </w:r>
      <w:r w:rsidR="0020447A" w:rsidRPr="0020447A">
        <w:rPr>
          <w:rStyle w:val="Emphasis"/>
          <w:rFonts w:asciiTheme="minorHAnsi" w:eastAsiaTheme="minorHAnsi" w:hAnsiTheme="minorHAnsi" w:cstheme="minorBidi"/>
          <w:i w:val="0"/>
          <w:iCs w:val="0"/>
          <w:color w:val="0E101A"/>
          <w:lang w:eastAsia="en-US"/>
        </w:rPr>
        <w:t>-e per tonne of output</w:t>
      </w:r>
      <w:r w:rsidR="0020447A">
        <w:rPr>
          <w:rStyle w:val="Emphasis"/>
          <w:rFonts w:asciiTheme="minorHAnsi" w:eastAsiaTheme="minorHAnsi" w:hAnsiTheme="minorHAnsi" w:cstheme="minorBidi"/>
          <w:i w:val="0"/>
          <w:iCs w:val="0"/>
          <w:color w:val="0E101A"/>
          <w:lang w:eastAsia="en-US"/>
        </w:rPr>
        <w:t xml:space="preserve">. This is </w:t>
      </w:r>
      <w:r w:rsidRPr="00B60C14">
        <w:rPr>
          <w:rStyle w:val="Emphasis"/>
          <w:rFonts w:asciiTheme="minorHAnsi" w:eastAsiaTheme="minorHAnsi" w:hAnsiTheme="minorHAnsi" w:cstheme="minorBidi"/>
          <w:i w:val="0"/>
          <w:iCs w:val="0"/>
          <w:color w:val="0E101A"/>
          <w:lang w:eastAsia="en-US"/>
        </w:rPr>
        <w:t>calculated as the weighted average of the 15</w:t>
      </w:r>
      <w:r w:rsidRPr="00B60C14">
        <w:rPr>
          <w:rStyle w:val="Emphasis"/>
          <w:rFonts w:asciiTheme="minorHAnsi" w:eastAsiaTheme="minorHAnsi" w:hAnsiTheme="minorHAnsi" w:cstheme="minorBidi"/>
          <w:lang w:eastAsia="en-US"/>
        </w:rPr>
        <w:t xml:space="preserve"> </w:t>
      </w:r>
      <w:r w:rsidRPr="00E651D4">
        <w:rPr>
          <w:rStyle w:val="Emphasis"/>
          <w:rFonts w:asciiTheme="minorHAnsi" w:eastAsiaTheme="minorHAnsi" w:hAnsiTheme="minorHAnsi" w:cstheme="minorBidi"/>
          <w:i w:val="0"/>
          <w:iCs w:val="0"/>
          <w:lang w:eastAsia="en-US"/>
        </w:rPr>
        <w:t>emissions-intensity data points, that is, three data points for each of the five facilities.</w:t>
      </w:r>
    </w:p>
    <w:p w14:paraId="01A20C1E" w14:textId="69036704" w:rsidR="00C271B5" w:rsidRPr="00E651D4" w:rsidRDefault="00212B8D" w:rsidP="00C271B5">
      <w:pPr>
        <w:pStyle w:val="paragraph"/>
        <w:spacing w:before="0" w:beforeAutospacing="0" w:after="0" w:afterAutospacing="0"/>
        <w:textAlignment w:val="baseline"/>
        <w:rPr>
          <w:rFonts w:ascii="Segoe UI" w:hAnsi="Segoe UI" w:cs="Segoe UI"/>
          <w:sz w:val="18"/>
          <w:szCs w:val="18"/>
        </w:rPr>
      </w:pPr>
      <w:r>
        <w:rPr>
          <w:rFonts w:ascii="Calibri" w:hAnsi="Calibri" w:cs="Calibri"/>
          <w:noProof/>
          <w:color w:val="0E101A"/>
        </w:rPr>
        <mc:AlternateContent>
          <mc:Choice Requires="wps">
            <w:drawing>
              <wp:inline distT="0" distB="0" distL="0" distR="0" wp14:anchorId="25D9DEDD" wp14:editId="61AA5500">
                <wp:extent cx="6013450" cy="4013200"/>
                <wp:effectExtent l="0" t="0" r="6350" b="6350"/>
                <wp:docPr id="332671485" name="Text Box 332671485"/>
                <wp:cNvGraphicFramePr/>
                <a:graphic xmlns:a="http://schemas.openxmlformats.org/drawingml/2006/main">
                  <a:graphicData uri="http://schemas.microsoft.com/office/word/2010/wordprocessingShape">
                    <wps:wsp>
                      <wps:cNvSpPr txBox="1"/>
                      <wps:spPr>
                        <a:xfrm>
                          <a:off x="0" y="0"/>
                          <a:ext cx="6013450" cy="4013200"/>
                        </a:xfrm>
                        <a:prstGeom prst="rect">
                          <a:avLst/>
                        </a:prstGeom>
                        <a:solidFill>
                          <a:schemeClr val="lt1"/>
                        </a:solidFill>
                        <a:ln w="6350">
                          <a:noFill/>
                        </a:ln>
                      </wps:spPr>
                      <wps:txbx>
                        <w:txbxContent>
                          <w:p w14:paraId="7E147F9E" w14:textId="5BC047FE" w:rsidR="00212B8D" w:rsidRDefault="007E2676">
                            <w:r>
                              <w:rPr>
                                <w:noProof/>
                              </w:rPr>
                              <w:drawing>
                                <wp:inline distT="0" distB="0" distL="0" distR="0" wp14:anchorId="7A96BDE0" wp14:editId="5D71D364">
                                  <wp:extent cx="5696072" cy="3924300"/>
                                  <wp:effectExtent l="0" t="0" r="0" b="0"/>
                                  <wp:docPr id="1425334401" name="Picture 1425334401" descr="A graph illustrating the calculation of the international best practice emissions intensity value as a weighted average of individual facility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334401" name="Picture 1" descr="A graph illustrating the calculation of the international best practice emissions intensity value as a weighted average of individual facility data."/>
                                          <pic:cNvPicPr/>
                                        </pic:nvPicPr>
                                        <pic:blipFill>
                                          <a:blip r:embed="rId18"/>
                                          <a:stretch>
                                            <a:fillRect/>
                                          </a:stretch>
                                        </pic:blipFill>
                                        <pic:spPr>
                                          <a:xfrm>
                                            <a:off x="0" y="0"/>
                                            <a:ext cx="5700878" cy="392761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D9DEDD" id="Text Box 332671485" o:spid="_x0000_s1027" type="#_x0000_t202" style="width:473.5pt;height:3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" fillcolor="white [3201]" stroked="f" strokeweight=".5pt">
                <v:textbox>
                  <w:txbxContent>
                    <w:p w14:paraId="7E147F9E" w14:textId="5BC047FE" w:rsidR="00212B8D" w:rsidRDefault="007E2676">
                      <w:r>
                        <w:rPr>
                          <w:noProof/>
                        </w:rPr>
                        <w:drawing>
                          <wp:inline distT="0" distB="0" distL="0" distR="0" wp14:anchorId="7A96BDE0" wp14:editId="5D71D364">
                            <wp:extent cx="5696072" cy="3924300"/>
                            <wp:effectExtent l="0" t="0" r="0" b="0"/>
                            <wp:docPr id="1425334401" name="Picture 1425334401" descr="A graph illustrating the calculation of the international best practice emissions intensity value as a weighted average of individual facility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334401" name="Picture 1" descr="A graph illustrating the calculation of the international best practice emissions intensity value as a weighted average of individual facility data."/>
                                    <pic:cNvPicPr/>
                                  </pic:nvPicPr>
                                  <pic:blipFill>
                                    <a:blip r:embed="rId19"/>
                                    <a:stretch>
                                      <a:fillRect/>
                                    </a:stretch>
                                  </pic:blipFill>
                                  <pic:spPr>
                                    <a:xfrm>
                                      <a:off x="0" y="0"/>
                                      <a:ext cx="5700878" cy="3927611"/>
                                    </a:xfrm>
                                    <a:prstGeom prst="rect">
                                      <a:avLst/>
                                    </a:prstGeom>
                                  </pic:spPr>
                                </pic:pic>
                              </a:graphicData>
                            </a:graphic>
                          </wp:inline>
                        </w:drawing>
                      </w:r>
                    </w:p>
                  </w:txbxContent>
                </v:textbox>
                <w10:anchorlock/>
              </v:shape>
            </w:pict>
          </mc:Fallback>
        </mc:AlternateContent>
      </w:r>
    </w:p>
    <w:p w14:paraId="091557FF" w14:textId="14A069B1" w:rsidR="00C271B5" w:rsidRDefault="00C271B5" w:rsidP="00C271B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E101A"/>
        </w:rPr>
        <w:t> </w:t>
      </w:r>
    </w:p>
    <w:p w14:paraId="22991032" w14:textId="34B05D5A" w:rsidR="00BA5133" w:rsidRPr="00490529" w:rsidRDefault="00BA5133" w:rsidP="002505F6">
      <w:pPr>
        <w:pStyle w:val="Heading2"/>
      </w:pPr>
      <w:bookmarkStart w:id="7" w:name="_Toc146872813"/>
      <w:r w:rsidRPr="00490529">
        <w:t xml:space="preserve">Details </w:t>
      </w:r>
      <w:r w:rsidR="00893E36" w:rsidRPr="00490529">
        <w:t xml:space="preserve">for </w:t>
      </w:r>
      <w:r w:rsidRPr="00490529">
        <w:t xml:space="preserve">setting international best practice </w:t>
      </w:r>
      <w:proofErr w:type="gramStart"/>
      <w:r w:rsidRPr="00490529">
        <w:t>benchmark</w:t>
      </w:r>
      <w:r w:rsidR="002A4971" w:rsidRPr="00490529">
        <w:t>s</w:t>
      </w:r>
      <w:bookmarkEnd w:id="7"/>
      <w:proofErr w:type="gramEnd"/>
    </w:p>
    <w:p w14:paraId="1DE3F643" w14:textId="69EEAD6D" w:rsidR="001C7A1A" w:rsidRPr="00490529" w:rsidRDefault="00780F2E" w:rsidP="001C2A6B">
      <w:pPr>
        <w:rPr>
          <w:sz w:val="24"/>
          <w:szCs w:val="24"/>
        </w:rPr>
      </w:pPr>
      <w:r w:rsidRPr="00490529">
        <w:rPr>
          <w:sz w:val="24"/>
          <w:szCs w:val="24"/>
        </w:rPr>
        <w:t>This section outlines the proposed</w:t>
      </w:r>
      <w:r w:rsidR="00DE5EA1" w:rsidRPr="00490529">
        <w:rPr>
          <w:sz w:val="24"/>
          <w:szCs w:val="24"/>
        </w:rPr>
        <w:t xml:space="preserve"> approach to set</w:t>
      </w:r>
      <w:r w:rsidR="0096472C" w:rsidRPr="00490529">
        <w:rPr>
          <w:sz w:val="24"/>
          <w:szCs w:val="24"/>
        </w:rPr>
        <w:t xml:space="preserve"> international best practice benchmark</w:t>
      </w:r>
      <w:r w:rsidR="00106C1D" w:rsidRPr="00490529">
        <w:rPr>
          <w:sz w:val="24"/>
          <w:szCs w:val="24"/>
        </w:rPr>
        <w:t xml:space="preserve"> emissions intensities</w:t>
      </w:r>
      <w:r w:rsidR="009D77D9" w:rsidRPr="00490529">
        <w:rPr>
          <w:sz w:val="24"/>
          <w:szCs w:val="24"/>
        </w:rPr>
        <w:t xml:space="preserve">. </w:t>
      </w:r>
      <w:r w:rsidR="009615F7" w:rsidRPr="00490529">
        <w:rPr>
          <w:sz w:val="24"/>
          <w:szCs w:val="24"/>
        </w:rPr>
        <w:t>If there are circumstances for which it is not p</w:t>
      </w:r>
      <w:r w:rsidR="00E863F4" w:rsidRPr="00490529">
        <w:rPr>
          <w:sz w:val="24"/>
          <w:szCs w:val="24"/>
        </w:rPr>
        <w:t>ractical</w:t>
      </w:r>
      <w:r w:rsidR="009615F7" w:rsidRPr="00490529">
        <w:rPr>
          <w:sz w:val="24"/>
          <w:szCs w:val="24"/>
        </w:rPr>
        <w:t xml:space="preserve"> </w:t>
      </w:r>
      <w:r w:rsidR="00920C50" w:rsidRPr="00490529">
        <w:rPr>
          <w:sz w:val="24"/>
          <w:szCs w:val="24"/>
        </w:rPr>
        <w:t>to implement this approach</w:t>
      </w:r>
      <w:r w:rsidR="00630ED7" w:rsidRPr="00490529">
        <w:rPr>
          <w:sz w:val="24"/>
          <w:szCs w:val="24"/>
        </w:rPr>
        <w:t xml:space="preserve"> in full for a production variable, </w:t>
      </w:r>
      <w:r w:rsidR="00BA5C4A" w:rsidRPr="00490529">
        <w:rPr>
          <w:sz w:val="24"/>
          <w:szCs w:val="24"/>
        </w:rPr>
        <w:t xml:space="preserve">the </w:t>
      </w:r>
      <w:r w:rsidR="00EB22AC">
        <w:rPr>
          <w:sz w:val="24"/>
          <w:szCs w:val="24"/>
        </w:rPr>
        <w:t>D</w:t>
      </w:r>
      <w:r w:rsidR="00E863F4" w:rsidRPr="00490529">
        <w:rPr>
          <w:sz w:val="24"/>
          <w:szCs w:val="24"/>
        </w:rPr>
        <w:t xml:space="preserve">epartment must </w:t>
      </w:r>
      <w:r w:rsidR="007C7D77" w:rsidRPr="00490529">
        <w:rPr>
          <w:sz w:val="24"/>
          <w:szCs w:val="24"/>
        </w:rPr>
        <w:t xml:space="preserve">have regard to the </w:t>
      </w:r>
      <w:r w:rsidR="00BA5C4A" w:rsidRPr="00490529">
        <w:rPr>
          <w:sz w:val="24"/>
          <w:szCs w:val="24"/>
        </w:rPr>
        <w:t>four frame</w:t>
      </w:r>
      <w:r w:rsidR="00E863F4" w:rsidRPr="00490529">
        <w:rPr>
          <w:sz w:val="24"/>
          <w:szCs w:val="24"/>
        </w:rPr>
        <w:t>work</w:t>
      </w:r>
      <w:r w:rsidR="007C7D77" w:rsidRPr="00490529">
        <w:rPr>
          <w:sz w:val="24"/>
          <w:szCs w:val="24"/>
        </w:rPr>
        <w:t xml:space="preserve"> principles outlined above: </w:t>
      </w:r>
      <w:r w:rsidR="00DF05F6" w:rsidRPr="00490529">
        <w:rPr>
          <w:sz w:val="24"/>
          <w:szCs w:val="24"/>
        </w:rPr>
        <w:t xml:space="preserve">the </w:t>
      </w:r>
      <w:r w:rsidR="00106C1D" w:rsidRPr="00490529">
        <w:rPr>
          <w:sz w:val="24"/>
          <w:szCs w:val="24"/>
        </w:rPr>
        <w:t xml:space="preserve">benchmark should be determined in a way that is </w:t>
      </w:r>
      <w:r w:rsidR="000207A5" w:rsidRPr="00490529">
        <w:rPr>
          <w:sz w:val="24"/>
          <w:szCs w:val="24"/>
        </w:rPr>
        <w:t>effective</w:t>
      </w:r>
      <w:r w:rsidR="00A44020" w:rsidRPr="00490529">
        <w:rPr>
          <w:sz w:val="24"/>
          <w:szCs w:val="24"/>
        </w:rPr>
        <w:t>, consistent, practical and robust.</w:t>
      </w:r>
    </w:p>
    <w:p w14:paraId="650F03E3" w14:textId="107970AA" w:rsidR="00BA5133" w:rsidRPr="00DF2F30" w:rsidRDefault="00BA5133" w:rsidP="00703261">
      <w:pPr>
        <w:pStyle w:val="Heading3"/>
        <w:rPr>
          <w:color w:val="1F497D" w:themeColor="text2"/>
        </w:rPr>
      </w:pPr>
      <w:bookmarkStart w:id="8" w:name="_Toc146872814"/>
      <w:r w:rsidRPr="00DF2F30">
        <w:rPr>
          <w:color w:val="1F497D" w:themeColor="text2"/>
        </w:rPr>
        <w:lastRenderedPageBreak/>
        <w:t>Identifying the best practice facilities and data suitability</w:t>
      </w:r>
      <w:bookmarkEnd w:id="8"/>
    </w:p>
    <w:p w14:paraId="0C14FE60" w14:textId="2A30CAD6" w:rsidR="00BA5133" w:rsidRPr="007637E9" w:rsidRDefault="00BA5133" w:rsidP="00703261">
      <w:pPr>
        <w:keepNext/>
        <w:keepLines/>
        <w:rPr>
          <w:i/>
          <w:iCs/>
          <w:sz w:val="24"/>
          <w:szCs w:val="24"/>
        </w:rPr>
      </w:pPr>
      <w:r w:rsidRPr="007637E9">
        <w:rPr>
          <w:i/>
          <w:iCs/>
          <w:sz w:val="24"/>
          <w:szCs w:val="24"/>
        </w:rPr>
        <w:t xml:space="preserve">Emissions data </w:t>
      </w:r>
      <w:r w:rsidR="00D262D5" w:rsidRPr="007637E9">
        <w:rPr>
          <w:i/>
          <w:iCs/>
          <w:sz w:val="24"/>
          <w:szCs w:val="24"/>
        </w:rPr>
        <w:t xml:space="preserve">should </w:t>
      </w:r>
      <w:r w:rsidRPr="007637E9">
        <w:rPr>
          <w:i/>
          <w:iCs/>
          <w:sz w:val="24"/>
          <w:szCs w:val="24"/>
        </w:rPr>
        <w:t xml:space="preserve">be consistent with NGERS and ignore any offsetting. Production data must be consistent with Safeguard production variables. </w:t>
      </w:r>
    </w:p>
    <w:p w14:paraId="1C6F535D" w14:textId="0B2D691D" w:rsidR="00BA5133" w:rsidRPr="007637E9" w:rsidRDefault="00BA5133" w:rsidP="00BA5133">
      <w:pPr>
        <w:rPr>
          <w:color w:val="0E101A"/>
          <w:sz w:val="24"/>
          <w:szCs w:val="24"/>
        </w:rPr>
      </w:pPr>
      <w:r w:rsidRPr="007637E9">
        <w:rPr>
          <w:color w:val="0E101A"/>
          <w:sz w:val="24"/>
          <w:szCs w:val="24"/>
        </w:rPr>
        <w:t>The best practice benchmark will be based on facilities that have the lowest emissions intensity of production, located anywhere in the world</w:t>
      </w:r>
      <w:r w:rsidR="000C4783" w:rsidRPr="007637E9">
        <w:rPr>
          <w:color w:val="0E101A"/>
          <w:sz w:val="24"/>
          <w:szCs w:val="24"/>
        </w:rPr>
        <w:t xml:space="preserve"> (including Australia)</w:t>
      </w:r>
      <w:r w:rsidR="00A25E62" w:rsidRPr="007637E9">
        <w:rPr>
          <w:color w:val="0E101A"/>
          <w:sz w:val="24"/>
          <w:szCs w:val="24"/>
        </w:rPr>
        <w:t>, for which data can be sourced that i</w:t>
      </w:r>
      <w:r w:rsidR="003E2626" w:rsidRPr="007637E9">
        <w:rPr>
          <w:color w:val="0E101A"/>
          <w:sz w:val="24"/>
          <w:szCs w:val="24"/>
        </w:rPr>
        <w:t>s appropriate for setting the benchmark</w:t>
      </w:r>
      <w:r w:rsidRPr="007637E9">
        <w:rPr>
          <w:color w:val="0E101A"/>
          <w:sz w:val="24"/>
          <w:szCs w:val="24"/>
        </w:rPr>
        <w:t xml:space="preserve">. </w:t>
      </w:r>
      <w:r w:rsidR="00E2071B" w:rsidRPr="007637E9">
        <w:rPr>
          <w:color w:val="0E101A"/>
          <w:sz w:val="24"/>
          <w:szCs w:val="24"/>
        </w:rPr>
        <w:t>R</w:t>
      </w:r>
      <w:r w:rsidRPr="007637E9">
        <w:rPr>
          <w:color w:val="0E101A"/>
          <w:sz w:val="24"/>
          <w:szCs w:val="24"/>
        </w:rPr>
        <w:t>equirements for selecting the best practice facilities are:</w:t>
      </w:r>
    </w:p>
    <w:p w14:paraId="3F3B00D2" w14:textId="7E0D1F22" w:rsidR="002F53F1" w:rsidRPr="007637E9" w:rsidRDefault="00E2071B" w:rsidP="007637E9">
      <w:pPr>
        <w:pStyle w:val="ListNumber3"/>
        <w:spacing w:before="0" w:after="240" w:line="23" w:lineRule="atLeast"/>
        <w:rPr>
          <w:sz w:val="24"/>
        </w:rPr>
      </w:pPr>
      <w:r w:rsidRPr="007637E9">
        <w:rPr>
          <w:sz w:val="24"/>
        </w:rPr>
        <w:t xml:space="preserve">Emissions data </w:t>
      </w:r>
      <w:r w:rsidR="003640E6" w:rsidRPr="007637E9">
        <w:rPr>
          <w:sz w:val="24"/>
        </w:rPr>
        <w:t xml:space="preserve">should </w:t>
      </w:r>
      <w:r w:rsidRPr="007637E9">
        <w:rPr>
          <w:sz w:val="24"/>
        </w:rPr>
        <w:t xml:space="preserve">be consistent with </w:t>
      </w:r>
      <w:r w:rsidR="001E2F82" w:rsidRPr="007637E9">
        <w:rPr>
          <w:sz w:val="24"/>
        </w:rPr>
        <w:t>relevant international reporting standards,</w:t>
      </w:r>
      <w:r w:rsidRPr="007637E9">
        <w:rPr>
          <w:sz w:val="24"/>
        </w:rPr>
        <w:t xml:space="preserve"> and ignore any offsetting.</w:t>
      </w:r>
    </w:p>
    <w:p w14:paraId="1109DF3B" w14:textId="69477E35" w:rsidR="00E2071B" w:rsidRPr="007637E9" w:rsidRDefault="00E2071B" w:rsidP="007637E9">
      <w:pPr>
        <w:pStyle w:val="ListNumber3"/>
        <w:spacing w:before="0" w:after="240" w:line="23" w:lineRule="atLeast"/>
        <w:rPr>
          <w:sz w:val="24"/>
        </w:rPr>
      </w:pPr>
      <w:r w:rsidRPr="007637E9">
        <w:rPr>
          <w:sz w:val="24"/>
        </w:rPr>
        <w:t xml:space="preserve">Production data </w:t>
      </w:r>
      <w:r w:rsidR="00A3601F" w:rsidRPr="007637E9">
        <w:rPr>
          <w:sz w:val="24"/>
        </w:rPr>
        <w:t xml:space="preserve">should </w:t>
      </w:r>
      <w:r w:rsidRPr="007637E9">
        <w:rPr>
          <w:sz w:val="24"/>
        </w:rPr>
        <w:t>be consistent</w:t>
      </w:r>
      <w:r w:rsidR="00EA4ADA" w:rsidRPr="007637E9">
        <w:rPr>
          <w:sz w:val="24"/>
        </w:rPr>
        <w:t>, in material respects,</w:t>
      </w:r>
      <w:r w:rsidRPr="007637E9">
        <w:rPr>
          <w:sz w:val="24"/>
        </w:rPr>
        <w:t xml:space="preserve"> with Safeguard production variables.</w:t>
      </w:r>
    </w:p>
    <w:p w14:paraId="75DDC9E2" w14:textId="740DBD2D" w:rsidR="00BA5133" w:rsidRPr="007637E9" w:rsidRDefault="00BA5133" w:rsidP="007637E9">
      <w:pPr>
        <w:pStyle w:val="ListNumber3"/>
        <w:spacing w:before="0" w:after="240" w:line="23" w:lineRule="atLeast"/>
        <w:rPr>
          <w:sz w:val="24"/>
        </w:rPr>
      </w:pPr>
      <w:r w:rsidRPr="007637E9">
        <w:rPr>
          <w:sz w:val="24"/>
        </w:rPr>
        <w:t>The facility should have commercial-level production</w:t>
      </w:r>
      <w:r w:rsidR="00AB56DD" w:rsidRPr="007637E9">
        <w:rPr>
          <w:sz w:val="24"/>
        </w:rPr>
        <w:t xml:space="preserve"> using technologies applicable to Safeguard</w:t>
      </w:r>
      <w:r w:rsidR="00CC7638" w:rsidRPr="007637E9">
        <w:rPr>
          <w:sz w:val="24"/>
        </w:rPr>
        <w:t xml:space="preserve"> facilities</w:t>
      </w:r>
      <w:r w:rsidRPr="007637E9">
        <w:rPr>
          <w:rStyle w:val="Emphasis"/>
          <w:color w:val="0E101A"/>
          <w:sz w:val="24"/>
        </w:rPr>
        <w:t xml:space="preserve">, </w:t>
      </w:r>
      <w:r w:rsidRPr="007637E9">
        <w:rPr>
          <w:rStyle w:val="Emphasis"/>
          <w:i w:val="0"/>
          <w:iCs w:val="0"/>
          <w:color w:val="0E101A"/>
          <w:sz w:val="24"/>
        </w:rPr>
        <w:t>which rules out setting the benchmark on:</w:t>
      </w:r>
    </w:p>
    <w:p w14:paraId="6428C76F" w14:textId="71F7CFDD" w:rsidR="00CC7638" w:rsidRPr="007637E9" w:rsidRDefault="00CC7638" w:rsidP="007637E9">
      <w:pPr>
        <w:pStyle w:val="ListParagraph"/>
        <w:numPr>
          <w:ilvl w:val="1"/>
          <w:numId w:val="18"/>
        </w:numPr>
        <w:spacing w:before="0" w:after="240" w:line="23" w:lineRule="atLeast"/>
        <w:ind w:left="851" w:hanging="426"/>
        <w:rPr>
          <w:rStyle w:val="Emphasis"/>
          <w:color w:val="0E101A"/>
          <w:sz w:val="24"/>
          <w:szCs w:val="24"/>
        </w:rPr>
      </w:pPr>
      <w:r w:rsidRPr="007637E9">
        <w:rPr>
          <w:rStyle w:val="Emphasis"/>
          <w:i w:val="0"/>
          <w:iCs w:val="0"/>
          <w:color w:val="0E101A"/>
          <w:sz w:val="24"/>
          <w:szCs w:val="24"/>
        </w:rPr>
        <w:t>p</w:t>
      </w:r>
      <w:r w:rsidR="00BA5133" w:rsidRPr="007637E9">
        <w:rPr>
          <w:rStyle w:val="Emphasis"/>
          <w:i w:val="0"/>
          <w:iCs w:val="0"/>
          <w:color w:val="0E101A"/>
          <w:sz w:val="24"/>
          <w:szCs w:val="24"/>
        </w:rPr>
        <w:t xml:space="preserve">ilot or demonstration plants unlikely to be of a similar scale to a Safeguard </w:t>
      </w:r>
      <w:proofErr w:type="gramStart"/>
      <w:r w:rsidR="00BA5133" w:rsidRPr="007637E9">
        <w:rPr>
          <w:rStyle w:val="Emphasis"/>
          <w:i w:val="0"/>
          <w:iCs w:val="0"/>
          <w:color w:val="0E101A"/>
          <w:sz w:val="24"/>
          <w:szCs w:val="24"/>
        </w:rPr>
        <w:t>facility</w:t>
      </w:r>
      <w:r w:rsidRPr="007637E9">
        <w:rPr>
          <w:rStyle w:val="Emphasis"/>
          <w:i w:val="0"/>
          <w:iCs w:val="0"/>
          <w:color w:val="0E101A"/>
          <w:sz w:val="24"/>
          <w:szCs w:val="24"/>
        </w:rPr>
        <w:t>;</w:t>
      </w:r>
      <w:proofErr w:type="gramEnd"/>
    </w:p>
    <w:p w14:paraId="5896DEA8" w14:textId="6154B2FB" w:rsidR="00BA5133" w:rsidRPr="007637E9" w:rsidRDefault="00CC7638" w:rsidP="007637E9">
      <w:pPr>
        <w:pStyle w:val="ListParagraph"/>
        <w:numPr>
          <w:ilvl w:val="1"/>
          <w:numId w:val="18"/>
        </w:numPr>
        <w:spacing w:before="0" w:after="240" w:line="23" w:lineRule="atLeast"/>
        <w:ind w:left="851" w:hanging="426"/>
        <w:rPr>
          <w:i/>
          <w:iCs/>
          <w:color w:val="0E101A"/>
          <w:sz w:val="24"/>
          <w:szCs w:val="24"/>
        </w:rPr>
      </w:pPr>
      <w:r w:rsidRPr="007637E9">
        <w:rPr>
          <w:rStyle w:val="Emphasis"/>
          <w:i w:val="0"/>
          <w:iCs w:val="0"/>
          <w:color w:val="0E101A"/>
          <w:sz w:val="24"/>
          <w:szCs w:val="24"/>
        </w:rPr>
        <w:t xml:space="preserve">highly subsidised </w:t>
      </w:r>
      <w:r w:rsidR="004F715B" w:rsidRPr="007637E9">
        <w:rPr>
          <w:rStyle w:val="Emphasis"/>
          <w:i w:val="0"/>
          <w:iCs w:val="0"/>
          <w:color w:val="0E101A"/>
          <w:sz w:val="24"/>
          <w:szCs w:val="24"/>
        </w:rPr>
        <w:t>production that would not otherwise be commercially viable; or</w:t>
      </w:r>
      <w:r w:rsidR="00BA5133" w:rsidRPr="007637E9">
        <w:rPr>
          <w:rStyle w:val="Emphasis"/>
          <w:i w:val="0"/>
          <w:iCs w:val="0"/>
          <w:color w:val="0E101A"/>
          <w:sz w:val="24"/>
          <w:szCs w:val="24"/>
        </w:rPr>
        <w:t> </w:t>
      </w:r>
    </w:p>
    <w:p w14:paraId="2EE8C11A" w14:textId="77777777" w:rsidR="00BA5133" w:rsidRPr="007637E9" w:rsidRDefault="00BA5133" w:rsidP="007637E9">
      <w:pPr>
        <w:pStyle w:val="ListParagraph"/>
        <w:numPr>
          <w:ilvl w:val="1"/>
          <w:numId w:val="18"/>
        </w:numPr>
        <w:spacing w:before="0" w:after="240" w:line="23" w:lineRule="atLeast"/>
        <w:ind w:left="851" w:hanging="426"/>
        <w:rPr>
          <w:i/>
          <w:iCs/>
          <w:color w:val="0E101A"/>
          <w:sz w:val="24"/>
          <w:szCs w:val="24"/>
        </w:rPr>
      </w:pPr>
      <w:r w:rsidRPr="007637E9">
        <w:rPr>
          <w:rStyle w:val="Emphasis"/>
          <w:i w:val="0"/>
          <w:iCs w:val="0"/>
          <w:color w:val="0E101A"/>
          <w:sz w:val="24"/>
          <w:szCs w:val="24"/>
        </w:rPr>
        <w:t>plants under construction or being commissioned, requiring its emissions intensity to be estimated or modelled.</w:t>
      </w:r>
    </w:p>
    <w:p w14:paraId="7ADA4F62" w14:textId="56EC889D" w:rsidR="00BA5133" w:rsidRPr="007637E9" w:rsidRDefault="00BA5133" w:rsidP="00B205B3">
      <w:pPr>
        <w:pStyle w:val="ListNumber3"/>
        <w:spacing w:before="0" w:after="240" w:line="23" w:lineRule="atLeast"/>
        <w:ind w:left="357" w:hanging="357"/>
        <w:rPr>
          <w:rStyle w:val="Emphasis"/>
          <w:rFonts w:cstheme="minorBidi"/>
          <w:i w:val="0"/>
          <w:color w:val="0E101A"/>
          <w:sz w:val="24"/>
        </w:rPr>
      </w:pPr>
      <w:r w:rsidRPr="007637E9">
        <w:rPr>
          <w:sz w:val="24"/>
        </w:rPr>
        <w:t>The selected facility’s data should be suitable, which means</w:t>
      </w:r>
      <w:r w:rsidR="00AA10F1" w:rsidRPr="007637E9">
        <w:rPr>
          <w:sz w:val="24"/>
        </w:rPr>
        <w:t xml:space="preserve"> that </w:t>
      </w:r>
      <w:r w:rsidRPr="007637E9">
        <w:rPr>
          <w:rStyle w:val="Emphasis"/>
          <w:i w:val="0"/>
          <w:iCs w:val="0"/>
          <w:color w:val="0E101A"/>
          <w:sz w:val="24"/>
        </w:rPr>
        <w:t>emissions associated with the product should match the emissions included and excluded from the Safeguard production variables as described in the</w:t>
      </w:r>
      <w:r w:rsidRPr="007637E9">
        <w:rPr>
          <w:rStyle w:val="Emphasis"/>
          <w:color w:val="0E101A"/>
          <w:sz w:val="24"/>
        </w:rPr>
        <w:t xml:space="preserve"> </w:t>
      </w:r>
      <w:hyperlink r:id="rId20" w:anchor=":~:text=The%20Safeguard%20Mechanism%20and%20National,calculations%20under%20the%20Safeguard%20Mechanism" w:history="1">
        <w:r w:rsidRPr="007637E9">
          <w:rPr>
            <w:rStyle w:val="Hyperlink"/>
            <w:sz w:val="24"/>
          </w:rPr>
          <w:t>Safeguard Mechanism Document</w:t>
        </w:r>
      </w:hyperlink>
      <w:r w:rsidRPr="007637E9">
        <w:rPr>
          <w:rStyle w:val="Hyperlink"/>
          <w:sz w:val="24"/>
        </w:rPr>
        <w:t xml:space="preserve">. </w:t>
      </w:r>
      <w:r w:rsidRPr="007637E9">
        <w:rPr>
          <w:rStyle w:val="Emphasis"/>
          <w:i w:val="0"/>
          <w:iCs w:val="0"/>
          <w:color w:val="0E101A"/>
          <w:sz w:val="24"/>
        </w:rPr>
        <w:t>For example, the emissions should exclude electricity and Scope 2 and 3 emissions</w:t>
      </w:r>
      <w:r w:rsidR="00163297" w:rsidRPr="007637E9">
        <w:rPr>
          <w:rStyle w:val="Emphasis"/>
          <w:i w:val="0"/>
          <w:iCs w:val="0"/>
          <w:color w:val="0E101A"/>
          <w:sz w:val="24"/>
        </w:rPr>
        <w:t>;</w:t>
      </w:r>
      <w:r w:rsidRPr="007637E9">
        <w:rPr>
          <w:rStyle w:val="Emphasis"/>
          <w:i w:val="0"/>
          <w:iCs w:val="0"/>
          <w:color w:val="0E101A"/>
          <w:sz w:val="24"/>
        </w:rPr>
        <w:t xml:space="preserve"> and multi-product facilities should apportion emissions between the products in a way consistent with the Safeguard Mechanism.</w:t>
      </w:r>
      <w:r w:rsidRPr="007637E9">
        <w:rPr>
          <w:rStyle w:val="Emphasis"/>
          <w:color w:val="0E101A"/>
          <w:sz w:val="24"/>
        </w:rPr>
        <w:t xml:space="preserve"> </w:t>
      </w:r>
    </w:p>
    <w:p w14:paraId="764E22AF" w14:textId="456B3B0F" w:rsidR="00F85392" w:rsidRPr="00490529" w:rsidRDefault="00F85392" w:rsidP="00F85392">
      <w:pPr>
        <w:rPr>
          <w:color w:val="0E101A"/>
          <w:sz w:val="24"/>
          <w:szCs w:val="24"/>
        </w:rPr>
      </w:pPr>
      <w:r w:rsidRPr="00490529">
        <w:rPr>
          <w:color w:val="0E101A"/>
          <w:sz w:val="24"/>
          <w:szCs w:val="24"/>
        </w:rPr>
        <w:t xml:space="preserve">If sufficient detail is available, then emissions accounting adjustments can be made to ensure data is suitable for calculating the best practice benchmarks. For example, to adjust for a different </w:t>
      </w:r>
      <w:r w:rsidR="00103F8A">
        <w:rPr>
          <w:color w:val="0E101A"/>
          <w:sz w:val="24"/>
          <w:szCs w:val="24"/>
        </w:rPr>
        <w:t>G</w:t>
      </w:r>
      <w:r w:rsidR="007364C6">
        <w:rPr>
          <w:color w:val="0E101A"/>
          <w:sz w:val="24"/>
          <w:szCs w:val="24"/>
        </w:rPr>
        <w:t>l</w:t>
      </w:r>
      <w:r w:rsidR="00381D36">
        <w:rPr>
          <w:color w:val="0E101A"/>
          <w:sz w:val="24"/>
          <w:szCs w:val="24"/>
        </w:rPr>
        <w:t xml:space="preserve">obal </w:t>
      </w:r>
      <w:r w:rsidR="007364C6">
        <w:rPr>
          <w:color w:val="0E101A"/>
          <w:sz w:val="24"/>
          <w:szCs w:val="24"/>
        </w:rPr>
        <w:t>W</w:t>
      </w:r>
      <w:r w:rsidR="00381D36">
        <w:rPr>
          <w:color w:val="0E101A"/>
          <w:sz w:val="24"/>
          <w:szCs w:val="24"/>
        </w:rPr>
        <w:t xml:space="preserve">arming </w:t>
      </w:r>
      <w:r w:rsidR="007364C6">
        <w:rPr>
          <w:color w:val="0E101A"/>
          <w:sz w:val="24"/>
          <w:szCs w:val="24"/>
        </w:rPr>
        <w:t>P</w:t>
      </w:r>
      <w:r w:rsidR="00381D36">
        <w:rPr>
          <w:color w:val="0E101A"/>
          <w:sz w:val="24"/>
          <w:szCs w:val="24"/>
        </w:rPr>
        <w:t>otential</w:t>
      </w:r>
      <w:r w:rsidR="007A727D">
        <w:rPr>
          <w:color w:val="0E101A"/>
          <w:sz w:val="24"/>
          <w:szCs w:val="24"/>
        </w:rPr>
        <w:t xml:space="preserve"> (</w:t>
      </w:r>
      <w:r w:rsidRPr="00490529">
        <w:rPr>
          <w:color w:val="0E101A"/>
          <w:sz w:val="24"/>
          <w:szCs w:val="24"/>
        </w:rPr>
        <w:t>GWP</w:t>
      </w:r>
      <w:r w:rsidR="002E14B6">
        <w:rPr>
          <w:color w:val="0E101A"/>
          <w:sz w:val="24"/>
          <w:szCs w:val="24"/>
        </w:rPr>
        <w:t>)</w:t>
      </w:r>
      <w:r w:rsidRPr="00490529">
        <w:rPr>
          <w:color w:val="0E101A"/>
          <w:sz w:val="24"/>
          <w:szCs w:val="24"/>
        </w:rPr>
        <w:t xml:space="preserve">, different production units or include an estimate of emissions from a greenhouse gas not covered by overseas reporting arrangements. </w:t>
      </w:r>
    </w:p>
    <w:p w14:paraId="4A7287A2" w14:textId="58A392B1" w:rsidR="00AE1BF6" w:rsidRPr="00490529" w:rsidRDefault="00FF5985" w:rsidP="00F85392">
      <w:pPr>
        <w:rPr>
          <w:color w:val="0E101A"/>
          <w:sz w:val="24"/>
          <w:szCs w:val="24"/>
        </w:rPr>
      </w:pPr>
      <w:r w:rsidRPr="00490529">
        <w:rPr>
          <w:color w:val="0E101A"/>
          <w:sz w:val="24"/>
          <w:szCs w:val="24"/>
        </w:rPr>
        <w:t xml:space="preserve">Ideally, the best performing facilities used to calculate the benchmark will have </w:t>
      </w:r>
      <w:r w:rsidR="00AF6EF2" w:rsidRPr="00490529">
        <w:rPr>
          <w:color w:val="0E101A"/>
          <w:sz w:val="24"/>
          <w:szCs w:val="24"/>
        </w:rPr>
        <w:t xml:space="preserve">the lowest emissions intensity of all facilities. However, in most cases it will not be practical to </w:t>
      </w:r>
      <w:r w:rsidR="000F1182" w:rsidRPr="00490529">
        <w:rPr>
          <w:color w:val="0E101A"/>
          <w:sz w:val="24"/>
          <w:szCs w:val="24"/>
        </w:rPr>
        <w:t xml:space="preserve">obtain </w:t>
      </w:r>
      <w:r w:rsidR="00083F29" w:rsidRPr="00490529">
        <w:rPr>
          <w:color w:val="0E101A"/>
          <w:sz w:val="24"/>
          <w:szCs w:val="24"/>
        </w:rPr>
        <w:t xml:space="preserve">the emissions intensity of every facility in the world, </w:t>
      </w:r>
      <w:r w:rsidR="000F1182" w:rsidRPr="00490529">
        <w:rPr>
          <w:color w:val="0E101A"/>
          <w:sz w:val="24"/>
          <w:szCs w:val="24"/>
        </w:rPr>
        <w:t xml:space="preserve">estimated </w:t>
      </w:r>
      <w:r w:rsidR="00083F29" w:rsidRPr="00490529">
        <w:rPr>
          <w:color w:val="0E101A"/>
          <w:sz w:val="24"/>
          <w:szCs w:val="24"/>
        </w:rPr>
        <w:t>consistent</w:t>
      </w:r>
      <w:r w:rsidR="000F1182" w:rsidRPr="00490529">
        <w:rPr>
          <w:color w:val="0E101A"/>
          <w:sz w:val="24"/>
          <w:szCs w:val="24"/>
        </w:rPr>
        <w:t>ly</w:t>
      </w:r>
      <w:r w:rsidR="00083F29" w:rsidRPr="00490529">
        <w:rPr>
          <w:color w:val="0E101A"/>
          <w:sz w:val="24"/>
          <w:szCs w:val="24"/>
        </w:rPr>
        <w:t xml:space="preserve"> with the principles above, and rank</w:t>
      </w:r>
      <w:r w:rsidR="000F1182" w:rsidRPr="00490529">
        <w:rPr>
          <w:color w:val="0E101A"/>
          <w:sz w:val="24"/>
          <w:szCs w:val="24"/>
        </w:rPr>
        <w:t xml:space="preserve"> them all. As such</w:t>
      </w:r>
      <w:r w:rsidR="006D6BA8" w:rsidRPr="00490529">
        <w:rPr>
          <w:color w:val="0E101A"/>
          <w:sz w:val="24"/>
          <w:szCs w:val="24"/>
        </w:rPr>
        <w:t>, reasonable estimates and assumptions may be used for the purpose of</w:t>
      </w:r>
      <w:r w:rsidR="00054882" w:rsidRPr="00490529">
        <w:rPr>
          <w:color w:val="0E101A"/>
          <w:sz w:val="24"/>
          <w:szCs w:val="24"/>
        </w:rPr>
        <w:t xml:space="preserve"> identifying representative facilit</w:t>
      </w:r>
      <w:r w:rsidR="00153747" w:rsidRPr="00490529">
        <w:rPr>
          <w:color w:val="0E101A"/>
          <w:sz w:val="24"/>
          <w:szCs w:val="24"/>
        </w:rPr>
        <w:t xml:space="preserve">ies. </w:t>
      </w:r>
      <w:r w:rsidR="0004098C" w:rsidRPr="00490529">
        <w:rPr>
          <w:color w:val="0E101A"/>
          <w:sz w:val="24"/>
          <w:szCs w:val="24"/>
        </w:rPr>
        <w:t>Data from f</w:t>
      </w:r>
      <w:r w:rsidR="00153747" w:rsidRPr="00490529">
        <w:rPr>
          <w:color w:val="0E101A"/>
          <w:sz w:val="24"/>
          <w:szCs w:val="24"/>
        </w:rPr>
        <w:t>acilities may also be used</w:t>
      </w:r>
      <w:r w:rsidR="0004098C" w:rsidRPr="00490529">
        <w:rPr>
          <w:color w:val="0E101A"/>
          <w:sz w:val="24"/>
          <w:szCs w:val="24"/>
        </w:rPr>
        <w:t xml:space="preserve"> if their emissions intensity is expected </w:t>
      </w:r>
      <w:r w:rsidR="0039668F" w:rsidRPr="00490529">
        <w:rPr>
          <w:color w:val="0E101A"/>
          <w:sz w:val="24"/>
          <w:szCs w:val="24"/>
        </w:rPr>
        <w:t>to be close to the best performing facilities.</w:t>
      </w:r>
    </w:p>
    <w:p w14:paraId="7EC851CD" w14:textId="2E9588FD" w:rsidR="00F85392" w:rsidRPr="00DF2F30" w:rsidRDefault="00F85392" w:rsidP="00703261">
      <w:pPr>
        <w:pStyle w:val="Heading3"/>
        <w:rPr>
          <w:color w:val="1F497D" w:themeColor="text2"/>
        </w:rPr>
      </w:pPr>
      <w:bookmarkStart w:id="9" w:name="_Toc146872815"/>
      <w:r w:rsidRPr="00DF2F30">
        <w:rPr>
          <w:color w:val="1F497D" w:themeColor="text2"/>
        </w:rPr>
        <w:lastRenderedPageBreak/>
        <w:t xml:space="preserve">Data should be appropriate for the Safeguard </w:t>
      </w:r>
      <w:proofErr w:type="gramStart"/>
      <w:r w:rsidRPr="00DF2F30">
        <w:rPr>
          <w:color w:val="1F497D" w:themeColor="text2"/>
        </w:rPr>
        <w:t>context</w:t>
      </w:r>
      <w:bookmarkEnd w:id="9"/>
      <w:proofErr w:type="gramEnd"/>
    </w:p>
    <w:p w14:paraId="15E3BD3D" w14:textId="5A51C848" w:rsidR="00F85392" w:rsidRPr="00490529" w:rsidRDefault="00F85392" w:rsidP="00703261">
      <w:pPr>
        <w:keepNext/>
        <w:keepLines/>
        <w:rPr>
          <w:i/>
          <w:sz w:val="24"/>
          <w:szCs w:val="24"/>
        </w:rPr>
      </w:pPr>
      <w:r w:rsidRPr="00490529">
        <w:rPr>
          <w:i/>
          <w:sz w:val="24"/>
          <w:szCs w:val="24"/>
        </w:rPr>
        <w:t>In the Safeguard context</w:t>
      </w:r>
      <w:r w:rsidR="00EC5F42">
        <w:rPr>
          <w:i/>
          <w:sz w:val="24"/>
          <w:szCs w:val="24"/>
        </w:rPr>
        <w:t>,</w:t>
      </w:r>
      <w:r w:rsidRPr="00490529">
        <w:rPr>
          <w:i/>
          <w:sz w:val="24"/>
          <w:szCs w:val="24"/>
        </w:rPr>
        <w:t xml:space="preserve"> the electricity production variable means on-site electricity to support an industrial facility, not a grid-connected or utility scale generator.</w:t>
      </w:r>
      <w:r w:rsidR="00620E6F">
        <w:rPr>
          <w:i/>
          <w:sz w:val="24"/>
          <w:szCs w:val="24"/>
        </w:rPr>
        <w:t xml:space="preserve"> Consideration </w:t>
      </w:r>
      <w:r w:rsidR="00302A76">
        <w:rPr>
          <w:i/>
          <w:sz w:val="24"/>
          <w:szCs w:val="24"/>
        </w:rPr>
        <w:t>will</w:t>
      </w:r>
      <w:r w:rsidR="00620E6F">
        <w:rPr>
          <w:i/>
          <w:sz w:val="24"/>
          <w:szCs w:val="24"/>
        </w:rPr>
        <w:t xml:space="preserve"> be given to facility level impacts</w:t>
      </w:r>
      <w:r w:rsidR="00184CF1">
        <w:rPr>
          <w:i/>
          <w:sz w:val="24"/>
          <w:szCs w:val="24"/>
        </w:rPr>
        <w:t xml:space="preserve">. </w:t>
      </w:r>
    </w:p>
    <w:p w14:paraId="5CDF8129" w14:textId="77777777" w:rsidR="00F85392" w:rsidRPr="00490529" w:rsidRDefault="00F85392" w:rsidP="00F85392">
      <w:pPr>
        <w:rPr>
          <w:color w:val="0E101A"/>
          <w:sz w:val="24"/>
          <w:szCs w:val="24"/>
        </w:rPr>
      </w:pPr>
      <w:r w:rsidRPr="00490529">
        <w:rPr>
          <w:color w:val="0E101A"/>
          <w:sz w:val="24"/>
          <w:szCs w:val="24"/>
        </w:rPr>
        <w:t>The best practice benchmarks will use the production variables already defined for the industry average emissions intensities, which are used for setting the baseline for existing facilities.</w:t>
      </w:r>
    </w:p>
    <w:p w14:paraId="5B6ACC16" w14:textId="37ACB510" w:rsidR="00AC6DF5" w:rsidRPr="00490529" w:rsidRDefault="00BA5133" w:rsidP="00BA5133">
      <w:pPr>
        <w:rPr>
          <w:color w:val="0E101A"/>
          <w:sz w:val="24"/>
          <w:szCs w:val="24"/>
        </w:rPr>
      </w:pPr>
      <w:r w:rsidRPr="00490529">
        <w:rPr>
          <w:color w:val="0E101A"/>
          <w:sz w:val="24"/>
          <w:szCs w:val="24"/>
        </w:rPr>
        <w:t>The international best practice benchmark should be based on data appropriate for the context for how a production variable applies to Safeguard facilities. For example, electricity is a production variable, which applies to on-site electricity generation at a Safeguard facility. Safeguard facilities have on-site electricity generation to reliably meet the demand of their facilities, typically at a location remote from an electricity grid. This means the international best practice benchmark should be based on on-site electricity generation at industrial facilities, not grid-connected or utility-scale generators.</w:t>
      </w:r>
    </w:p>
    <w:p w14:paraId="538A3E84" w14:textId="6E359FDF" w:rsidR="0038211A" w:rsidRPr="00490529" w:rsidRDefault="009B2FCD" w:rsidP="00BA5133">
      <w:pPr>
        <w:rPr>
          <w:color w:val="0E101A"/>
          <w:sz w:val="24"/>
          <w:szCs w:val="24"/>
        </w:rPr>
      </w:pPr>
      <w:r>
        <w:rPr>
          <w:color w:val="0E101A"/>
          <w:sz w:val="24"/>
          <w:szCs w:val="24"/>
        </w:rPr>
        <w:t xml:space="preserve">Consideration will be given to facility level impacts. </w:t>
      </w:r>
      <w:r w:rsidR="002549F5">
        <w:rPr>
          <w:color w:val="0E101A"/>
          <w:sz w:val="24"/>
          <w:szCs w:val="24"/>
        </w:rPr>
        <w:t>This means, i</w:t>
      </w:r>
      <w:r w:rsidR="004240F6" w:rsidRPr="00490529">
        <w:rPr>
          <w:color w:val="0E101A"/>
          <w:sz w:val="24"/>
          <w:szCs w:val="24"/>
        </w:rPr>
        <w:t>n circumstances w</w:t>
      </w:r>
      <w:r w:rsidR="0038211A" w:rsidRPr="00490529">
        <w:rPr>
          <w:color w:val="0E101A"/>
          <w:sz w:val="24"/>
          <w:szCs w:val="24"/>
        </w:rPr>
        <w:t xml:space="preserve">here </w:t>
      </w:r>
      <w:r w:rsidR="004240F6" w:rsidRPr="00490529">
        <w:rPr>
          <w:color w:val="0E101A"/>
          <w:sz w:val="24"/>
          <w:szCs w:val="24"/>
        </w:rPr>
        <w:t xml:space="preserve">a combination </w:t>
      </w:r>
      <w:r w:rsidR="00057766" w:rsidRPr="00490529">
        <w:rPr>
          <w:color w:val="0E101A"/>
          <w:sz w:val="24"/>
          <w:szCs w:val="24"/>
        </w:rPr>
        <w:t xml:space="preserve">of </w:t>
      </w:r>
      <w:r w:rsidR="0038211A" w:rsidRPr="00490529">
        <w:rPr>
          <w:color w:val="0E101A"/>
          <w:sz w:val="24"/>
          <w:szCs w:val="24"/>
        </w:rPr>
        <w:t xml:space="preserve">production </w:t>
      </w:r>
      <w:r w:rsidR="00B252EB" w:rsidRPr="00490529">
        <w:rPr>
          <w:color w:val="0E101A"/>
          <w:sz w:val="24"/>
          <w:szCs w:val="24"/>
        </w:rPr>
        <w:t xml:space="preserve">variables </w:t>
      </w:r>
      <w:r w:rsidR="00732AE4" w:rsidRPr="00490529">
        <w:rPr>
          <w:color w:val="0E101A"/>
          <w:sz w:val="24"/>
          <w:szCs w:val="24"/>
        </w:rPr>
        <w:t>is</w:t>
      </w:r>
      <w:r w:rsidR="00B252EB" w:rsidRPr="00490529">
        <w:rPr>
          <w:color w:val="0E101A"/>
          <w:sz w:val="24"/>
          <w:szCs w:val="24"/>
        </w:rPr>
        <w:t xml:space="preserve"> likely to </w:t>
      </w:r>
      <w:r w:rsidR="00732AE4" w:rsidRPr="00490529">
        <w:rPr>
          <w:color w:val="0E101A"/>
          <w:sz w:val="24"/>
          <w:szCs w:val="24"/>
        </w:rPr>
        <w:t xml:space="preserve">be </w:t>
      </w:r>
      <w:r w:rsidR="002D3196" w:rsidRPr="00490529">
        <w:rPr>
          <w:color w:val="0E101A"/>
          <w:sz w:val="24"/>
          <w:szCs w:val="24"/>
        </w:rPr>
        <w:t xml:space="preserve">used at </w:t>
      </w:r>
      <w:r w:rsidR="00AE583D" w:rsidRPr="00490529">
        <w:rPr>
          <w:color w:val="0E101A"/>
          <w:sz w:val="24"/>
          <w:szCs w:val="24"/>
        </w:rPr>
        <w:t>one or more</w:t>
      </w:r>
      <w:r w:rsidR="002D3196" w:rsidRPr="00490529">
        <w:rPr>
          <w:color w:val="0E101A"/>
          <w:sz w:val="24"/>
          <w:szCs w:val="24"/>
        </w:rPr>
        <w:t xml:space="preserve"> new facilit</w:t>
      </w:r>
      <w:r w:rsidR="00AE583D" w:rsidRPr="00490529">
        <w:rPr>
          <w:color w:val="0E101A"/>
          <w:sz w:val="24"/>
          <w:szCs w:val="24"/>
        </w:rPr>
        <w:t>ies, consideration could be given</w:t>
      </w:r>
      <w:r w:rsidR="00A94598" w:rsidRPr="00490529">
        <w:rPr>
          <w:color w:val="0E101A"/>
          <w:sz w:val="24"/>
          <w:szCs w:val="24"/>
        </w:rPr>
        <w:t xml:space="preserve"> to </w:t>
      </w:r>
      <w:r w:rsidR="00914882" w:rsidRPr="00490529">
        <w:rPr>
          <w:color w:val="0E101A"/>
          <w:sz w:val="24"/>
          <w:szCs w:val="24"/>
        </w:rPr>
        <w:t>what</w:t>
      </w:r>
      <w:r w:rsidR="00DC2C0E" w:rsidRPr="00490529">
        <w:rPr>
          <w:color w:val="0E101A"/>
          <w:sz w:val="24"/>
          <w:szCs w:val="24"/>
        </w:rPr>
        <w:t xml:space="preserve"> is </w:t>
      </w:r>
      <w:r w:rsidR="00544B44" w:rsidRPr="00490529">
        <w:rPr>
          <w:color w:val="0E101A"/>
          <w:sz w:val="24"/>
          <w:szCs w:val="24"/>
        </w:rPr>
        <w:t>‘best practice’ in terms of global facilities that u</w:t>
      </w:r>
      <w:r w:rsidR="0047462E" w:rsidRPr="00490529">
        <w:rPr>
          <w:color w:val="0E101A"/>
          <w:sz w:val="24"/>
          <w:szCs w:val="24"/>
        </w:rPr>
        <w:t xml:space="preserve">ndertake the same </w:t>
      </w:r>
      <w:r w:rsidR="00FB206D" w:rsidRPr="00490529">
        <w:rPr>
          <w:color w:val="0E101A"/>
          <w:sz w:val="24"/>
          <w:szCs w:val="24"/>
        </w:rPr>
        <w:t>activities</w:t>
      </w:r>
      <w:r w:rsidR="00906F61" w:rsidRPr="00490529">
        <w:rPr>
          <w:color w:val="0E101A"/>
          <w:sz w:val="24"/>
          <w:szCs w:val="24"/>
        </w:rPr>
        <w:t>, when selecting best practice facilities for calculating the benchmark.</w:t>
      </w:r>
      <w:r w:rsidR="00544B44" w:rsidRPr="00490529">
        <w:rPr>
          <w:color w:val="0E101A"/>
          <w:sz w:val="24"/>
          <w:szCs w:val="24"/>
        </w:rPr>
        <w:t xml:space="preserve"> </w:t>
      </w:r>
      <w:r w:rsidR="00404A8F">
        <w:rPr>
          <w:color w:val="0E101A"/>
          <w:sz w:val="24"/>
          <w:szCs w:val="24"/>
        </w:rPr>
        <w:t>This may be particularly relevant for on-site electricity generation which is used by a wide range of facilities in different</w:t>
      </w:r>
      <w:r w:rsidR="0073621A">
        <w:rPr>
          <w:color w:val="0E101A"/>
          <w:sz w:val="24"/>
          <w:szCs w:val="24"/>
        </w:rPr>
        <w:t xml:space="preserve"> sectors and</w:t>
      </w:r>
      <w:r w:rsidR="00404A8F">
        <w:rPr>
          <w:color w:val="0E101A"/>
          <w:sz w:val="24"/>
          <w:szCs w:val="24"/>
        </w:rPr>
        <w:t xml:space="preserve"> locations. </w:t>
      </w:r>
    </w:p>
    <w:p w14:paraId="2AC0D963" w14:textId="77777777" w:rsidR="00BA5133" w:rsidRPr="00DF2F30" w:rsidRDefault="00BA5133" w:rsidP="00833996">
      <w:pPr>
        <w:pStyle w:val="Heading3"/>
        <w:rPr>
          <w:rStyle w:val="Emphasis"/>
          <w:i w:val="0"/>
          <w:iCs w:val="0"/>
          <w:color w:val="1F497D" w:themeColor="text2"/>
          <w:sz w:val="24"/>
          <w:szCs w:val="24"/>
        </w:rPr>
      </w:pPr>
      <w:bookmarkStart w:id="10" w:name="_Toc146872816"/>
      <w:r w:rsidRPr="00DF2F30">
        <w:rPr>
          <w:rStyle w:val="Emphasis"/>
          <w:i w:val="0"/>
          <w:iCs w:val="0"/>
          <w:color w:val="1F497D" w:themeColor="text2"/>
          <w:sz w:val="24"/>
          <w:szCs w:val="24"/>
        </w:rPr>
        <w:t xml:space="preserve">Time period for selecting </w:t>
      </w:r>
      <w:proofErr w:type="gramStart"/>
      <w:r w:rsidRPr="00DF2F30">
        <w:rPr>
          <w:rStyle w:val="Emphasis"/>
          <w:i w:val="0"/>
          <w:iCs w:val="0"/>
          <w:color w:val="1F497D" w:themeColor="text2"/>
          <w:sz w:val="24"/>
          <w:szCs w:val="24"/>
        </w:rPr>
        <w:t>data</w:t>
      </w:r>
      <w:bookmarkEnd w:id="10"/>
      <w:proofErr w:type="gramEnd"/>
    </w:p>
    <w:p w14:paraId="4360730C" w14:textId="6A102ACE" w:rsidR="00BA5133" w:rsidRPr="00490529" w:rsidRDefault="00BA5133" w:rsidP="00237F28">
      <w:pPr>
        <w:rPr>
          <w:i/>
          <w:iCs/>
          <w:sz w:val="24"/>
          <w:szCs w:val="24"/>
        </w:rPr>
      </w:pPr>
      <w:r w:rsidRPr="00490529">
        <w:rPr>
          <w:i/>
          <w:iCs/>
          <w:sz w:val="24"/>
          <w:szCs w:val="24"/>
        </w:rPr>
        <w:t xml:space="preserve">Use </w:t>
      </w:r>
      <w:r w:rsidR="005D0C6B">
        <w:rPr>
          <w:i/>
          <w:iCs/>
          <w:sz w:val="24"/>
          <w:szCs w:val="24"/>
        </w:rPr>
        <w:t>the middle three of five</w:t>
      </w:r>
      <w:r w:rsidRPr="00490529">
        <w:rPr>
          <w:i/>
          <w:iCs/>
          <w:sz w:val="24"/>
          <w:szCs w:val="24"/>
        </w:rPr>
        <w:t xml:space="preserve"> recent years data for each best practice facility</w:t>
      </w:r>
      <w:r w:rsidR="00EA3BAA">
        <w:rPr>
          <w:i/>
          <w:iCs/>
          <w:sz w:val="24"/>
          <w:szCs w:val="24"/>
        </w:rPr>
        <w:t>, excluding the highest and lowest emissions</w:t>
      </w:r>
      <w:r w:rsidR="00C86841">
        <w:rPr>
          <w:i/>
          <w:iCs/>
          <w:sz w:val="24"/>
          <w:szCs w:val="24"/>
        </w:rPr>
        <w:t>-</w:t>
      </w:r>
      <w:r w:rsidR="00EA3BAA">
        <w:rPr>
          <w:i/>
          <w:iCs/>
          <w:sz w:val="24"/>
          <w:szCs w:val="24"/>
        </w:rPr>
        <w:t>intensity years.</w:t>
      </w:r>
    </w:p>
    <w:p w14:paraId="5EEDB66F" w14:textId="4DF7647E" w:rsidR="00817056" w:rsidRPr="00490529" w:rsidRDefault="00014B61" w:rsidP="00BA5133">
      <w:pPr>
        <w:rPr>
          <w:rStyle w:val="Emphasis"/>
          <w:i w:val="0"/>
          <w:iCs w:val="0"/>
          <w:color w:val="0E101A"/>
          <w:sz w:val="24"/>
          <w:szCs w:val="24"/>
        </w:rPr>
      </w:pPr>
      <w:r>
        <w:rPr>
          <w:rStyle w:val="Emphasis"/>
          <w:i w:val="0"/>
          <w:iCs w:val="0"/>
          <w:color w:val="0E101A"/>
          <w:sz w:val="24"/>
          <w:szCs w:val="24"/>
        </w:rPr>
        <w:t>Where practical, b</w:t>
      </w:r>
      <w:r w:rsidR="00755513" w:rsidRPr="00490529">
        <w:rPr>
          <w:rStyle w:val="Emphasis"/>
          <w:i w:val="0"/>
          <w:iCs w:val="0"/>
          <w:color w:val="0E101A"/>
          <w:sz w:val="24"/>
          <w:szCs w:val="24"/>
        </w:rPr>
        <w:t>enchmarks will be set based on recent data for existing facilities</w:t>
      </w:r>
      <w:r w:rsidR="002837D7" w:rsidRPr="00490529">
        <w:rPr>
          <w:rStyle w:val="Emphasis"/>
          <w:i w:val="0"/>
          <w:iCs w:val="0"/>
          <w:color w:val="0E101A"/>
          <w:sz w:val="24"/>
          <w:szCs w:val="24"/>
        </w:rPr>
        <w:t>, rather than, for example, forecasts of the emissions intensity for anticipated technologies.</w:t>
      </w:r>
      <w:r w:rsidR="00360827" w:rsidRPr="00490529">
        <w:rPr>
          <w:rStyle w:val="Emphasis"/>
          <w:i w:val="0"/>
          <w:iCs w:val="0"/>
          <w:color w:val="0E101A"/>
          <w:sz w:val="24"/>
          <w:szCs w:val="24"/>
        </w:rPr>
        <w:t xml:space="preserve"> </w:t>
      </w:r>
      <w:r w:rsidR="004E2F80">
        <w:rPr>
          <w:rStyle w:val="Emphasis"/>
          <w:i w:val="0"/>
          <w:iCs w:val="0"/>
          <w:color w:val="0E101A"/>
          <w:sz w:val="24"/>
          <w:szCs w:val="24"/>
        </w:rPr>
        <w:t>One</w:t>
      </w:r>
      <w:r w:rsidR="00AB27A9">
        <w:rPr>
          <w:rStyle w:val="Emphasis"/>
          <w:i w:val="0"/>
          <w:iCs w:val="0"/>
          <w:color w:val="0E101A"/>
          <w:sz w:val="24"/>
          <w:szCs w:val="24"/>
        </w:rPr>
        <w:t xml:space="preserve"> exception is ‘first-of-kind’ facilities, for which historic data is not </w:t>
      </w:r>
      <w:r w:rsidR="00AB27A9" w:rsidRPr="007530FE">
        <w:rPr>
          <w:rStyle w:val="Emphasis"/>
          <w:i w:val="0"/>
          <w:iCs w:val="0"/>
          <w:color w:val="0E101A"/>
          <w:sz w:val="24"/>
          <w:szCs w:val="24"/>
        </w:rPr>
        <w:t xml:space="preserve">available (discussed in section </w:t>
      </w:r>
      <w:r w:rsidR="007530FE">
        <w:rPr>
          <w:rStyle w:val="Emphasis"/>
          <w:i w:val="0"/>
          <w:iCs w:val="0"/>
          <w:color w:val="0E101A"/>
          <w:sz w:val="24"/>
          <w:szCs w:val="24"/>
        </w:rPr>
        <w:t>2.7</w:t>
      </w:r>
      <w:r w:rsidR="00AB27A9">
        <w:rPr>
          <w:rStyle w:val="Emphasis"/>
          <w:i w:val="0"/>
          <w:iCs w:val="0"/>
          <w:color w:val="0E101A"/>
          <w:sz w:val="24"/>
          <w:szCs w:val="24"/>
        </w:rPr>
        <w:t xml:space="preserve">). </w:t>
      </w:r>
      <w:r w:rsidR="00360827" w:rsidRPr="00490529">
        <w:rPr>
          <w:rStyle w:val="Emphasis"/>
          <w:i w:val="0"/>
          <w:iCs w:val="0"/>
          <w:color w:val="0E101A"/>
          <w:sz w:val="24"/>
          <w:szCs w:val="24"/>
        </w:rPr>
        <w:t>Technological developments will</w:t>
      </w:r>
      <w:r w:rsidR="005A55E7" w:rsidRPr="00490529">
        <w:rPr>
          <w:rStyle w:val="Emphasis"/>
          <w:i w:val="0"/>
          <w:iCs w:val="0"/>
          <w:color w:val="0E101A"/>
          <w:sz w:val="24"/>
          <w:szCs w:val="24"/>
        </w:rPr>
        <w:t>, in many cases, reduce the emissions intensity of the best performing technologies over time</w:t>
      </w:r>
      <w:r w:rsidR="00B36932" w:rsidRPr="00490529">
        <w:rPr>
          <w:rStyle w:val="Emphasis"/>
          <w:i w:val="0"/>
          <w:iCs w:val="0"/>
          <w:color w:val="0E101A"/>
          <w:sz w:val="24"/>
          <w:szCs w:val="24"/>
        </w:rPr>
        <w:t>, but this is reflected in the baseline decline that applies to all Safeguard facilities.</w:t>
      </w:r>
    </w:p>
    <w:p w14:paraId="55F5653D" w14:textId="6EA920A5" w:rsidR="00C86841" w:rsidRDefault="004A4FC3" w:rsidP="00BA5133">
      <w:pPr>
        <w:rPr>
          <w:rStyle w:val="Emphasis"/>
          <w:i w:val="0"/>
          <w:iCs w:val="0"/>
          <w:color w:val="0E101A"/>
          <w:sz w:val="24"/>
          <w:szCs w:val="24"/>
        </w:rPr>
      </w:pPr>
      <w:r>
        <w:rPr>
          <w:rStyle w:val="Emphasis"/>
          <w:i w:val="0"/>
          <w:iCs w:val="0"/>
          <w:color w:val="0E101A"/>
          <w:sz w:val="24"/>
          <w:szCs w:val="24"/>
        </w:rPr>
        <w:t>Where practical, f</w:t>
      </w:r>
      <w:r w:rsidR="0044740A">
        <w:rPr>
          <w:rStyle w:val="Emphasis"/>
          <w:i w:val="0"/>
          <w:iCs w:val="0"/>
          <w:color w:val="0E101A"/>
          <w:sz w:val="24"/>
          <w:szCs w:val="24"/>
        </w:rPr>
        <w:t>ive</w:t>
      </w:r>
      <w:r w:rsidR="00BA5133" w:rsidRPr="00490529">
        <w:rPr>
          <w:rStyle w:val="Emphasis"/>
          <w:i w:val="0"/>
          <w:iCs w:val="0"/>
          <w:color w:val="0E101A"/>
          <w:sz w:val="24"/>
          <w:szCs w:val="24"/>
        </w:rPr>
        <w:t xml:space="preserve"> years of suitable data will be sourced for each of the potential best practice facilities </w:t>
      </w:r>
      <w:r w:rsidR="0044740A">
        <w:rPr>
          <w:rStyle w:val="Emphasis"/>
          <w:i w:val="0"/>
          <w:iCs w:val="0"/>
          <w:color w:val="0E101A"/>
          <w:sz w:val="24"/>
          <w:szCs w:val="24"/>
        </w:rPr>
        <w:t xml:space="preserve">globally (including in Australia) </w:t>
      </w:r>
      <w:r w:rsidR="00BA5133" w:rsidRPr="00490529">
        <w:rPr>
          <w:rStyle w:val="Emphasis"/>
          <w:i w:val="0"/>
          <w:iCs w:val="0"/>
          <w:color w:val="0E101A"/>
          <w:sz w:val="24"/>
          <w:szCs w:val="24"/>
        </w:rPr>
        <w:t>to help account for year-on-year emissions intensity variations</w:t>
      </w:r>
      <w:r w:rsidR="0044740A">
        <w:rPr>
          <w:rStyle w:val="Emphasis"/>
          <w:i w:val="0"/>
          <w:iCs w:val="0"/>
          <w:color w:val="0E101A"/>
          <w:sz w:val="24"/>
          <w:szCs w:val="24"/>
        </w:rPr>
        <w:t xml:space="preserve"> and ensure the data is representative</w:t>
      </w:r>
      <w:r w:rsidR="00BA5133" w:rsidRPr="00490529">
        <w:rPr>
          <w:rStyle w:val="Emphasis"/>
          <w:i w:val="0"/>
          <w:iCs w:val="0"/>
          <w:color w:val="0E101A"/>
          <w:sz w:val="24"/>
          <w:szCs w:val="24"/>
        </w:rPr>
        <w:t xml:space="preserve">. </w:t>
      </w:r>
      <w:r w:rsidR="00747262">
        <w:rPr>
          <w:rStyle w:val="Emphasis"/>
          <w:i w:val="0"/>
          <w:iCs w:val="0"/>
          <w:color w:val="0E101A"/>
          <w:sz w:val="24"/>
          <w:szCs w:val="24"/>
        </w:rPr>
        <w:t>Recent years will be used. For example, for benchmark values calculated in 20</w:t>
      </w:r>
      <w:r w:rsidR="00B67EAA">
        <w:rPr>
          <w:rStyle w:val="Emphasis"/>
          <w:i w:val="0"/>
          <w:iCs w:val="0"/>
          <w:color w:val="0E101A"/>
          <w:sz w:val="24"/>
          <w:szCs w:val="24"/>
        </w:rPr>
        <w:t>23/24, data will be sought for the years 2017/18 to 2021/22</w:t>
      </w:r>
      <w:r w:rsidR="00384A53">
        <w:rPr>
          <w:rStyle w:val="Emphasis"/>
          <w:i w:val="0"/>
          <w:iCs w:val="0"/>
          <w:color w:val="0E101A"/>
          <w:sz w:val="24"/>
          <w:szCs w:val="24"/>
        </w:rPr>
        <w:t xml:space="preserve"> (2022/23 data could be used if available)</w:t>
      </w:r>
      <w:r w:rsidR="00B67EAA">
        <w:rPr>
          <w:rStyle w:val="Emphasis"/>
          <w:i w:val="0"/>
          <w:iCs w:val="0"/>
          <w:color w:val="0E101A"/>
          <w:sz w:val="24"/>
          <w:szCs w:val="24"/>
        </w:rPr>
        <w:t xml:space="preserve">. </w:t>
      </w:r>
      <w:r w:rsidR="004B7EB4" w:rsidRPr="00490529">
        <w:rPr>
          <w:rStyle w:val="Emphasis"/>
          <w:i w:val="0"/>
          <w:iCs w:val="0"/>
          <w:color w:val="0E101A"/>
          <w:sz w:val="24"/>
          <w:szCs w:val="24"/>
        </w:rPr>
        <w:t>It doesn’t matter if the data is for calendar or financial years, or some other time basis.</w:t>
      </w:r>
      <w:r w:rsidR="004B7EB4">
        <w:rPr>
          <w:rStyle w:val="Emphasis"/>
          <w:i w:val="0"/>
          <w:iCs w:val="0"/>
          <w:color w:val="0E101A"/>
          <w:sz w:val="24"/>
          <w:szCs w:val="24"/>
        </w:rPr>
        <w:t xml:space="preserve"> </w:t>
      </w:r>
    </w:p>
    <w:p w14:paraId="42579E4E" w14:textId="7C999CD1" w:rsidR="0000187D" w:rsidRPr="00AE692D" w:rsidRDefault="00BB79CB" w:rsidP="0000187D">
      <w:pPr>
        <w:rPr>
          <w:rStyle w:val="Emphasis"/>
          <w:i w:val="0"/>
          <w:iCs w:val="0"/>
        </w:rPr>
      </w:pPr>
      <w:r>
        <w:rPr>
          <w:rStyle w:val="Emphasis"/>
          <w:i w:val="0"/>
          <w:iCs w:val="0"/>
          <w:color w:val="0E101A"/>
          <w:sz w:val="24"/>
          <w:szCs w:val="24"/>
        </w:rPr>
        <w:lastRenderedPageBreak/>
        <w:t>The three middle values will be used to calculate the emissions-intensity benchmark value</w:t>
      </w:r>
      <w:r w:rsidR="00C86841">
        <w:rPr>
          <w:rStyle w:val="Emphasis"/>
          <w:i w:val="0"/>
          <w:iCs w:val="0"/>
          <w:color w:val="0E101A"/>
          <w:sz w:val="24"/>
          <w:szCs w:val="24"/>
        </w:rPr>
        <w:t>, excluding the highest and lowest emissions-intensity years</w:t>
      </w:r>
      <w:r>
        <w:rPr>
          <w:rStyle w:val="Emphasis"/>
          <w:i w:val="0"/>
          <w:iCs w:val="0"/>
          <w:color w:val="0E101A"/>
          <w:sz w:val="24"/>
          <w:szCs w:val="24"/>
        </w:rPr>
        <w:t>.</w:t>
      </w:r>
      <w:r w:rsidR="00BA5133" w:rsidRPr="00490529">
        <w:rPr>
          <w:rStyle w:val="Emphasis"/>
          <w:i w:val="0"/>
          <w:iCs w:val="0"/>
          <w:color w:val="0E101A"/>
          <w:sz w:val="24"/>
          <w:szCs w:val="24"/>
        </w:rPr>
        <w:t xml:space="preserve"> </w:t>
      </w:r>
      <w:r w:rsidR="0000187D" w:rsidRPr="00AE692D">
        <w:rPr>
          <w:rStyle w:val="Emphasis"/>
          <w:i w:val="0"/>
          <w:iCs w:val="0"/>
          <w:color w:val="0E101A"/>
          <w:sz w:val="24"/>
          <w:szCs w:val="24"/>
        </w:rPr>
        <w:t>The following method will be used:</w:t>
      </w:r>
    </w:p>
    <w:p w14:paraId="3660DB1F" w14:textId="48879247" w:rsidR="0000187D" w:rsidRPr="00303549" w:rsidRDefault="0000187D" w:rsidP="0000187D">
      <w:pPr>
        <w:pStyle w:val="ListParagraph"/>
        <w:numPr>
          <w:ilvl w:val="0"/>
          <w:numId w:val="37"/>
        </w:numPr>
        <w:spacing w:before="0" w:after="160" w:line="259" w:lineRule="auto"/>
        <w:ind w:left="425" w:hanging="425"/>
        <w:rPr>
          <w:rStyle w:val="Emphasis"/>
          <w:rFonts w:asciiTheme="minorHAnsi" w:hAnsiTheme="minorHAnsi" w:cstheme="minorBidi"/>
          <w:i w:val="0"/>
          <w:iCs w:val="0"/>
          <w:color w:val="0E101A"/>
          <w:sz w:val="24"/>
          <w:szCs w:val="24"/>
        </w:rPr>
      </w:pPr>
      <w:r w:rsidRPr="00303549">
        <w:rPr>
          <w:rStyle w:val="Emphasis"/>
          <w:rFonts w:asciiTheme="minorHAnsi" w:hAnsiTheme="minorHAnsi" w:cstheme="minorBidi"/>
          <w:i w:val="0"/>
          <w:iCs w:val="0"/>
          <w:color w:val="0E101A"/>
          <w:sz w:val="24"/>
          <w:szCs w:val="24"/>
        </w:rPr>
        <w:t xml:space="preserve">determine the emissions intensities for each of the </w:t>
      </w:r>
      <w:r w:rsidR="004A4FC3" w:rsidRPr="00303549">
        <w:rPr>
          <w:rStyle w:val="Emphasis"/>
          <w:rFonts w:asciiTheme="minorHAnsi" w:hAnsiTheme="minorHAnsi" w:cstheme="minorBidi"/>
          <w:i w:val="0"/>
          <w:iCs w:val="0"/>
          <w:color w:val="0E101A"/>
          <w:sz w:val="24"/>
          <w:szCs w:val="24"/>
        </w:rPr>
        <w:t xml:space="preserve">5 </w:t>
      </w:r>
      <w:proofErr w:type="gramStart"/>
      <w:r w:rsidRPr="00303549">
        <w:rPr>
          <w:rStyle w:val="Emphasis"/>
          <w:rFonts w:asciiTheme="minorHAnsi" w:hAnsiTheme="minorHAnsi" w:cstheme="minorBidi"/>
          <w:i w:val="0"/>
          <w:iCs w:val="0"/>
          <w:color w:val="0E101A"/>
          <w:sz w:val="24"/>
          <w:szCs w:val="24"/>
        </w:rPr>
        <w:t>years</w:t>
      </w:r>
      <w:r w:rsidR="00A81029">
        <w:rPr>
          <w:rStyle w:val="Emphasis"/>
          <w:rFonts w:asciiTheme="minorHAnsi" w:hAnsiTheme="minorHAnsi" w:cstheme="minorBidi"/>
          <w:i w:val="0"/>
          <w:iCs w:val="0"/>
          <w:color w:val="0E101A"/>
          <w:sz w:val="24"/>
          <w:szCs w:val="24"/>
        </w:rPr>
        <w:t>;</w:t>
      </w:r>
      <w:proofErr w:type="gramEnd"/>
    </w:p>
    <w:p w14:paraId="3CC3045C" w14:textId="4062F7A7" w:rsidR="0000187D" w:rsidRPr="00303549" w:rsidRDefault="0000187D" w:rsidP="0000187D">
      <w:pPr>
        <w:pStyle w:val="ListParagraph"/>
        <w:numPr>
          <w:ilvl w:val="0"/>
          <w:numId w:val="37"/>
        </w:numPr>
        <w:spacing w:before="0" w:after="160" w:line="259" w:lineRule="auto"/>
        <w:ind w:left="425" w:hanging="425"/>
        <w:rPr>
          <w:rStyle w:val="Emphasis"/>
          <w:rFonts w:asciiTheme="minorHAnsi" w:hAnsiTheme="minorHAnsi" w:cstheme="minorBidi"/>
          <w:i w:val="0"/>
          <w:iCs w:val="0"/>
          <w:color w:val="0E101A"/>
          <w:sz w:val="24"/>
          <w:szCs w:val="24"/>
        </w:rPr>
      </w:pPr>
      <w:r w:rsidRPr="00303549">
        <w:rPr>
          <w:rStyle w:val="Emphasis"/>
          <w:rFonts w:asciiTheme="minorHAnsi" w:hAnsiTheme="minorHAnsi" w:cstheme="minorBidi"/>
          <w:i w:val="0"/>
          <w:iCs w:val="0"/>
          <w:color w:val="0E101A"/>
          <w:sz w:val="24"/>
          <w:szCs w:val="24"/>
        </w:rPr>
        <w:t xml:space="preserve">exclude the highest and lowest emissions intensity years to address any significant anomalies, including potential impacts from the </w:t>
      </w:r>
      <w:proofErr w:type="gramStart"/>
      <w:r w:rsidRPr="00303549">
        <w:rPr>
          <w:rStyle w:val="Emphasis"/>
          <w:rFonts w:asciiTheme="minorHAnsi" w:hAnsiTheme="minorHAnsi" w:cstheme="minorBidi"/>
          <w:i w:val="0"/>
          <w:iCs w:val="0"/>
          <w:color w:val="0E101A"/>
          <w:sz w:val="24"/>
          <w:szCs w:val="24"/>
        </w:rPr>
        <w:t>pandemic</w:t>
      </w:r>
      <w:r w:rsidR="00A81029">
        <w:rPr>
          <w:rStyle w:val="Emphasis"/>
          <w:rFonts w:asciiTheme="minorHAnsi" w:hAnsiTheme="minorHAnsi" w:cstheme="minorBidi"/>
          <w:i w:val="0"/>
          <w:iCs w:val="0"/>
          <w:color w:val="0E101A"/>
          <w:sz w:val="24"/>
          <w:szCs w:val="24"/>
        </w:rPr>
        <w:t>;</w:t>
      </w:r>
      <w:proofErr w:type="gramEnd"/>
    </w:p>
    <w:p w14:paraId="13AE17C0" w14:textId="54797AC8" w:rsidR="0000187D" w:rsidRPr="002E745F" w:rsidRDefault="0016119E" w:rsidP="0016119E">
      <w:pPr>
        <w:pStyle w:val="ListParagraph"/>
        <w:numPr>
          <w:ilvl w:val="0"/>
          <w:numId w:val="37"/>
        </w:numPr>
        <w:spacing w:before="0" w:after="160" w:line="259" w:lineRule="auto"/>
        <w:ind w:left="425" w:hanging="425"/>
        <w:rPr>
          <w:rStyle w:val="Emphasis"/>
          <w:rFonts w:asciiTheme="minorHAnsi" w:hAnsiTheme="minorHAnsi" w:cstheme="minorBidi"/>
          <w:i w:val="0"/>
          <w:iCs w:val="0"/>
          <w:color w:val="0E101A"/>
          <w:sz w:val="24"/>
          <w:szCs w:val="24"/>
        </w:rPr>
      </w:pPr>
      <w:r>
        <w:rPr>
          <w:rStyle w:val="Emphasis"/>
          <w:rFonts w:asciiTheme="minorHAnsi" w:hAnsiTheme="minorHAnsi" w:cstheme="minorBidi"/>
          <w:i w:val="0"/>
          <w:iCs w:val="0"/>
          <w:color w:val="0E101A"/>
          <w:sz w:val="24"/>
          <w:szCs w:val="24"/>
        </w:rPr>
        <w:t>i</w:t>
      </w:r>
      <w:r w:rsidR="0000187D" w:rsidRPr="0016119E">
        <w:rPr>
          <w:rStyle w:val="Emphasis"/>
          <w:rFonts w:asciiTheme="minorHAnsi" w:hAnsiTheme="minorHAnsi" w:cstheme="minorBidi"/>
          <w:i w:val="0"/>
          <w:iCs w:val="0"/>
          <w:color w:val="0E101A"/>
          <w:sz w:val="24"/>
          <w:szCs w:val="24"/>
        </w:rPr>
        <w:t>f a facility has</w:t>
      </w:r>
      <w:r w:rsidR="002E745F" w:rsidRPr="0016119E">
        <w:rPr>
          <w:rStyle w:val="Emphasis"/>
          <w:rFonts w:asciiTheme="minorHAnsi" w:hAnsiTheme="minorHAnsi" w:cstheme="minorBidi"/>
          <w:i w:val="0"/>
          <w:iCs w:val="0"/>
          <w:color w:val="0E101A"/>
          <w:sz w:val="24"/>
          <w:szCs w:val="24"/>
        </w:rPr>
        <w:t xml:space="preserve"> </w:t>
      </w:r>
      <w:r w:rsidR="00DC44FC" w:rsidRPr="002E745F">
        <w:rPr>
          <w:rStyle w:val="Emphasis"/>
          <w:rFonts w:asciiTheme="minorHAnsi" w:hAnsiTheme="minorHAnsi" w:cstheme="minorBidi"/>
          <w:i w:val="0"/>
          <w:iCs w:val="0"/>
          <w:color w:val="0E101A"/>
          <w:sz w:val="24"/>
          <w:szCs w:val="24"/>
        </w:rPr>
        <w:t>four</w:t>
      </w:r>
      <w:r w:rsidR="0000187D" w:rsidRPr="002E745F">
        <w:rPr>
          <w:rStyle w:val="Emphasis"/>
          <w:rFonts w:asciiTheme="minorHAnsi" w:hAnsiTheme="minorHAnsi" w:cstheme="minorBidi"/>
          <w:i w:val="0"/>
          <w:iCs w:val="0"/>
          <w:color w:val="0E101A"/>
          <w:sz w:val="24"/>
          <w:szCs w:val="24"/>
        </w:rPr>
        <w:t xml:space="preserve"> years of data, the highest value will be </w:t>
      </w:r>
      <w:proofErr w:type="gramStart"/>
      <w:r w:rsidR="0000187D" w:rsidRPr="002E745F">
        <w:rPr>
          <w:rStyle w:val="Emphasis"/>
          <w:rFonts w:asciiTheme="minorHAnsi" w:hAnsiTheme="minorHAnsi" w:cstheme="minorBidi"/>
          <w:i w:val="0"/>
          <w:iCs w:val="0"/>
          <w:color w:val="0E101A"/>
          <w:sz w:val="24"/>
          <w:szCs w:val="24"/>
        </w:rPr>
        <w:t>excluded;</w:t>
      </w:r>
      <w:proofErr w:type="gramEnd"/>
    </w:p>
    <w:p w14:paraId="18D1E9F5" w14:textId="275F6A07" w:rsidR="0000187D" w:rsidRDefault="0016119E" w:rsidP="0016119E">
      <w:pPr>
        <w:pStyle w:val="ListParagraph"/>
        <w:numPr>
          <w:ilvl w:val="0"/>
          <w:numId w:val="37"/>
        </w:numPr>
        <w:spacing w:before="0" w:after="160" w:line="259" w:lineRule="auto"/>
        <w:ind w:left="425" w:hanging="425"/>
        <w:rPr>
          <w:rStyle w:val="Emphasis"/>
          <w:rFonts w:asciiTheme="minorHAnsi" w:hAnsiTheme="minorHAnsi" w:cstheme="minorBidi"/>
          <w:i w:val="0"/>
          <w:iCs w:val="0"/>
          <w:color w:val="0E101A"/>
          <w:sz w:val="24"/>
          <w:szCs w:val="24"/>
        </w:rPr>
      </w:pPr>
      <w:r>
        <w:rPr>
          <w:rStyle w:val="Emphasis"/>
          <w:rFonts w:asciiTheme="minorHAnsi" w:hAnsiTheme="minorHAnsi" w:cstheme="minorBidi"/>
          <w:i w:val="0"/>
          <w:iCs w:val="0"/>
          <w:color w:val="0E101A"/>
          <w:sz w:val="24"/>
          <w:szCs w:val="24"/>
        </w:rPr>
        <w:t>i</w:t>
      </w:r>
      <w:r w:rsidR="002E745F" w:rsidRPr="0016119E">
        <w:rPr>
          <w:rStyle w:val="Emphasis"/>
          <w:rFonts w:asciiTheme="minorHAnsi" w:hAnsiTheme="minorHAnsi" w:cstheme="minorBidi"/>
          <w:i w:val="0"/>
          <w:iCs w:val="0"/>
          <w:color w:val="0E101A"/>
          <w:sz w:val="24"/>
          <w:szCs w:val="24"/>
        </w:rPr>
        <w:t xml:space="preserve">f a facility has </w:t>
      </w:r>
      <w:r w:rsidR="00257FBD" w:rsidRPr="0016119E">
        <w:rPr>
          <w:rStyle w:val="Emphasis"/>
          <w:rFonts w:asciiTheme="minorHAnsi" w:hAnsiTheme="minorHAnsi" w:cstheme="minorBidi"/>
          <w:i w:val="0"/>
          <w:iCs w:val="0"/>
          <w:color w:val="0E101A"/>
          <w:sz w:val="24"/>
          <w:szCs w:val="24"/>
        </w:rPr>
        <w:t>three or less</w:t>
      </w:r>
      <w:r w:rsidR="0000187D" w:rsidRPr="0016119E">
        <w:rPr>
          <w:rStyle w:val="Emphasis"/>
          <w:rFonts w:asciiTheme="minorHAnsi" w:hAnsiTheme="minorHAnsi" w:cstheme="minorBidi"/>
          <w:i w:val="0"/>
          <w:iCs w:val="0"/>
          <w:color w:val="0E101A"/>
          <w:sz w:val="24"/>
          <w:szCs w:val="24"/>
        </w:rPr>
        <w:t xml:space="preserve"> year</w:t>
      </w:r>
      <w:r w:rsidR="00257FBD" w:rsidRPr="0016119E">
        <w:rPr>
          <w:rStyle w:val="Emphasis"/>
          <w:rFonts w:asciiTheme="minorHAnsi" w:hAnsiTheme="minorHAnsi" w:cstheme="minorBidi"/>
          <w:i w:val="0"/>
          <w:iCs w:val="0"/>
          <w:color w:val="0E101A"/>
          <w:sz w:val="24"/>
          <w:szCs w:val="24"/>
        </w:rPr>
        <w:t>s</w:t>
      </w:r>
      <w:r w:rsidR="0000187D" w:rsidRPr="0016119E">
        <w:rPr>
          <w:rStyle w:val="Emphasis"/>
          <w:rFonts w:asciiTheme="minorHAnsi" w:hAnsiTheme="minorHAnsi" w:cstheme="minorBidi"/>
          <w:i w:val="0"/>
          <w:iCs w:val="0"/>
          <w:color w:val="0E101A"/>
          <w:sz w:val="24"/>
          <w:szCs w:val="24"/>
        </w:rPr>
        <w:t xml:space="preserve"> of data, </w:t>
      </w:r>
      <w:r w:rsidR="00257FBD" w:rsidRPr="0016119E">
        <w:rPr>
          <w:rStyle w:val="Emphasis"/>
          <w:rFonts w:asciiTheme="minorHAnsi" w:hAnsiTheme="minorHAnsi" w:cstheme="minorBidi"/>
          <w:i w:val="0"/>
          <w:iCs w:val="0"/>
          <w:color w:val="0E101A"/>
          <w:sz w:val="24"/>
          <w:szCs w:val="24"/>
        </w:rPr>
        <w:t xml:space="preserve">those </w:t>
      </w:r>
      <w:r w:rsidR="0000187D" w:rsidRPr="0016119E">
        <w:rPr>
          <w:rStyle w:val="Emphasis"/>
          <w:rFonts w:asciiTheme="minorHAnsi" w:hAnsiTheme="minorHAnsi" w:cstheme="minorBidi"/>
          <w:i w:val="0"/>
          <w:iCs w:val="0"/>
          <w:color w:val="0E101A"/>
          <w:sz w:val="24"/>
          <w:szCs w:val="24"/>
        </w:rPr>
        <w:t>year</w:t>
      </w:r>
      <w:r w:rsidR="00257FBD" w:rsidRPr="0016119E">
        <w:rPr>
          <w:rStyle w:val="Emphasis"/>
          <w:rFonts w:asciiTheme="minorHAnsi" w:hAnsiTheme="minorHAnsi" w:cstheme="minorBidi"/>
          <w:i w:val="0"/>
          <w:iCs w:val="0"/>
          <w:color w:val="0E101A"/>
          <w:sz w:val="24"/>
          <w:szCs w:val="24"/>
        </w:rPr>
        <w:t>s</w:t>
      </w:r>
      <w:r w:rsidR="0000187D" w:rsidRPr="0016119E">
        <w:rPr>
          <w:rStyle w:val="Emphasis"/>
          <w:rFonts w:asciiTheme="minorHAnsi" w:hAnsiTheme="minorHAnsi" w:cstheme="minorBidi"/>
          <w:i w:val="0"/>
          <w:iCs w:val="0"/>
          <w:color w:val="0E101A"/>
          <w:sz w:val="24"/>
          <w:szCs w:val="24"/>
        </w:rPr>
        <w:t xml:space="preserve"> will be </w:t>
      </w:r>
      <w:proofErr w:type="gramStart"/>
      <w:r w:rsidR="0000187D" w:rsidRPr="0016119E">
        <w:rPr>
          <w:rStyle w:val="Emphasis"/>
          <w:rFonts w:asciiTheme="minorHAnsi" w:hAnsiTheme="minorHAnsi" w:cstheme="minorBidi"/>
          <w:i w:val="0"/>
          <w:iCs w:val="0"/>
          <w:color w:val="0E101A"/>
          <w:sz w:val="24"/>
          <w:szCs w:val="24"/>
        </w:rPr>
        <w:t>used</w:t>
      </w:r>
      <w:r w:rsidR="00233E35">
        <w:rPr>
          <w:rStyle w:val="Emphasis"/>
          <w:rFonts w:asciiTheme="minorHAnsi" w:hAnsiTheme="minorHAnsi" w:cstheme="minorBidi"/>
          <w:i w:val="0"/>
          <w:iCs w:val="0"/>
          <w:color w:val="0E101A"/>
          <w:sz w:val="24"/>
          <w:szCs w:val="24"/>
        </w:rPr>
        <w:t>;</w:t>
      </w:r>
      <w:proofErr w:type="gramEnd"/>
    </w:p>
    <w:p w14:paraId="5FA21094" w14:textId="37A9B67D" w:rsidR="00641231" w:rsidRPr="0016119E" w:rsidRDefault="00641231" w:rsidP="006F41AE">
      <w:pPr>
        <w:pStyle w:val="ListParagraph"/>
        <w:numPr>
          <w:ilvl w:val="0"/>
          <w:numId w:val="37"/>
        </w:numPr>
        <w:spacing w:before="0" w:after="240" w:line="259" w:lineRule="auto"/>
        <w:ind w:left="425" w:hanging="425"/>
        <w:rPr>
          <w:rStyle w:val="Emphasis"/>
          <w:rFonts w:asciiTheme="minorHAnsi" w:hAnsiTheme="minorHAnsi" w:cstheme="minorBidi"/>
          <w:i w:val="0"/>
          <w:iCs w:val="0"/>
          <w:color w:val="0E101A"/>
          <w:sz w:val="24"/>
          <w:szCs w:val="24"/>
        </w:rPr>
      </w:pPr>
      <w:r>
        <w:rPr>
          <w:rStyle w:val="Emphasis"/>
          <w:rFonts w:asciiTheme="minorHAnsi" w:hAnsiTheme="minorHAnsi" w:cstheme="minorBidi"/>
          <w:i w:val="0"/>
          <w:iCs w:val="0"/>
          <w:color w:val="0E101A"/>
          <w:sz w:val="24"/>
          <w:szCs w:val="24"/>
        </w:rPr>
        <w:t xml:space="preserve">if </w:t>
      </w:r>
      <w:r w:rsidR="002E715C">
        <w:rPr>
          <w:rStyle w:val="Emphasis"/>
          <w:rFonts w:asciiTheme="minorHAnsi" w:hAnsiTheme="minorHAnsi" w:cstheme="minorBidi"/>
          <w:i w:val="0"/>
          <w:iCs w:val="0"/>
          <w:color w:val="0E101A"/>
          <w:sz w:val="24"/>
          <w:szCs w:val="24"/>
        </w:rPr>
        <w:t>only one</w:t>
      </w:r>
      <w:r w:rsidR="00C0384A">
        <w:rPr>
          <w:rStyle w:val="Emphasis"/>
          <w:rFonts w:asciiTheme="minorHAnsi" w:hAnsiTheme="minorHAnsi" w:cstheme="minorBidi"/>
          <w:i w:val="0"/>
          <w:iCs w:val="0"/>
          <w:color w:val="0E101A"/>
          <w:sz w:val="24"/>
          <w:szCs w:val="24"/>
        </w:rPr>
        <w:t xml:space="preserve"> or two</w:t>
      </w:r>
      <w:r w:rsidR="002E715C">
        <w:rPr>
          <w:rStyle w:val="Emphasis"/>
          <w:rFonts w:asciiTheme="minorHAnsi" w:hAnsiTheme="minorHAnsi" w:cstheme="minorBidi"/>
          <w:i w:val="0"/>
          <w:iCs w:val="0"/>
          <w:color w:val="0E101A"/>
          <w:sz w:val="24"/>
          <w:szCs w:val="24"/>
        </w:rPr>
        <w:t xml:space="preserve"> year</w:t>
      </w:r>
      <w:r w:rsidR="00C0384A">
        <w:rPr>
          <w:rStyle w:val="Emphasis"/>
          <w:rFonts w:asciiTheme="minorHAnsi" w:hAnsiTheme="minorHAnsi" w:cstheme="minorBidi"/>
          <w:i w:val="0"/>
          <w:iCs w:val="0"/>
          <w:color w:val="0E101A"/>
          <w:sz w:val="24"/>
          <w:szCs w:val="24"/>
        </w:rPr>
        <w:t>s</w:t>
      </w:r>
      <w:r w:rsidR="002E715C">
        <w:rPr>
          <w:rStyle w:val="Emphasis"/>
          <w:rFonts w:asciiTheme="minorHAnsi" w:hAnsiTheme="minorHAnsi" w:cstheme="minorBidi"/>
          <w:i w:val="0"/>
          <w:iCs w:val="0"/>
          <w:color w:val="0E101A"/>
          <w:sz w:val="24"/>
          <w:szCs w:val="24"/>
        </w:rPr>
        <w:t xml:space="preserve"> of data </w:t>
      </w:r>
      <w:r w:rsidR="00C0384A">
        <w:rPr>
          <w:rStyle w:val="Emphasis"/>
          <w:rFonts w:asciiTheme="minorHAnsi" w:hAnsiTheme="minorHAnsi" w:cstheme="minorBidi"/>
          <w:i w:val="0"/>
          <w:iCs w:val="0"/>
          <w:color w:val="0E101A"/>
          <w:sz w:val="24"/>
          <w:szCs w:val="24"/>
        </w:rPr>
        <w:t>are</w:t>
      </w:r>
      <w:r w:rsidR="002E715C">
        <w:rPr>
          <w:rStyle w:val="Emphasis"/>
          <w:rFonts w:asciiTheme="minorHAnsi" w:hAnsiTheme="minorHAnsi" w:cstheme="minorBidi"/>
          <w:i w:val="0"/>
          <w:iCs w:val="0"/>
          <w:color w:val="0E101A"/>
          <w:sz w:val="24"/>
          <w:szCs w:val="24"/>
        </w:rPr>
        <w:t xml:space="preserve"> available, consideration should be given to whether the facility is in </w:t>
      </w:r>
      <w:r w:rsidR="0015673D">
        <w:rPr>
          <w:rStyle w:val="Emphasis"/>
          <w:rFonts w:asciiTheme="minorHAnsi" w:hAnsiTheme="minorHAnsi" w:cstheme="minorBidi"/>
          <w:i w:val="0"/>
          <w:iCs w:val="0"/>
          <w:color w:val="0E101A"/>
          <w:sz w:val="24"/>
          <w:szCs w:val="24"/>
        </w:rPr>
        <w:t>ramp-up</w:t>
      </w:r>
      <w:r w:rsidR="00880C45">
        <w:rPr>
          <w:rStyle w:val="Emphasis"/>
          <w:rFonts w:asciiTheme="minorHAnsi" w:hAnsiTheme="minorHAnsi" w:cstheme="minorBidi"/>
          <w:i w:val="0"/>
          <w:iCs w:val="0"/>
          <w:color w:val="0E101A"/>
          <w:sz w:val="24"/>
          <w:szCs w:val="24"/>
        </w:rPr>
        <w:t xml:space="preserve"> to steady state operations and should be excluded.</w:t>
      </w:r>
    </w:p>
    <w:p w14:paraId="1EF48392" w14:textId="77777777" w:rsidR="00BA5133" w:rsidRPr="00DF2F30" w:rsidRDefault="00BA5133" w:rsidP="0016119E">
      <w:pPr>
        <w:pStyle w:val="Heading3"/>
        <w:rPr>
          <w:color w:val="1F497D" w:themeColor="text2"/>
        </w:rPr>
      </w:pPr>
      <w:bookmarkStart w:id="11" w:name="_Toc146872817"/>
      <w:r w:rsidRPr="00DF2F30">
        <w:rPr>
          <w:color w:val="1F497D" w:themeColor="text2"/>
        </w:rPr>
        <w:t>Number of facilities to use in the benchmark calculation.</w:t>
      </w:r>
      <w:bookmarkEnd w:id="11"/>
    </w:p>
    <w:p w14:paraId="25683A6E" w14:textId="2699EA60" w:rsidR="00BA5133" w:rsidRPr="005D0619" w:rsidRDefault="0014041F" w:rsidP="0016119E">
      <w:pPr>
        <w:rPr>
          <w:i/>
          <w:iCs/>
          <w:sz w:val="24"/>
          <w:szCs w:val="24"/>
        </w:rPr>
      </w:pPr>
      <w:r w:rsidRPr="005D0619">
        <w:rPr>
          <w:i/>
          <w:iCs/>
          <w:sz w:val="24"/>
          <w:szCs w:val="24"/>
        </w:rPr>
        <w:t>Five</w:t>
      </w:r>
      <w:r w:rsidR="00BA5133" w:rsidRPr="005D0619">
        <w:rPr>
          <w:i/>
          <w:iCs/>
          <w:sz w:val="24"/>
          <w:szCs w:val="24"/>
        </w:rPr>
        <w:t xml:space="preserve"> facilities</w:t>
      </w:r>
      <w:r w:rsidRPr="005D0619">
        <w:rPr>
          <w:i/>
          <w:iCs/>
          <w:sz w:val="24"/>
          <w:szCs w:val="24"/>
        </w:rPr>
        <w:t xml:space="preserve"> </w:t>
      </w:r>
      <w:r w:rsidR="007275E1">
        <w:rPr>
          <w:i/>
          <w:iCs/>
          <w:sz w:val="24"/>
          <w:szCs w:val="24"/>
        </w:rPr>
        <w:t>should</w:t>
      </w:r>
      <w:r w:rsidRPr="005D0619">
        <w:rPr>
          <w:i/>
          <w:iCs/>
          <w:sz w:val="24"/>
          <w:szCs w:val="24"/>
        </w:rPr>
        <w:t xml:space="preserve"> be used</w:t>
      </w:r>
      <w:r w:rsidR="00BA5133" w:rsidRPr="005D0619">
        <w:rPr>
          <w:i/>
          <w:iCs/>
          <w:sz w:val="24"/>
          <w:szCs w:val="24"/>
        </w:rPr>
        <w:t>,</w:t>
      </w:r>
      <w:r w:rsidRPr="005D0619">
        <w:rPr>
          <w:i/>
          <w:iCs/>
          <w:sz w:val="24"/>
          <w:szCs w:val="24"/>
        </w:rPr>
        <w:t xml:space="preserve"> </w:t>
      </w:r>
      <w:r w:rsidR="005D0619">
        <w:rPr>
          <w:i/>
          <w:iCs/>
          <w:sz w:val="24"/>
          <w:szCs w:val="24"/>
        </w:rPr>
        <w:t>so long as</w:t>
      </w:r>
      <w:r w:rsidRPr="005D0619">
        <w:rPr>
          <w:rStyle w:val="Emphasis"/>
          <w:color w:val="0E101A"/>
          <w:sz w:val="24"/>
        </w:rPr>
        <w:t xml:space="preserve"> their combined annual production is between 10 and 25% of the combined annual production of all relevant Safeguard facilities</w:t>
      </w:r>
      <w:r w:rsidRPr="005D0619">
        <w:rPr>
          <w:rStyle w:val="Emphasis"/>
          <w:i w:val="0"/>
          <w:iCs w:val="0"/>
          <w:color w:val="0E101A"/>
          <w:sz w:val="24"/>
        </w:rPr>
        <w:t>.</w:t>
      </w:r>
    </w:p>
    <w:p w14:paraId="2A9655E5" w14:textId="160A2605" w:rsidR="00BA5133" w:rsidRPr="00490529" w:rsidRDefault="00BA5133" w:rsidP="00BA5133">
      <w:pPr>
        <w:rPr>
          <w:rStyle w:val="Emphasis"/>
          <w:i w:val="0"/>
          <w:iCs w:val="0"/>
          <w:color w:val="0E101A"/>
          <w:sz w:val="24"/>
          <w:szCs w:val="24"/>
        </w:rPr>
      </w:pPr>
      <w:r w:rsidRPr="00490529">
        <w:rPr>
          <w:rStyle w:val="Emphasis"/>
          <w:i w:val="0"/>
          <w:iCs w:val="0"/>
          <w:color w:val="0E101A"/>
          <w:sz w:val="24"/>
          <w:szCs w:val="24"/>
        </w:rPr>
        <w:t xml:space="preserve">The best practice benchmark is calculated from </w:t>
      </w:r>
      <w:r w:rsidR="007275E1">
        <w:rPr>
          <w:rStyle w:val="Emphasis"/>
          <w:i w:val="0"/>
          <w:iCs w:val="0"/>
          <w:color w:val="0E101A"/>
          <w:sz w:val="24"/>
          <w:szCs w:val="24"/>
        </w:rPr>
        <w:t>five</w:t>
      </w:r>
      <w:r w:rsidRPr="00490529">
        <w:rPr>
          <w:rStyle w:val="Emphasis"/>
          <w:i w:val="0"/>
          <w:iCs w:val="0"/>
          <w:color w:val="0E101A"/>
          <w:sz w:val="24"/>
          <w:szCs w:val="24"/>
        </w:rPr>
        <w:t xml:space="preserve"> facilities</w:t>
      </w:r>
      <w:r w:rsidR="00D842AC">
        <w:rPr>
          <w:rStyle w:val="Emphasis"/>
          <w:i w:val="0"/>
          <w:iCs w:val="0"/>
          <w:color w:val="0E101A"/>
          <w:sz w:val="24"/>
          <w:szCs w:val="24"/>
        </w:rPr>
        <w:t>, where suitable data is available</w:t>
      </w:r>
      <w:r w:rsidRPr="00490529">
        <w:rPr>
          <w:sz w:val="24"/>
          <w:szCs w:val="24"/>
        </w:rPr>
        <w:t>.</w:t>
      </w:r>
      <w:r w:rsidR="00683089" w:rsidRPr="00490529">
        <w:rPr>
          <w:sz w:val="24"/>
          <w:szCs w:val="24"/>
        </w:rPr>
        <w:t xml:space="preserve"> </w:t>
      </w:r>
    </w:p>
    <w:p w14:paraId="6469F40D" w14:textId="3E213EF7" w:rsidR="00BA5133" w:rsidRDefault="00BA5133" w:rsidP="00BA5133">
      <w:pPr>
        <w:rPr>
          <w:rStyle w:val="Emphasis"/>
          <w:i w:val="0"/>
          <w:iCs w:val="0"/>
          <w:color w:val="0E101A"/>
          <w:sz w:val="24"/>
          <w:szCs w:val="24"/>
        </w:rPr>
      </w:pPr>
      <w:r w:rsidRPr="00490529">
        <w:rPr>
          <w:rStyle w:val="Emphasis"/>
          <w:i w:val="0"/>
          <w:iCs w:val="0"/>
          <w:color w:val="0E101A"/>
          <w:sz w:val="24"/>
          <w:szCs w:val="24"/>
        </w:rPr>
        <w:t>If the combined annual production of the selected facilities is less than 10</w:t>
      </w:r>
      <w:r w:rsidR="00602F5F">
        <w:rPr>
          <w:rStyle w:val="Emphasis"/>
          <w:i w:val="0"/>
          <w:iCs w:val="0"/>
          <w:color w:val="0E101A"/>
          <w:sz w:val="24"/>
          <w:szCs w:val="24"/>
        </w:rPr>
        <w:t>%</w:t>
      </w:r>
      <w:r w:rsidRPr="00490529">
        <w:rPr>
          <w:rStyle w:val="Emphasis"/>
          <w:i w:val="0"/>
          <w:iCs w:val="0"/>
          <w:color w:val="0E101A"/>
          <w:sz w:val="24"/>
          <w:szCs w:val="24"/>
        </w:rPr>
        <w:t xml:space="preserve"> of the </w:t>
      </w:r>
      <w:r w:rsidR="00314607" w:rsidRPr="00490529">
        <w:rPr>
          <w:rStyle w:val="Emphasis"/>
          <w:i w:val="0"/>
          <w:iCs w:val="0"/>
          <w:color w:val="0E101A"/>
          <w:sz w:val="24"/>
          <w:szCs w:val="24"/>
        </w:rPr>
        <w:t>combined</w:t>
      </w:r>
      <w:r w:rsidR="008166AD" w:rsidRPr="00490529">
        <w:rPr>
          <w:rStyle w:val="Emphasis"/>
          <w:i w:val="0"/>
          <w:iCs w:val="0"/>
          <w:color w:val="0E101A"/>
          <w:sz w:val="24"/>
          <w:szCs w:val="24"/>
        </w:rPr>
        <w:t xml:space="preserve"> </w:t>
      </w:r>
      <w:r w:rsidRPr="00490529">
        <w:rPr>
          <w:rStyle w:val="Emphasis"/>
          <w:i w:val="0"/>
          <w:iCs w:val="0"/>
          <w:color w:val="0E101A"/>
          <w:sz w:val="24"/>
          <w:szCs w:val="24"/>
        </w:rPr>
        <w:t>annual production of Safeguard facilities, then additional facilities should be selected until this threshold is reached.</w:t>
      </w:r>
    </w:p>
    <w:p w14:paraId="1DBC13C7" w14:textId="0992DB53" w:rsidR="00B1633C" w:rsidRDefault="00602F5F" w:rsidP="00BA5133">
      <w:pPr>
        <w:rPr>
          <w:rStyle w:val="Emphasis"/>
          <w:i w:val="0"/>
          <w:iCs w:val="0"/>
          <w:color w:val="0E101A"/>
          <w:sz w:val="24"/>
          <w:szCs w:val="24"/>
        </w:rPr>
      </w:pPr>
      <w:r>
        <w:rPr>
          <w:rStyle w:val="Emphasis"/>
          <w:i w:val="0"/>
          <w:iCs w:val="0"/>
          <w:color w:val="0E101A"/>
          <w:sz w:val="24"/>
          <w:szCs w:val="24"/>
        </w:rPr>
        <w:t>If the combined annual production of the selected facilities is more than 25% of the combined annual production of Safeguard facilities, then fewer facilities should be selected until combined production falls below this threshold</w:t>
      </w:r>
      <w:r w:rsidR="003220BE">
        <w:rPr>
          <w:rStyle w:val="Emphasis"/>
          <w:i w:val="0"/>
          <w:iCs w:val="0"/>
          <w:color w:val="0E101A"/>
          <w:sz w:val="24"/>
          <w:szCs w:val="24"/>
        </w:rPr>
        <w:t xml:space="preserve"> (with the highest emissions intensity facilities removed first).</w:t>
      </w:r>
    </w:p>
    <w:p w14:paraId="042AB404" w14:textId="53EF5944" w:rsidR="003220BE" w:rsidRDefault="004A1CEA" w:rsidP="00BA5133">
      <w:pPr>
        <w:rPr>
          <w:rStyle w:val="Emphasis"/>
          <w:i w:val="0"/>
          <w:iCs w:val="0"/>
          <w:color w:val="0E101A"/>
          <w:sz w:val="24"/>
          <w:szCs w:val="24"/>
        </w:rPr>
      </w:pPr>
      <w:r>
        <w:rPr>
          <w:rStyle w:val="Emphasis"/>
          <w:i w:val="0"/>
          <w:iCs w:val="0"/>
          <w:color w:val="0E101A"/>
          <w:sz w:val="24"/>
          <w:szCs w:val="24"/>
        </w:rPr>
        <w:t xml:space="preserve">If the production volume of a single facility is more than 25% of the </w:t>
      </w:r>
      <w:r w:rsidR="00DA2F47">
        <w:rPr>
          <w:rStyle w:val="Emphasis"/>
          <w:i w:val="0"/>
          <w:iCs w:val="0"/>
          <w:color w:val="0E101A"/>
          <w:sz w:val="24"/>
          <w:szCs w:val="24"/>
        </w:rPr>
        <w:t xml:space="preserve">combined </w:t>
      </w:r>
      <w:r>
        <w:rPr>
          <w:rStyle w:val="Emphasis"/>
          <w:i w:val="0"/>
          <w:iCs w:val="0"/>
          <w:color w:val="0E101A"/>
          <w:sz w:val="24"/>
          <w:szCs w:val="24"/>
        </w:rPr>
        <w:t xml:space="preserve">production volume of </w:t>
      </w:r>
      <w:r w:rsidR="00DA2F47">
        <w:rPr>
          <w:rStyle w:val="Emphasis"/>
          <w:i w:val="0"/>
          <w:iCs w:val="0"/>
          <w:color w:val="0E101A"/>
          <w:sz w:val="24"/>
          <w:szCs w:val="24"/>
        </w:rPr>
        <w:t>Safeguard facilities, consideration should be given to including a second facility</w:t>
      </w:r>
      <w:r w:rsidR="001E76AF">
        <w:rPr>
          <w:rStyle w:val="Emphasis"/>
          <w:i w:val="0"/>
          <w:iCs w:val="0"/>
          <w:color w:val="0E101A"/>
          <w:sz w:val="24"/>
          <w:szCs w:val="24"/>
        </w:rPr>
        <w:t xml:space="preserve"> to ensure the value is representative</w:t>
      </w:r>
      <w:r w:rsidR="00641231">
        <w:rPr>
          <w:rStyle w:val="Emphasis"/>
          <w:i w:val="0"/>
          <w:iCs w:val="0"/>
          <w:color w:val="0E101A"/>
          <w:sz w:val="24"/>
          <w:szCs w:val="24"/>
        </w:rPr>
        <w:t xml:space="preserve">. </w:t>
      </w:r>
    </w:p>
    <w:p w14:paraId="4FC489F6" w14:textId="2A063E84" w:rsidR="00BA5133" w:rsidRPr="00490529" w:rsidRDefault="00BA5133" w:rsidP="00BA5133">
      <w:pPr>
        <w:rPr>
          <w:i/>
          <w:iCs/>
          <w:sz w:val="24"/>
          <w:szCs w:val="24"/>
        </w:rPr>
      </w:pPr>
      <w:r w:rsidRPr="00490529">
        <w:rPr>
          <w:rStyle w:val="Emphasis"/>
          <w:i w:val="0"/>
          <w:iCs w:val="0"/>
          <w:color w:val="0E101A"/>
          <w:sz w:val="24"/>
          <w:szCs w:val="24"/>
        </w:rPr>
        <w:t>This approach</w:t>
      </w:r>
      <w:r w:rsidR="00374929">
        <w:rPr>
          <w:rStyle w:val="Emphasis"/>
          <w:i w:val="0"/>
          <w:iCs w:val="0"/>
          <w:color w:val="0E101A"/>
          <w:sz w:val="24"/>
          <w:szCs w:val="24"/>
        </w:rPr>
        <w:t xml:space="preserve"> </w:t>
      </w:r>
      <w:r w:rsidRPr="00490529">
        <w:rPr>
          <w:rStyle w:val="Emphasis"/>
          <w:i w:val="0"/>
          <w:iCs w:val="0"/>
          <w:color w:val="0E101A"/>
          <w:sz w:val="24"/>
          <w:szCs w:val="24"/>
        </w:rPr>
        <w:t xml:space="preserve">helps </w:t>
      </w:r>
      <w:r w:rsidR="00374929">
        <w:rPr>
          <w:rStyle w:val="Emphasis"/>
          <w:i w:val="0"/>
          <w:iCs w:val="0"/>
          <w:color w:val="0E101A"/>
          <w:sz w:val="24"/>
          <w:szCs w:val="24"/>
        </w:rPr>
        <w:t xml:space="preserve">to </w:t>
      </w:r>
      <w:r w:rsidRPr="00490529">
        <w:rPr>
          <w:rStyle w:val="Emphasis"/>
          <w:i w:val="0"/>
          <w:iCs w:val="0"/>
          <w:color w:val="0E101A"/>
          <w:sz w:val="24"/>
          <w:szCs w:val="24"/>
        </w:rPr>
        <w:t xml:space="preserve">ensure that the calculation is based on a </w:t>
      </w:r>
      <w:r w:rsidRPr="00490529">
        <w:rPr>
          <w:sz w:val="24"/>
          <w:szCs w:val="24"/>
        </w:rPr>
        <w:t>sufficient scale of production that is representative of sectoral best practice.</w:t>
      </w:r>
    </w:p>
    <w:p w14:paraId="41ED8A25" w14:textId="6ECEC300" w:rsidR="00BA5133" w:rsidRPr="00DF2F30" w:rsidRDefault="00BA5133" w:rsidP="00833996">
      <w:pPr>
        <w:pStyle w:val="Heading3"/>
        <w:rPr>
          <w:rStyle w:val="Emphasis"/>
          <w:i w:val="0"/>
          <w:iCs w:val="0"/>
          <w:color w:val="1F497D" w:themeColor="text2"/>
          <w:sz w:val="24"/>
          <w:szCs w:val="24"/>
        </w:rPr>
      </w:pPr>
      <w:bookmarkStart w:id="12" w:name="_Toc146872818"/>
      <w:r w:rsidRPr="00DF2F30">
        <w:rPr>
          <w:rStyle w:val="Emphasis"/>
          <w:i w:val="0"/>
          <w:iCs w:val="0"/>
          <w:color w:val="1F497D" w:themeColor="text2"/>
          <w:sz w:val="24"/>
          <w:szCs w:val="24"/>
        </w:rPr>
        <w:t>Adjusting for Australian conditions</w:t>
      </w:r>
      <w:bookmarkEnd w:id="12"/>
    </w:p>
    <w:p w14:paraId="50D976DF" w14:textId="42E737F9" w:rsidR="00BA5133" w:rsidRPr="00490529" w:rsidRDefault="00BA5133" w:rsidP="009E679E">
      <w:pPr>
        <w:rPr>
          <w:i/>
          <w:iCs/>
          <w:sz w:val="24"/>
          <w:szCs w:val="24"/>
        </w:rPr>
      </w:pPr>
      <w:r w:rsidRPr="00490529">
        <w:rPr>
          <w:i/>
          <w:iCs/>
          <w:sz w:val="24"/>
          <w:szCs w:val="24"/>
        </w:rPr>
        <w:t>Adjust for geology and climate, but not the availability of skills</w:t>
      </w:r>
      <w:r w:rsidR="0072347A" w:rsidRPr="00490529">
        <w:rPr>
          <w:i/>
          <w:iCs/>
          <w:sz w:val="24"/>
          <w:szCs w:val="24"/>
        </w:rPr>
        <w:t xml:space="preserve"> or</w:t>
      </w:r>
      <w:r w:rsidRPr="00490529">
        <w:rPr>
          <w:i/>
          <w:iCs/>
          <w:sz w:val="24"/>
          <w:szCs w:val="24"/>
        </w:rPr>
        <w:t xml:space="preserve"> technology. Review if the facility is still best practice after adjustment.</w:t>
      </w:r>
    </w:p>
    <w:p w14:paraId="41B22327" w14:textId="3B5B2167" w:rsidR="00BA5133" w:rsidRPr="00490529" w:rsidRDefault="00BA5133" w:rsidP="007F4E9E">
      <w:pPr>
        <w:spacing w:after="240" w:line="23" w:lineRule="atLeast"/>
        <w:rPr>
          <w:rStyle w:val="Emphasis"/>
          <w:i w:val="0"/>
          <w:iCs w:val="0"/>
          <w:color w:val="0E101A"/>
          <w:sz w:val="24"/>
          <w:szCs w:val="24"/>
        </w:rPr>
      </w:pPr>
      <w:r w:rsidRPr="00490529">
        <w:rPr>
          <w:rStyle w:val="Emphasis"/>
          <w:i w:val="0"/>
          <w:iCs w:val="0"/>
          <w:color w:val="0E101A"/>
          <w:sz w:val="24"/>
          <w:szCs w:val="24"/>
        </w:rPr>
        <w:t xml:space="preserve">Adjustments for Australian conditions will be </w:t>
      </w:r>
      <w:r w:rsidR="0072347A" w:rsidRPr="00490529">
        <w:rPr>
          <w:rStyle w:val="Emphasis"/>
          <w:i w:val="0"/>
          <w:iCs w:val="0"/>
          <w:color w:val="0E101A"/>
          <w:sz w:val="24"/>
          <w:szCs w:val="24"/>
        </w:rPr>
        <w:t xml:space="preserve">made </w:t>
      </w:r>
      <w:r w:rsidRPr="00490529">
        <w:rPr>
          <w:rStyle w:val="Emphasis"/>
          <w:i w:val="0"/>
          <w:iCs w:val="0"/>
          <w:color w:val="0E101A"/>
          <w:sz w:val="24"/>
          <w:szCs w:val="24"/>
        </w:rPr>
        <w:t xml:space="preserve">if the relevant international facility has characteristics </w:t>
      </w:r>
      <w:r w:rsidRPr="00374929">
        <w:rPr>
          <w:rStyle w:val="Emphasis"/>
          <w:b/>
          <w:bCs/>
          <w:i w:val="0"/>
          <w:iCs w:val="0"/>
          <w:color w:val="0E101A"/>
          <w:sz w:val="24"/>
          <w:szCs w:val="24"/>
        </w:rPr>
        <w:t>impossible to replicate</w:t>
      </w:r>
      <w:r w:rsidRPr="00490529">
        <w:rPr>
          <w:rStyle w:val="Emphasis"/>
          <w:i w:val="0"/>
          <w:iCs w:val="0"/>
          <w:color w:val="0E101A"/>
          <w:sz w:val="24"/>
          <w:szCs w:val="24"/>
        </w:rPr>
        <w:t xml:space="preserve"> in Australia, and this has a material impact on achieving best practice emissions intensity. Two aspects are relevant:</w:t>
      </w:r>
    </w:p>
    <w:p w14:paraId="69FB5659" w14:textId="37E2FDF3" w:rsidR="00BA5133" w:rsidRPr="00490529" w:rsidRDefault="00BA5133" w:rsidP="007F4E9E">
      <w:pPr>
        <w:pStyle w:val="ListParagraph"/>
        <w:numPr>
          <w:ilvl w:val="0"/>
          <w:numId w:val="14"/>
        </w:numPr>
        <w:spacing w:before="0" w:after="240" w:line="23" w:lineRule="atLeast"/>
        <w:ind w:left="426"/>
        <w:rPr>
          <w:rStyle w:val="Emphasis"/>
          <w:rFonts w:asciiTheme="minorHAnsi" w:hAnsiTheme="minorHAnsi" w:cstheme="minorBidi"/>
          <w:i w:val="0"/>
          <w:iCs w:val="0"/>
          <w:color w:val="0E101A"/>
          <w:sz w:val="24"/>
          <w:szCs w:val="24"/>
        </w:rPr>
      </w:pPr>
      <w:r w:rsidRPr="00C23A92">
        <w:rPr>
          <w:rStyle w:val="Emphasis"/>
          <w:b/>
          <w:bCs/>
          <w:i w:val="0"/>
          <w:iCs w:val="0"/>
          <w:color w:val="0E101A"/>
          <w:sz w:val="24"/>
          <w:szCs w:val="24"/>
        </w:rPr>
        <w:lastRenderedPageBreak/>
        <w:t>Geology</w:t>
      </w:r>
      <w:r w:rsidRPr="00490529">
        <w:rPr>
          <w:rStyle w:val="Emphasis"/>
          <w:i w:val="0"/>
          <w:iCs w:val="0"/>
          <w:color w:val="0E101A"/>
          <w:sz w:val="24"/>
          <w:szCs w:val="24"/>
        </w:rPr>
        <w:t>: If the international best practice facility processes</w:t>
      </w:r>
      <w:r w:rsidR="006570C2" w:rsidRPr="00490529">
        <w:rPr>
          <w:rStyle w:val="Emphasis"/>
          <w:i w:val="0"/>
          <w:iCs w:val="0"/>
          <w:color w:val="0E101A"/>
          <w:sz w:val="24"/>
          <w:szCs w:val="24"/>
        </w:rPr>
        <w:t xml:space="preserve"> or uses</w:t>
      </w:r>
      <w:r w:rsidRPr="00490529">
        <w:rPr>
          <w:rStyle w:val="Emphasis"/>
          <w:i w:val="0"/>
          <w:iCs w:val="0"/>
          <w:color w:val="0E101A"/>
          <w:sz w:val="24"/>
          <w:szCs w:val="24"/>
        </w:rPr>
        <w:t xml:space="preserve"> a geological resource that is not available anywhere in Australia</w:t>
      </w:r>
      <w:r w:rsidR="00E11BF6" w:rsidRPr="00490529">
        <w:rPr>
          <w:rStyle w:val="Emphasis"/>
          <w:i w:val="0"/>
          <w:iCs w:val="0"/>
          <w:color w:val="0E101A"/>
          <w:sz w:val="24"/>
          <w:szCs w:val="24"/>
        </w:rPr>
        <w:t xml:space="preserve">, such as some types of </w:t>
      </w:r>
      <w:r w:rsidR="00E11BF6" w:rsidRPr="00C23A92">
        <w:rPr>
          <w:rStyle w:val="Emphasis"/>
          <w:i w:val="0"/>
          <w:iCs w:val="0"/>
          <w:color w:val="0E101A"/>
          <w:sz w:val="24"/>
          <w:szCs w:val="24"/>
        </w:rPr>
        <w:t>conventional</w:t>
      </w:r>
      <w:r w:rsidR="00E11BF6" w:rsidRPr="00490529">
        <w:rPr>
          <w:rStyle w:val="Emphasis"/>
          <w:i w:val="0"/>
          <w:iCs w:val="0"/>
          <w:color w:val="0E101A"/>
          <w:sz w:val="24"/>
          <w:szCs w:val="24"/>
        </w:rPr>
        <w:t xml:space="preserve"> geothermal resources</w:t>
      </w:r>
      <w:r w:rsidRPr="00490529">
        <w:rPr>
          <w:rStyle w:val="Emphasis"/>
          <w:i w:val="0"/>
          <w:iCs w:val="0"/>
          <w:color w:val="0E101A"/>
          <w:sz w:val="24"/>
          <w:szCs w:val="24"/>
        </w:rPr>
        <w:t xml:space="preserve">. </w:t>
      </w:r>
      <w:r w:rsidR="00177B53">
        <w:rPr>
          <w:rStyle w:val="Emphasis"/>
          <w:i w:val="0"/>
          <w:iCs w:val="0"/>
          <w:color w:val="0E101A"/>
          <w:sz w:val="24"/>
          <w:szCs w:val="24"/>
        </w:rPr>
        <w:t>This will not extend to different ore grades</w:t>
      </w:r>
      <w:r w:rsidR="00355FE7">
        <w:rPr>
          <w:rStyle w:val="Emphasis"/>
          <w:i w:val="0"/>
          <w:iCs w:val="0"/>
          <w:color w:val="0E101A"/>
          <w:sz w:val="24"/>
          <w:szCs w:val="24"/>
        </w:rPr>
        <w:t>,</w:t>
      </w:r>
      <w:r w:rsidR="0080730F">
        <w:rPr>
          <w:rStyle w:val="Emphasis"/>
          <w:i w:val="0"/>
          <w:iCs w:val="0"/>
          <w:color w:val="0E101A"/>
          <w:sz w:val="24"/>
          <w:szCs w:val="24"/>
        </w:rPr>
        <w:t xml:space="preserve"> as </w:t>
      </w:r>
      <w:r w:rsidR="004541F9">
        <w:rPr>
          <w:rStyle w:val="Emphasis"/>
          <w:i w:val="0"/>
          <w:iCs w:val="0"/>
          <w:color w:val="0E101A"/>
          <w:sz w:val="24"/>
          <w:szCs w:val="24"/>
        </w:rPr>
        <w:t xml:space="preserve">these are a common feature </w:t>
      </w:r>
      <w:r w:rsidR="0080730F">
        <w:rPr>
          <w:rStyle w:val="Emphasis"/>
          <w:i w:val="0"/>
          <w:iCs w:val="0"/>
          <w:color w:val="0E101A"/>
          <w:sz w:val="24"/>
          <w:szCs w:val="24"/>
        </w:rPr>
        <w:t xml:space="preserve">of the Australian mining environment. </w:t>
      </w:r>
    </w:p>
    <w:p w14:paraId="6A2C8399" w14:textId="3AAF6D44" w:rsidR="00BA5133" w:rsidRPr="00490529" w:rsidRDefault="00BA5133" w:rsidP="007F4E9E">
      <w:pPr>
        <w:pStyle w:val="ListParagraph"/>
        <w:numPr>
          <w:ilvl w:val="0"/>
          <w:numId w:val="14"/>
        </w:numPr>
        <w:spacing w:before="0" w:after="240" w:line="23" w:lineRule="atLeast"/>
        <w:ind w:left="426"/>
        <w:rPr>
          <w:rStyle w:val="Emphasis"/>
          <w:i w:val="0"/>
          <w:iCs w:val="0"/>
          <w:color w:val="0E101A"/>
          <w:sz w:val="24"/>
          <w:szCs w:val="24"/>
        </w:rPr>
      </w:pPr>
      <w:r w:rsidRPr="00C23A92">
        <w:rPr>
          <w:rStyle w:val="Emphasis"/>
          <w:b/>
          <w:bCs/>
          <w:i w:val="0"/>
          <w:iCs w:val="0"/>
          <w:color w:val="0E101A"/>
          <w:sz w:val="24"/>
          <w:szCs w:val="24"/>
        </w:rPr>
        <w:t>Climate</w:t>
      </w:r>
      <w:r w:rsidRPr="00490529">
        <w:rPr>
          <w:rStyle w:val="Emphasis"/>
          <w:i w:val="0"/>
          <w:iCs w:val="0"/>
          <w:color w:val="0E101A"/>
          <w:sz w:val="24"/>
          <w:szCs w:val="24"/>
        </w:rPr>
        <w:t>: If the ambient conditions of the international best practice facility cannot be replicated in a practical way, anywhere in Australia</w:t>
      </w:r>
      <w:r w:rsidR="008D68D1" w:rsidRPr="00490529">
        <w:rPr>
          <w:rStyle w:val="Emphasis"/>
          <w:i w:val="0"/>
          <w:iCs w:val="0"/>
          <w:color w:val="0E101A"/>
          <w:sz w:val="24"/>
          <w:szCs w:val="24"/>
        </w:rPr>
        <w:t>, and the</w:t>
      </w:r>
      <w:r w:rsidR="008260C3" w:rsidRPr="00490529">
        <w:rPr>
          <w:rStyle w:val="Emphasis"/>
          <w:i w:val="0"/>
          <w:iCs w:val="0"/>
          <w:color w:val="0E101A"/>
          <w:sz w:val="24"/>
          <w:szCs w:val="24"/>
        </w:rPr>
        <w:t>se conditions</w:t>
      </w:r>
      <w:r w:rsidR="008D68D1" w:rsidRPr="00490529">
        <w:rPr>
          <w:rStyle w:val="Emphasis"/>
          <w:i w:val="0"/>
          <w:iCs w:val="0"/>
          <w:color w:val="0E101A"/>
          <w:sz w:val="24"/>
          <w:szCs w:val="24"/>
        </w:rPr>
        <w:t xml:space="preserve"> are </w:t>
      </w:r>
      <w:r w:rsidR="00910620" w:rsidRPr="00490529">
        <w:rPr>
          <w:rStyle w:val="Emphasis"/>
          <w:i w:val="0"/>
          <w:iCs w:val="0"/>
          <w:color w:val="0E101A"/>
          <w:sz w:val="24"/>
          <w:szCs w:val="24"/>
        </w:rPr>
        <w:t xml:space="preserve">materially </w:t>
      </w:r>
      <w:r w:rsidR="008D68D1" w:rsidRPr="00490529">
        <w:rPr>
          <w:rStyle w:val="Emphasis"/>
          <w:i w:val="0"/>
          <w:iCs w:val="0"/>
          <w:color w:val="0E101A"/>
          <w:sz w:val="24"/>
          <w:szCs w:val="24"/>
        </w:rPr>
        <w:t>relevant to the facility’s emissions</w:t>
      </w:r>
      <w:r w:rsidRPr="00490529">
        <w:rPr>
          <w:rStyle w:val="Emphasis"/>
          <w:i w:val="0"/>
          <w:iCs w:val="0"/>
          <w:color w:val="0E101A"/>
          <w:sz w:val="24"/>
          <w:szCs w:val="24"/>
        </w:rPr>
        <w:t>.</w:t>
      </w:r>
      <w:r w:rsidR="008D68D1" w:rsidRPr="00490529">
        <w:rPr>
          <w:rStyle w:val="Emphasis"/>
          <w:i w:val="0"/>
          <w:iCs w:val="0"/>
          <w:color w:val="0E101A"/>
          <w:sz w:val="24"/>
          <w:szCs w:val="24"/>
        </w:rPr>
        <w:t xml:space="preserve"> For example, </w:t>
      </w:r>
      <w:r w:rsidR="00910620" w:rsidRPr="00490529">
        <w:rPr>
          <w:rStyle w:val="Emphasis"/>
          <w:i w:val="0"/>
          <w:iCs w:val="0"/>
          <w:color w:val="0E101A"/>
          <w:sz w:val="24"/>
          <w:szCs w:val="24"/>
        </w:rPr>
        <w:t>less energy is required to liquefy</w:t>
      </w:r>
      <w:r w:rsidR="008D68D1" w:rsidRPr="00490529">
        <w:rPr>
          <w:rStyle w:val="Emphasis"/>
          <w:i w:val="0"/>
          <w:iCs w:val="0"/>
          <w:color w:val="0E101A"/>
          <w:sz w:val="24"/>
          <w:szCs w:val="24"/>
        </w:rPr>
        <w:t xml:space="preserve"> natural gas</w:t>
      </w:r>
      <w:r w:rsidR="00910620" w:rsidRPr="00490529">
        <w:rPr>
          <w:rStyle w:val="Emphasis"/>
          <w:i w:val="0"/>
          <w:iCs w:val="0"/>
          <w:color w:val="0E101A"/>
          <w:sz w:val="24"/>
          <w:szCs w:val="24"/>
        </w:rPr>
        <w:t xml:space="preserve"> in colder climates.</w:t>
      </w:r>
      <w:r w:rsidRPr="00490529">
        <w:rPr>
          <w:rStyle w:val="Emphasis"/>
          <w:i w:val="0"/>
          <w:iCs w:val="0"/>
          <w:color w:val="0E101A"/>
          <w:sz w:val="24"/>
          <w:szCs w:val="24"/>
        </w:rPr>
        <w:t xml:space="preserve"> </w:t>
      </w:r>
    </w:p>
    <w:p w14:paraId="418BD627" w14:textId="1FE91674" w:rsidR="00BA5133" w:rsidRPr="00490529" w:rsidRDefault="00BA5133" w:rsidP="000E4036">
      <w:pPr>
        <w:rPr>
          <w:rStyle w:val="Emphasis"/>
          <w:i w:val="0"/>
          <w:iCs w:val="0"/>
          <w:color w:val="0E101A"/>
          <w:sz w:val="24"/>
          <w:szCs w:val="24"/>
        </w:rPr>
      </w:pPr>
      <w:r w:rsidRPr="00490529">
        <w:rPr>
          <w:rStyle w:val="Emphasis"/>
          <w:i w:val="0"/>
          <w:iCs w:val="0"/>
          <w:color w:val="0E101A"/>
          <w:sz w:val="24"/>
          <w:szCs w:val="24"/>
        </w:rPr>
        <w:t>The emissions intensity would not be adjusted for</w:t>
      </w:r>
      <w:r w:rsidR="00910620" w:rsidRPr="00490529">
        <w:rPr>
          <w:rStyle w:val="Emphasis"/>
          <w:i w:val="0"/>
          <w:iCs w:val="0"/>
          <w:color w:val="0E101A"/>
          <w:sz w:val="24"/>
          <w:szCs w:val="24"/>
        </w:rPr>
        <w:t xml:space="preserve"> s</w:t>
      </w:r>
      <w:r w:rsidRPr="00490529">
        <w:rPr>
          <w:rStyle w:val="Emphasis"/>
          <w:i w:val="0"/>
          <w:iCs w:val="0"/>
          <w:color w:val="0E101A"/>
          <w:sz w:val="24"/>
          <w:szCs w:val="24"/>
        </w:rPr>
        <w:t>kills or technology</w:t>
      </w:r>
      <w:r w:rsidR="00C23A92">
        <w:rPr>
          <w:rStyle w:val="Emphasis"/>
          <w:i w:val="0"/>
          <w:iCs w:val="0"/>
          <w:color w:val="0E101A"/>
          <w:sz w:val="24"/>
          <w:szCs w:val="24"/>
        </w:rPr>
        <w:t>, availability or cost of fuel or other inputs</w:t>
      </w:r>
      <w:r w:rsidR="0097383B" w:rsidRPr="00490529">
        <w:rPr>
          <w:rStyle w:val="Emphasis"/>
          <w:i w:val="0"/>
          <w:iCs w:val="0"/>
          <w:color w:val="0E101A"/>
          <w:sz w:val="24"/>
          <w:szCs w:val="24"/>
        </w:rPr>
        <w:t>.</w:t>
      </w:r>
      <w:r w:rsidRPr="00490529">
        <w:rPr>
          <w:rStyle w:val="Emphasis"/>
          <w:i w:val="0"/>
          <w:iCs w:val="0"/>
          <w:color w:val="0E101A"/>
          <w:sz w:val="24"/>
          <w:szCs w:val="24"/>
        </w:rPr>
        <w:t xml:space="preserve"> There shouldn’t be an adjustment for a lack of technology or skills in Australia because, given demand, technology and skills could be procured or developed.</w:t>
      </w:r>
      <w:r w:rsidR="00EC4573" w:rsidRPr="00490529">
        <w:rPr>
          <w:rStyle w:val="Emphasis"/>
          <w:i w:val="0"/>
          <w:iCs w:val="0"/>
          <w:color w:val="0E101A"/>
          <w:sz w:val="24"/>
          <w:szCs w:val="24"/>
        </w:rPr>
        <w:t xml:space="preserve"> </w:t>
      </w:r>
      <w:r w:rsidRPr="00490529">
        <w:rPr>
          <w:rStyle w:val="Emphasis"/>
          <w:i w:val="0"/>
          <w:iCs w:val="0"/>
          <w:color w:val="0E101A"/>
          <w:sz w:val="24"/>
          <w:szCs w:val="24"/>
        </w:rPr>
        <w:t xml:space="preserve">Developing these skills is fundamental to transition to </w:t>
      </w:r>
      <w:r w:rsidR="00EC4573" w:rsidRPr="00490529">
        <w:rPr>
          <w:rStyle w:val="Emphasis"/>
          <w:i w:val="0"/>
          <w:iCs w:val="0"/>
          <w:color w:val="0E101A"/>
          <w:sz w:val="24"/>
          <w:szCs w:val="24"/>
        </w:rPr>
        <w:t xml:space="preserve">a </w:t>
      </w:r>
      <w:r w:rsidRPr="00490529">
        <w:rPr>
          <w:rStyle w:val="Emphasis"/>
          <w:i w:val="0"/>
          <w:iCs w:val="0"/>
          <w:color w:val="0E101A"/>
          <w:sz w:val="24"/>
          <w:szCs w:val="24"/>
        </w:rPr>
        <w:t>low emissions economy.</w:t>
      </w:r>
    </w:p>
    <w:p w14:paraId="121E9028" w14:textId="321D2D02" w:rsidR="00BA5133" w:rsidRPr="00490529" w:rsidRDefault="00BA5133" w:rsidP="00BA5133">
      <w:pPr>
        <w:rPr>
          <w:rStyle w:val="Emphasis"/>
          <w:i w:val="0"/>
          <w:iCs w:val="0"/>
          <w:color w:val="0E101A"/>
          <w:sz w:val="24"/>
          <w:szCs w:val="24"/>
        </w:rPr>
      </w:pPr>
      <w:r w:rsidRPr="00490529">
        <w:rPr>
          <w:rStyle w:val="Emphasis"/>
          <w:i w:val="0"/>
          <w:iCs w:val="0"/>
          <w:color w:val="0E101A"/>
          <w:sz w:val="24"/>
          <w:szCs w:val="24"/>
        </w:rPr>
        <w:t xml:space="preserve">Any adjustment for Australian conditions should be made in a </w:t>
      </w:r>
      <w:r w:rsidR="00B96828" w:rsidRPr="00490529">
        <w:rPr>
          <w:rStyle w:val="Emphasis"/>
          <w:i w:val="0"/>
          <w:iCs w:val="0"/>
          <w:color w:val="0E101A"/>
          <w:sz w:val="24"/>
          <w:szCs w:val="24"/>
        </w:rPr>
        <w:t xml:space="preserve">transparent (where appropriate for commercial sensitivities) and </w:t>
      </w:r>
      <w:r w:rsidR="0072347A" w:rsidRPr="00490529">
        <w:rPr>
          <w:rStyle w:val="Emphasis"/>
          <w:i w:val="0"/>
          <w:iCs w:val="0"/>
          <w:color w:val="0E101A"/>
          <w:sz w:val="24"/>
          <w:szCs w:val="24"/>
        </w:rPr>
        <w:t xml:space="preserve">robust </w:t>
      </w:r>
      <w:r w:rsidRPr="00490529">
        <w:rPr>
          <w:rStyle w:val="Emphasis"/>
          <w:i w:val="0"/>
          <w:iCs w:val="0"/>
          <w:color w:val="0E101A"/>
          <w:sz w:val="24"/>
          <w:szCs w:val="24"/>
        </w:rPr>
        <w:t>way (</w:t>
      </w:r>
      <w:proofErr w:type="gramStart"/>
      <w:r w:rsidRPr="00490529">
        <w:rPr>
          <w:rStyle w:val="Emphasis"/>
          <w:i w:val="0"/>
          <w:iCs w:val="0"/>
          <w:color w:val="0E101A"/>
          <w:sz w:val="24"/>
          <w:szCs w:val="24"/>
        </w:rPr>
        <w:t>e.g.</w:t>
      </w:r>
      <w:proofErr w:type="gramEnd"/>
      <w:r w:rsidRPr="00490529">
        <w:rPr>
          <w:rStyle w:val="Emphasis"/>
          <w:i w:val="0"/>
          <w:iCs w:val="0"/>
          <w:color w:val="0E101A"/>
          <w:sz w:val="24"/>
          <w:szCs w:val="24"/>
        </w:rPr>
        <w:t xml:space="preserve"> citing emissions reporting standards or scientific studies). If this isn’t possible, then it may be necessary to exclude the facility from the best practice benchmark calculation, requiring it to be replaced with another.</w:t>
      </w:r>
    </w:p>
    <w:p w14:paraId="4317FB06" w14:textId="77777777" w:rsidR="00BA5133" w:rsidRPr="00DF2F30" w:rsidRDefault="00BA5133" w:rsidP="00833996">
      <w:pPr>
        <w:pStyle w:val="Heading3"/>
        <w:rPr>
          <w:color w:val="1F497D" w:themeColor="text2"/>
        </w:rPr>
      </w:pPr>
      <w:bookmarkStart w:id="13" w:name="_Toc146872819"/>
      <w:r w:rsidRPr="00DF2F30">
        <w:rPr>
          <w:rStyle w:val="Emphasis"/>
          <w:i w:val="0"/>
          <w:iCs w:val="0"/>
          <w:color w:val="1F497D" w:themeColor="text2"/>
          <w:sz w:val="24"/>
          <w:szCs w:val="24"/>
        </w:rPr>
        <w:t xml:space="preserve">Best practice benchmarks cannot be higher than domestic best </w:t>
      </w:r>
      <w:proofErr w:type="gramStart"/>
      <w:r w:rsidRPr="00DF2F30">
        <w:rPr>
          <w:rStyle w:val="Emphasis"/>
          <w:i w:val="0"/>
          <w:iCs w:val="0"/>
          <w:color w:val="1F497D" w:themeColor="text2"/>
          <w:sz w:val="24"/>
          <w:szCs w:val="24"/>
        </w:rPr>
        <w:t>practice</w:t>
      </w:r>
      <w:bookmarkEnd w:id="13"/>
      <w:proofErr w:type="gramEnd"/>
      <w:r w:rsidRPr="00DF2F30">
        <w:rPr>
          <w:rStyle w:val="Emphasis"/>
          <w:i w:val="0"/>
          <w:iCs w:val="0"/>
          <w:color w:val="1F497D" w:themeColor="text2"/>
          <w:sz w:val="24"/>
          <w:szCs w:val="24"/>
        </w:rPr>
        <w:t>  </w:t>
      </w:r>
    </w:p>
    <w:p w14:paraId="00180198" w14:textId="676B4823" w:rsidR="00E225E7" w:rsidRPr="00490529" w:rsidRDefault="00FC7811" w:rsidP="00BA5133">
      <w:pPr>
        <w:rPr>
          <w:rStyle w:val="Emphasis"/>
          <w:i w:val="0"/>
          <w:iCs w:val="0"/>
          <w:color w:val="0E101A"/>
          <w:sz w:val="24"/>
          <w:szCs w:val="24"/>
        </w:rPr>
      </w:pPr>
      <w:r>
        <w:rPr>
          <w:rStyle w:val="Emphasis"/>
          <w:i w:val="0"/>
          <w:iCs w:val="0"/>
          <w:color w:val="0E101A"/>
          <w:sz w:val="24"/>
          <w:szCs w:val="24"/>
        </w:rPr>
        <w:t>Best</w:t>
      </w:r>
      <w:r w:rsidR="00B15AD0" w:rsidRPr="00490529">
        <w:rPr>
          <w:rStyle w:val="Emphasis"/>
          <w:i w:val="0"/>
          <w:iCs w:val="0"/>
          <w:color w:val="0E101A"/>
          <w:sz w:val="24"/>
          <w:szCs w:val="24"/>
        </w:rPr>
        <w:t xml:space="preserve"> practice benchmarks cannot be less stringent than domestic best practice.</w:t>
      </w:r>
      <w:r w:rsidR="001334B6" w:rsidRPr="00490529">
        <w:rPr>
          <w:rStyle w:val="Emphasis"/>
          <w:i w:val="0"/>
          <w:iCs w:val="0"/>
          <w:color w:val="0E101A"/>
          <w:sz w:val="24"/>
          <w:szCs w:val="24"/>
        </w:rPr>
        <w:t xml:space="preserve"> This </w:t>
      </w:r>
      <w:r w:rsidR="0002368A" w:rsidRPr="00490529">
        <w:rPr>
          <w:rStyle w:val="Emphasis"/>
          <w:i w:val="0"/>
          <w:iCs w:val="0"/>
          <w:color w:val="0E101A"/>
          <w:sz w:val="24"/>
          <w:szCs w:val="24"/>
        </w:rPr>
        <w:t>further ensures that benchmarks reflect Australian conditions, and helps to manage issues with data availability.</w:t>
      </w:r>
    </w:p>
    <w:p w14:paraId="1FB26FDF" w14:textId="2C4437FA" w:rsidR="00BA5133" w:rsidRPr="00490529" w:rsidRDefault="00BA5133" w:rsidP="00BA5133">
      <w:pPr>
        <w:rPr>
          <w:rStyle w:val="Emphasis"/>
          <w:i w:val="0"/>
          <w:iCs w:val="0"/>
          <w:color w:val="0E101A"/>
          <w:sz w:val="24"/>
          <w:szCs w:val="24"/>
        </w:rPr>
      </w:pPr>
      <w:r w:rsidRPr="00490529">
        <w:rPr>
          <w:rStyle w:val="Emphasis"/>
          <w:i w:val="0"/>
          <w:iCs w:val="0"/>
          <w:color w:val="0E101A"/>
          <w:sz w:val="24"/>
          <w:szCs w:val="24"/>
        </w:rPr>
        <w:t>In some situations, it may be difficult to source suitable data for the best practice facilities, resulting in a benchmark unrepresentative of international best practice. Setting a maximum emissions intensity based on the average of the top</w:t>
      </w:r>
      <w:r w:rsidR="00971B9E" w:rsidRPr="00490529">
        <w:rPr>
          <w:rStyle w:val="Emphasis"/>
          <w:i w:val="0"/>
          <w:iCs w:val="0"/>
          <w:color w:val="0E101A"/>
          <w:sz w:val="24"/>
          <w:szCs w:val="24"/>
        </w:rPr>
        <w:t xml:space="preserve"> </w:t>
      </w:r>
      <w:r w:rsidRPr="00490529">
        <w:rPr>
          <w:rStyle w:val="Emphasis"/>
          <w:i w:val="0"/>
          <w:iCs w:val="0"/>
          <w:color w:val="0E101A"/>
          <w:sz w:val="24"/>
          <w:szCs w:val="24"/>
        </w:rPr>
        <w:t>10</w:t>
      </w:r>
      <w:r w:rsidR="00971B9E" w:rsidRPr="00490529">
        <w:rPr>
          <w:rStyle w:val="Emphasis"/>
          <w:i w:val="0"/>
          <w:iCs w:val="0"/>
          <w:color w:val="0E101A"/>
          <w:sz w:val="24"/>
          <w:szCs w:val="24"/>
        </w:rPr>
        <w:t xml:space="preserve"> per cent</w:t>
      </w:r>
      <w:r w:rsidRPr="00490529">
        <w:rPr>
          <w:rStyle w:val="Emphasis"/>
          <w:i w:val="0"/>
          <w:iCs w:val="0"/>
          <w:color w:val="0E101A"/>
          <w:sz w:val="24"/>
          <w:szCs w:val="24"/>
        </w:rPr>
        <w:t xml:space="preserve"> of domestic performance helps to address the situation of limited data</w:t>
      </w:r>
      <w:r w:rsidR="00443951" w:rsidRPr="00490529">
        <w:rPr>
          <w:rStyle w:val="Emphasis"/>
          <w:i w:val="0"/>
          <w:iCs w:val="0"/>
          <w:color w:val="0E101A"/>
          <w:sz w:val="24"/>
          <w:szCs w:val="24"/>
        </w:rPr>
        <w:t>, for production variables w</w:t>
      </w:r>
      <w:r w:rsidR="002C4802" w:rsidRPr="00490529">
        <w:rPr>
          <w:rStyle w:val="Emphasis"/>
          <w:i w:val="0"/>
          <w:iCs w:val="0"/>
          <w:color w:val="0E101A"/>
          <w:sz w:val="24"/>
          <w:szCs w:val="24"/>
        </w:rPr>
        <w:t>h</w:t>
      </w:r>
      <w:r w:rsidR="00443951" w:rsidRPr="00490529">
        <w:rPr>
          <w:rStyle w:val="Emphasis"/>
          <w:i w:val="0"/>
          <w:iCs w:val="0"/>
          <w:color w:val="0E101A"/>
          <w:sz w:val="24"/>
          <w:szCs w:val="24"/>
        </w:rPr>
        <w:t>ere</w:t>
      </w:r>
      <w:r w:rsidR="00EC4F88" w:rsidRPr="00490529">
        <w:rPr>
          <w:rStyle w:val="Emphasis"/>
          <w:i w:val="0"/>
          <w:iCs w:val="0"/>
          <w:color w:val="0E101A"/>
          <w:sz w:val="24"/>
          <w:szCs w:val="24"/>
        </w:rPr>
        <w:t xml:space="preserve"> sufficient data is available</w:t>
      </w:r>
      <w:r w:rsidRPr="00490529">
        <w:rPr>
          <w:rStyle w:val="Emphasis"/>
          <w:i w:val="0"/>
          <w:iCs w:val="0"/>
          <w:color w:val="0E101A"/>
          <w:sz w:val="24"/>
          <w:szCs w:val="24"/>
        </w:rPr>
        <w:t xml:space="preserve">. The same data used for calculating the average sectoral emissions intensities can be used for the domestic best practice emissions intensity calculation. </w:t>
      </w:r>
    </w:p>
    <w:p w14:paraId="5E95F605" w14:textId="2C0F1403" w:rsidR="007530FE" w:rsidRPr="00DF2F30" w:rsidRDefault="007450B0" w:rsidP="007530FE">
      <w:pPr>
        <w:pStyle w:val="Heading3"/>
        <w:rPr>
          <w:rStyle w:val="Emphasis"/>
          <w:i w:val="0"/>
          <w:iCs w:val="0"/>
          <w:color w:val="1F497D" w:themeColor="text2"/>
          <w:sz w:val="24"/>
          <w:szCs w:val="24"/>
        </w:rPr>
      </w:pPr>
      <w:bookmarkStart w:id="14" w:name="_Toc146872820"/>
      <w:r w:rsidRPr="00DF2F30">
        <w:rPr>
          <w:rStyle w:val="Emphasis"/>
          <w:i w:val="0"/>
          <w:iCs w:val="0"/>
          <w:color w:val="1F497D" w:themeColor="text2"/>
          <w:sz w:val="24"/>
          <w:szCs w:val="24"/>
        </w:rPr>
        <w:t xml:space="preserve">Supplementary approach and </w:t>
      </w:r>
      <w:r w:rsidR="007530FE" w:rsidRPr="00DF2F30">
        <w:rPr>
          <w:rStyle w:val="Emphasis"/>
          <w:i w:val="0"/>
          <w:iCs w:val="0"/>
          <w:color w:val="1F497D" w:themeColor="text2"/>
          <w:sz w:val="24"/>
          <w:szCs w:val="24"/>
        </w:rPr>
        <w:t>‘</w:t>
      </w:r>
      <w:r w:rsidRPr="00DF2F30">
        <w:rPr>
          <w:rStyle w:val="Emphasis"/>
          <w:i w:val="0"/>
          <w:iCs w:val="0"/>
          <w:color w:val="1F497D" w:themeColor="text2"/>
          <w:sz w:val="24"/>
          <w:szCs w:val="24"/>
        </w:rPr>
        <w:t>f</w:t>
      </w:r>
      <w:r w:rsidR="007530FE" w:rsidRPr="00DF2F30">
        <w:rPr>
          <w:rStyle w:val="Emphasis"/>
          <w:i w:val="0"/>
          <w:iCs w:val="0"/>
          <w:color w:val="1F497D" w:themeColor="text2"/>
          <w:sz w:val="24"/>
          <w:szCs w:val="24"/>
        </w:rPr>
        <w:t xml:space="preserve">irst-of-kind’ </w:t>
      </w:r>
      <w:r w:rsidR="0055336B" w:rsidRPr="00DF2F30">
        <w:rPr>
          <w:rStyle w:val="Emphasis"/>
          <w:i w:val="0"/>
          <w:iCs w:val="0"/>
          <w:color w:val="1F497D" w:themeColor="text2"/>
          <w:sz w:val="24"/>
          <w:szCs w:val="24"/>
        </w:rPr>
        <w:t>products</w:t>
      </w:r>
      <w:bookmarkEnd w:id="14"/>
    </w:p>
    <w:p w14:paraId="67FBB874" w14:textId="74E21B7D" w:rsidR="007530FE" w:rsidRDefault="0001257C" w:rsidP="007530FE">
      <w:pPr>
        <w:rPr>
          <w:rStyle w:val="Emphasis"/>
          <w:i w:val="0"/>
          <w:iCs w:val="0"/>
          <w:color w:val="0E101A"/>
          <w:sz w:val="24"/>
          <w:szCs w:val="24"/>
        </w:rPr>
      </w:pPr>
      <w:r>
        <w:rPr>
          <w:rStyle w:val="Emphasis"/>
          <w:i w:val="0"/>
          <w:iCs w:val="0"/>
          <w:color w:val="0E101A"/>
          <w:sz w:val="24"/>
          <w:szCs w:val="24"/>
        </w:rPr>
        <w:t xml:space="preserve">There may be circumstances where historical data is </w:t>
      </w:r>
      <w:r w:rsidR="00227B81">
        <w:rPr>
          <w:rStyle w:val="Emphasis"/>
          <w:i w:val="0"/>
          <w:iCs w:val="0"/>
          <w:color w:val="0E101A"/>
          <w:sz w:val="24"/>
          <w:szCs w:val="24"/>
        </w:rPr>
        <w:t xml:space="preserve">either </w:t>
      </w:r>
      <w:r>
        <w:rPr>
          <w:rStyle w:val="Emphasis"/>
          <w:i w:val="0"/>
          <w:iCs w:val="0"/>
          <w:color w:val="0E101A"/>
          <w:sz w:val="24"/>
          <w:szCs w:val="24"/>
        </w:rPr>
        <w:t>not available</w:t>
      </w:r>
      <w:r w:rsidR="00227B81">
        <w:rPr>
          <w:rStyle w:val="Emphasis"/>
          <w:i w:val="0"/>
          <w:iCs w:val="0"/>
          <w:color w:val="0E101A"/>
          <w:sz w:val="24"/>
          <w:szCs w:val="24"/>
        </w:rPr>
        <w:t xml:space="preserve">, or not </w:t>
      </w:r>
      <w:r w:rsidR="00374C0E">
        <w:rPr>
          <w:rStyle w:val="Emphasis"/>
          <w:i w:val="0"/>
          <w:iCs w:val="0"/>
          <w:color w:val="0E101A"/>
          <w:sz w:val="24"/>
          <w:szCs w:val="24"/>
        </w:rPr>
        <w:t>suitable for use in calculating benchmarks</w:t>
      </w:r>
      <w:r>
        <w:rPr>
          <w:rStyle w:val="Emphasis"/>
          <w:i w:val="0"/>
          <w:iCs w:val="0"/>
          <w:color w:val="0E101A"/>
          <w:sz w:val="24"/>
          <w:szCs w:val="24"/>
        </w:rPr>
        <w:t xml:space="preserve">. This could arise if a new or existing facility begins producing a new product that has not been produced before. </w:t>
      </w:r>
    </w:p>
    <w:p w14:paraId="04D4EFEC" w14:textId="2662A563" w:rsidR="00374C0E" w:rsidRDefault="00374C0E" w:rsidP="007530FE">
      <w:pPr>
        <w:rPr>
          <w:rStyle w:val="Emphasis"/>
          <w:i w:val="0"/>
          <w:iCs w:val="0"/>
          <w:color w:val="0E101A"/>
          <w:sz w:val="24"/>
          <w:szCs w:val="24"/>
        </w:rPr>
      </w:pPr>
      <w:r>
        <w:rPr>
          <w:rStyle w:val="Emphasis"/>
          <w:i w:val="0"/>
          <w:iCs w:val="0"/>
          <w:color w:val="0E101A"/>
          <w:sz w:val="24"/>
          <w:szCs w:val="24"/>
        </w:rPr>
        <w:t xml:space="preserve">In these circumstances, </w:t>
      </w:r>
      <w:r w:rsidR="00C723A8">
        <w:rPr>
          <w:rStyle w:val="Emphasis"/>
          <w:i w:val="0"/>
          <w:iCs w:val="0"/>
          <w:color w:val="0E101A"/>
          <w:sz w:val="24"/>
          <w:szCs w:val="24"/>
        </w:rPr>
        <w:t xml:space="preserve">a </w:t>
      </w:r>
      <w:r w:rsidR="00791057">
        <w:rPr>
          <w:rStyle w:val="Emphasis"/>
          <w:i w:val="0"/>
          <w:iCs w:val="0"/>
          <w:color w:val="0E101A"/>
          <w:sz w:val="24"/>
          <w:szCs w:val="24"/>
        </w:rPr>
        <w:t>supplementary approach will be considered</w:t>
      </w:r>
      <w:r w:rsidR="00C723A8">
        <w:rPr>
          <w:rStyle w:val="Emphasis"/>
          <w:i w:val="0"/>
          <w:iCs w:val="0"/>
          <w:color w:val="0E101A"/>
          <w:sz w:val="24"/>
          <w:szCs w:val="24"/>
        </w:rPr>
        <w:t>. Under the supplementary approach, the following data could be used:</w:t>
      </w:r>
    </w:p>
    <w:p w14:paraId="39EEAF4D" w14:textId="4E78C15D" w:rsidR="00031624" w:rsidRDefault="00031624" w:rsidP="00681846">
      <w:pPr>
        <w:pStyle w:val="ListParagraph"/>
        <w:numPr>
          <w:ilvl w:val="0"/>
          <w:numId w:val="32"/>
        </w:numPr>
        <w:spacing w:before="0" w:after="240" w:line="276" w:lineRule="auto"/>
        <w:ind w:left="425" w:hanging="425"/>
        <w:rPr>
          <w:rStyle w:val="Emphasis"/>
          <w:i w:val="0"/>
          <w:iCs w:val="0"/>
          <w:color w:val="0E101A"/>
          <w:sz w:val="24"/>
          <w:szCs w:val="24"/>
        </w:rPr>
      </w:pPr>
      <w:r w:rsidRPr="00B02F55">
        <w:rPr>
          <w:rStyle w:val="Emphasis"/>
          <w:b/>
          <w:bCs/>
          <w:i w:val="0"/>
          <w:iCs w:val="0"/>
          <w:color w:val="0E101A"/>
          <w:sz w:val="24"/>
          <w:szCs w:val="24"/>
        </w:rPr>
        <w:t>Forecast data</w:t>
      </w:r>
      <w:r w:rsidR="00C723A8">
        <w:rPr>
          <w:rStyle w:val="Emphasis"/>
          <w:i w:val="0"/>
          <w:iCs w:val="0"/>
          <w:color w:val="0E101A"/>
          <w:sz w:val="24"/>
          <w:szCs w:val="24"/>
        </w:rPr>
        <w:t xml:space="preserve">: </w:t>
      </w:r>
      <w:r w:rsidR="00AF78C5">
        <w:rPr>
          <w:rStyle w:val="Emphasis"/>
          <w:i w:val="0"/>
          <w:iCs w:val="0"/>
          <w:color w:val="0E101A"/>
          <w:sz w:val="24"/>
          <w:szCs w:val="24"/>
        </w:rPr>
        <w:t>data from planning or project approval documents that include forecast</w:t>
      </w:r>
      <w:r w:rsidR="00311AA4">
        <w:rPr>
          <w:rStyle w:val="Emphasis"/>
          <w:i w:val="0"/>
          <w:iCs w:val="0"/>
          <w:color w:val="0E101A"/>
          <w:sz w:val="24"/>
          <w:szCs w:val="24"/>
        </w:rPr>
        <w:t>s</w:t>
      </w:r>
      <w:r w:rsidR="00AF78C5">
        <w:rPr>
          <w:rStyle w:val="Emphasis"/>
          <w:i w:val="0"/>
          <w:iCs w:val="0"/>
          <w:color w:val="0E101A"/>
          <w:sz w:val="24"/>
          <w:szCs w:val="24"/>
        </w:rPr>
        <w:t xml:space="preserve"> of emissions and production over the life of the project</w:t>
      </w:r>
      <w:r w:rsidR="00FD3C79">
        <w:rPr>
          <w:rStyle w:val="Emphasis"/>
          <w:i w:val="0"/>
          <w:iCs w:val="0"/>
          <w:color w:val="0E101A"/>
          <w:sz w:val="24"/>
          <w:szCs w:val="24"/>
        </w:rPr>
        <w:t xml:space="preserve">, or other </w:t>
      </w:r>
      <w:r w:rsidR="00381C3F">
        <w:rPr>
          <w:rStyle w:val="Emphasis"/>
          <w:i w:val="0"/>
          <w:iCs w:val="0"/>
          <w:color w:val="0E101A"/>
          <w:sz w:val="24"/>
          <w:szCs w:val="24"/>
        </w:rPr>
        <w:t>company reports</w:t>
      </w:r>
      <w:r w:rsidR="00AF78C5">
        <w:rPr>
          <w:rStyle w:val="Emphasis"/>
          <w:i w:val="0"/>
          <w:iCs w:val="0"/>
          <w:color w:val="0E101A"/>
          <w:sz w:val="24"/>
          <w:szCs w:val="24"/>
        </w:rPr>
        <w:t xml:space="preserve">. </w:t>
      </w:r>
    </w:p>
    <w:p w14:paraId="0A3EFDE6" w14:textId="599B19FA" w:rsidR="00031624" w:rsidRDefault="00031624" w:rsidP="00681846">
      <w:pPr>
        <w:pStyle w:val="ListParagraph"/>
        <w:numPr>
          <w:ilvl w:val="0"/>
          <w:numId w:val="32"/>
        </w:numPr>
        <w:spacing w:before="0" w:after="240" w:line="276" w:lineRule="auto"/>
        <w:ind w:left="425" w:hanging="425"/>
        <w:rPr>
          <w:rStyle w:val="Emphasis"/>
          <w:i w:val="0"/>
          <w:iCs w:val="0"/>
          <w:color w:val="0E101A"/>
          <w:sz w:val="24"/>
          <w:szCs w:val="24"/>
        </w:rPr>
      </w:pPr>
      <w:r w:rsidRPr="00B02F55">
        <w:rPr>
          <w:rStyle w:val="Emphasis"/>
          <w:b/>
          <w:bCs/>
          <w:i w:val="0"/>
          <w:iCs w:val="0"/>
          <w:color w:val="0E101A"/>
          <w:sz w:val="24"/>
          <w:szCs w:val="24"/>
        </w:rPr>
        <w:lastRenderedPageBreak/>
        <w:t>Estimated data</w:t>
      </w:r>
      <w:r>
        <w:rPr>
          <w:rStyle w:val="Emphasis"/>
          <w:i w:val="0"/>
          <w:iCs w:val="0"/>
          <w:color w:val="0E101A"/>
          <w:sz w:val="24"/>
          <w:szCs w:val="24"/>
        </w:rPr>
        <w:t>:</w:t>
      </w:r>
      <w:r w:rsidR="009B64FE">
        <w:rPr>
          <w:rStyle w:val="Emphasis"/>
          <w:i w:val="0"/>
          <w:iCs w:val="0"/>
          <w:color w:val="0E101A"/>
          <w:sz w:val="24"/>
          <w:szCs w:val="24"/>
        </w:rPr>
        <w:t xml:space="preserve"> estimates based on</w:t>
      </w:r>
      <w:r>
        <w:rPr>
          <w:rStyle w:val="Emphasis"/>
          <w:i w:val="0"/>
          <w:iCs w:val="0"/>
          <w:color w:val="0E101A"/>
          <w:sz w:val="24"/>
          <w:szCs w:val="24"/>
        </w:rPr>
        <w:t xml:space="preserve"> </w:t>
      </w:r>
      <w:r w:rsidR="00055AC6">
        <w:rPr>
          <w:rStyle w:val="Emphasis"/>
          <w:i w:val="0"/>
          <w:iCs w:val="0"/>
          <w:color w:val="0E101A"/>
          <w:sz w:val="24"/>
          <w:szCs w:val="24"/>
        </w:rPr>
        <w:t>a theoretical ‘engineered’ facility</w:t>
      </w:r>
      <w:r w:rsidR="002A4527">
        <w:rPr>
          <w:rStyle w:val="Emphasis"/>
          <w:i w:val="0"/>
          <w:iCs w:val="0"/>
          <w:color w:val="0E101A"/>
          <w:sz w:val="24"/>
          <w:szCs w:val="24"/>
        </w:rPr>
        <w:t xml:space="preserve"> </w:t>
      </w:r>
      <w:r w:rsidR="009B64FE">
        <w:rPr>
          <w:rStyle w:val="Emphasis"/>
          <w:i w:val="0"/>
          <w:iCs w:val="0"/>
          <w:color w:val="0E101A"/>
          <w:sz w:val="24"/>
          <w:szCs w:val="24"/>
        </w:rPr>
        <w:t xml:space="preserve">using </w:t>
      </w:r>
      <w:r w:rsidR="002A4527">
        <w:rPr>
          <w:rStyle w:val="Emphasis"/>
          <w:i w:val="0"/>
          <w:iCs w:val="0"/>
          <w:color w:val="0E101A"/>
          <w:sz w:val="24"/>
          <w:szCs w:val="24"/>
        </w:rPr>
        <w:t xml:space="preserve">data from other facilities that use similar technologies, </w:t>
      </w:r>
      <w:r w:rsidR="00055AC6">
        <w:rPr>
          <w:rStyle w:val="Emphasis"/>
          <w:i w:val="0"/>
          <w:iCs w:val="0"/>
          <w:color w:val="0E101A"/>
          <w:sz w:val="24"/>
          <w:szCs w:val="24"/>
        </w:rPr>
        <w:t xml:space="preserve">or </w:t>
      </w:r>
      <w:r w:rsidR="00125EF5">
        <w:rPr>
          <w:rStyle w:val="Emphasis"/>
          <w:i w:val="0"/>
          <w:iCs w:val="0"/>
          <w:color w:val="0E101A"/>
          <w:sz w:val="24"/>
          <w:szCs w:val="24"/>
        </w:rPr>
        <w:t xml:space="preserve">data collected at a higher level or with a different scope, with </w:t>
      </w:r>
      <w:r w:rsidR="00A90BB8">
        <w:rPr>
          <w:rStyle w:val="Emphasis"/>
          <w:i w:val="0"/>
          <w:iCs w:val="0"/>
          <w:color w:val="0E101A"/>
          <w:sz w:val="24"/>
          <w:szCs w:val="24"/>
        </w:rPr>
        <w:t xml:space="preserve">appropriate </w:t>
      </w:r>
      <w:r w:rsidR="00125EF5">
        <w:rPr>
          <w:rStyle w:val="Emphasis"/>
          <w:i w:val="0"/>
          <w:iCs w:val="0"/>
          <w:color w:val="0E101A"/>
          <w:sz w:val="24"/>
          <w:szCs w:val="24"/>
        </w:rPr>
        <w:t>adjustments.</w:t>
      </w:r>
      <w:r w:rsidR="00B02F55" w:rsidRPr="00B02F55">
        <w:rPr>
          <w:rStyle w:val="Emphasis"/>
          <w:i w:val="0"/>
          <w:iCs w:val="0"/>
          <w:color w:val="0E101A"/>
          <w:sz w:val="24"/>
          <w:szCs w:val="24"/>
        </w:rPr>
        <w:t xml:space="preserve"> </w:t>
      </w:r>
    </w:p>
    <w:p w14:paraId="1ACC790C" w14:textId="77777777" w:rsidR="00B22EA6" w:rsidRDefault="00DC153D" w:rsidP="00B22EA6">
      <w:pPr>
        <w:pStyle w:val="ListParagraph"/>
        <w:numPr>
          <w:ilvl w:val="0"/>
          <w:numId w:val="32"/>
        </w:numPr>
        <w:spacing w:before="0" w:after="240" w:line="276" w:lineRule="auto"/>
        <w:ind w:left="425" w:hanging="425"/>
        <w:rPr>
          <w:rStyle w:val="Emphasis"/>
          <w:i w:val="0"/>
          <w:iCs w:val="0"/>
          <w:color w:val="0E101A"/>
          <w:sz w:val="24"/>
          <w:szCs w:val="24"/>
        </w:rPr>
      </w:pPr>
      <w:r>
        <w:rPr>
          <w:rStyle w:val="Emphasis"/>
          <w:b/>
          <w:bCs/>
          <w:i w:val="0"/>
          <w:iCs w:val="0"/>
          <w:color w:val="0E101A"/>
          <w:sz w:val="24"/>
          <w:szCs w:val="24"/>
        </w:rPr>
        <w:t>Benchmarking data</w:t>
      </w:r>
      <w:r w:rsidRPr="00B22EA6">
        <w:rPr>
          <w:rStyle w:val="Emphasis"/>
          <w:b/>
          <w:bCs/>
          <w:i w:val="0"/>
          <w:iCs w:val="0"/>
          <w:color w:val="0E101A"/>
          <w:sz w:val="24"/>
          <w:szCs w:val="24"/>
        </w:rPr>
        <w:t xml:space="preserve">: </w:t>
      </w:r>
      <w:r w:rsidRPr="00B22EA6">
        <w:rPr>
          <w:rStyle w:val="Emphasis"/>
          <w:i w:val="0"/>
          <w:iCs w:val="0"/>
          <w:color w:val="0E101A"/>
          <w:sz w:val="24"/>
          <w:szCs w:val="24"/>
        </w:rPr>
        <w:t>dat</w:t>
      </w:r>
      <w:r w:rsidR="00FD43C8" w:rsidRPr="00B22EA6">
        <w:rPr>
          <w:rStyle w:val="Emphasis"/>
          <w:i w:val="0"/>
          <w:iCs w:val="0"/>
          <w:color w:val="0E101A"/>
          <w:sz w:val="24"/>
          <w:szCs w:val="24"/>
        </w:rPr>
        <w:t>a</w:t>
      </w:r>
      <w:r w:rsidRPr="00B22EA6">
        <w:rPr>
          <w:rStyle w:val="Emphasis"/>
          <w:i w:val="0"/>
          <w:iCs w:val="0"/>
          <w:color w:val="0E101A"/>
          <w:sz w:val="24"/>
          <w:szCs w:val="24"/>
        </w:rPr>
        <w:t xml:space="preserve"> from industry bodies</w:t>
      </w:r>
      <w:r w:rsidR="00FD43C8" w:rsidRPr="00B22EA6">
        <w:rPr>
          <w:rStyle w:val="Emphasis"/>
          <w:i w:val="0"/>
          <w:iCs w:val="0"/>
          <w:color w:val="0E101A"/>
          <w:sz w:val="24"/>
          <w:szCs w:val="24"/>
        </w:rPr>
        <w:t>, international organisations or technical literature that benchmarks emissions-intensity performance.</w:t>
      </w:r>
      <w:r w:rsidR="00B22EA6" w:rsidRPr="00B22EA6">
        <w:rPr>
          <w:rStyle w:val="Emphasis"/>
          <w:i w:val="0"/>
          <w:iCs w:val="0"/>
          <w:color w:val="0E101A"/>
          <w:sz w:val="24"/>
          <w:szCs w:val="24"/>
        </w:rPr>
        <w:t xml:space="preserve"> </w:t>
      </w:r>
    </w:p>
    <w:p w14:paraId="4141DF60" w14:textId="2C3C40F4" w:rsidR="00B22EA6" w:rsidRDefault="00B22EA6" w:rsidP="00B22EA6">
      <w:pPr>
        <w:pStyle w:val="ListParagraph"/>
        <w:numPr>
          <w:ilvl w:val="1"/>
          <w:numId w:val="32"/>
        </w:numPr>
        <w:spacing w:before="0" w:after="240" w:line="276" w:lineRule="auto"/>
        <w:ind w:left="851"/>
        <w:rPr>
          <w:rStyle w:val="Emphasis"/>
          <w:i w:val="0"/>
          <w:iCs w:val="0"/>
          <w:color w:val="0E101A"/>
          <w:sz w:val="24"/>
          <w:szCs w:val="24"/>
        </w:rPr>
      </w:pPr>
      <w:r>
        <w:rPr>
          <w:rStyle w:val="Emphasis"/>
          <w:i w:val="0"/>
          <w:iCs w:val="0"/>
          <w:color w:val="0E101A"/>
          <w:sz w:val="24"/>
          <w:szCs w:val="24"/>
        </w:rPr>
        <w:t xml:space="preserve">For example, </w:t>
      </w:r>
      <w:r w:rsidRPr="00B22EA6">
        <w:rPr>
          <w:rStyle w:val="Emphasis"/>
          <w:i w:val="0"/>
          <w:iCs w:val="0"/>
          <w:color w:val="0E101A"/>
          <w:sz w:val="24"/>
          <w:szCs w:val="24"/>
        </w:rPr>
        <w:t>benchmarks developed in other jurisdictions</w:t>
      </w:r>
      <w:r w:rsidR="004B2EBC">
        <w:rPr>
          <w:rStyle w:val="Emphasis"/>
          <w:i w:val="0"/>
          <w:iCs w:val="0"/>
          <w:color w:val="0E101A"/>
          <w:sz w:val="24"/>
          <w:szCs w:val="24"/>
        </w:rPr>
        <w:t xml:space="preserve"> with benchmarking schemes</w:t>
      </w:r>
      <w:r w:rsidR="00605E3C">
        <w:rPr>
          <w:rStyle w:val="Emphasis"/>
          <w:i w:val="0"/>
          <w:iCs w:val="0"/>
          <w:color w:val="0E101A"/>
          <w:sz w:val="24"/>
          <w:szCs w:val="24"/>
        </w:rPr>
        <w:t>—</w:t>
      </w:r>
      <w:r w:rsidR="004B2EBC">
        <w:rPr>
          <w:rStyle w:val="Emphasis"/>
          <w:i w:val="0"/>
          <w:iCs w:val="0"/>
          <w:color w:val="0E101A"/>
          <w:sz w:val="24"/>
          <w:szCs w:val="24"/>
        </w:rPr>
        <w:t xml:space="preserve">such as, </w:t>
      </w:r>
      <w:r w:rsidR="00605E3C">
        <w:rPr>
          <w:rStyle w:val="Emphasis"/>
          <w:i w:val="0"/>
          <w:iCs w:val="0"/>
          <w:color w:val="0E101A"/>
          <w:sz w:val="24"/>
          <w:szCs w:val="24"/>
        </w:rPr>
        <w:t>Alberta, British Co</w:t>
      </w:r>
      <w:r w:rsidR="004B2EBC">
        <w:rPr>
          <w:rStyle w:val="Emphasis"/>
          <w:i w:val="0"/>
          <w:iCs w:val="0"/>
          <w:color w:val="0E101A"/>
          <w:sz w:val="24"/>
          <w:szCs w:val="24"/>
        </w:rPr>
        <w:t>lumbia, California and the EU—</w:t>
      </w:r>
      <w:r w:rsidRPr="00B22EA6">
        <w:rPr>
          <w:rStyle w:val="Emphasis"/>
          <w:i w:val="0"/>
          <w:iCs w:val="0"/>
          <w:color w:val="0E101A"/>
          <w:sz w:val="24"/>
          <w:szCs w:val="24"/>
        </w:rPr>
        <w:t>could be considered on a case-by-case basis if they are sufficiently robust and consistent with the approach described in these guidelines.</w:t>
      </w:r>
    </w:p>
    <w:p w14:paraId="1B7A826C" w14:textId="77777777" w:rsidR="00BA5133" w:rsidRPr="006C55B5" w:rsidRDefault="00BA5133" w:rsidP="00681846">
      <w:pPr>
        <w:pStyle w:val="Heading2"/>
      </w:pPr>
      <w:bookmarkStart w:id="15" w:name="_Toc146872821"/>
      <w:r w:rsidRPr="006C55B5">
        <w:rPr>
          <w:rStyle w:val="Emphasis"/>
          <w:i w:val="0"/>
          <w:iCs w:val="0"/>
        </w:rPr>
        <w:t xml:space="preserve">Process for setting </w:t>
      </w:r>
      <w:proofErr w:type="gramStart"/>
      <w:r w:rsidRPr="006C55B5">
        <w:rPr>
          <w:rStyle w:val="Emphasis"/>
          <w:i w:val="0"/>
          <w:iCs w:val="0"/>
        </w:rPr>
        <w:t>benchmarks</w:t>
      </w:r>
      <w:bookmarkEnd w:id="15"/>
      <w:proofErr w:type="gramEnd"/>
    </w:p>
    <w:p w14:paraId="45EA3CDB" w14:textId="50E6807B" w:rsidR="00BA5133" w:rsidRPr="00490529" w:rsidRDefault="00BA5133" w:rsidP="00681846">
      <w:pPr>
        <w:keepNext/>
        <w:rPr>
          <w:sz w:val="24"/>
          <w:szCs w:val="24"/>
        </w:rPr>
      </w:pPr>
      <w:r w:rsidRPr="00490529">
        <w:rPr>
          <w:sz w:val="24"/>
          <w:szCs w:val="24"/>
        </w:rPr>
        <w:t>Adhering to these guidelines, the Department will</w:t>
      </w:r>
      <w:r w:rsidR="00C85912">
        <w:rPr>
          <w:sz w:val="24"/>
          <w:szCs w:val="24"/>
        </w:rPr>
        <w:t>,</w:t>
      </w:r>
      <w:r w:rsidRPr="00490529">
        <w:rPr>
          <w:sz w:val="24"/>
          <w:szCs w:val="24"/>
        </w:rPr>
        <w:t xml:space="preserve"> engag</w:t>
      </w:r>
      <w:r w:rsidR="00C85912">
        <w:rPr>
          <w:sz w:val="24"/>
          <w:szCs w:val="24"/>
        </w:rPr>
        <w:t>ing</w:t>
      </w:r>
      <w:r w:rsidRPr="00490529">
        <w:rPr>
          <w:sz w:val="24"/>
          <w:szCs w:val="24"/>
        </w:rPr>
        <w:t xml:space="preserve"> a consultant</w:t>
      </w:r>
      <w:r w:rsidR="002F1F71">
        <w:rPr>
          <w:sz w:val="24"/>
          <w:szCs w:val="24"/>
        </w:rPr>
        <w:t xml:space="preserve"> </w:t>
      </w:r>
      <w:r w:rsidR="00C85912">
        <w:rPr>
          <w:sz w:val="24"/>
          <w:szCs w:val="24"/>
        </w:rPr>
        <w:t>where relevant</w:t>
      </w:r>
      <w:r w:rsidRPr="00490529">
        <w:rPr>
          <w:sz w:val="24"/>
          <w:szCs w:val="24"/>
        </w:rPr>
        <w:t>:</w:t>
      </w:r>
    </w:p>
    <w:p w14:paraId="462D6C4F" w14:textId="1FD5BF5C" w:rsidR="00BA5133" w:rsidRPr="00490529" w:rsidRDefault="00C364D5" w:rsidP="0033788F">
      <w:pPr>
        <w:pStyle w:val="ListParagraph"/>
        <w:numPr>
          <w:ilvl w:val="0"/>
          <w:numId w:val="16"/>
        </w:numPr>
        <w:spacing w:before="0" w:after="240"/>
        <w:ind w:left="425" w:hanging="425"/>
        <w:rPr>
          <w:color w:val="0E101A"/>
          <w:sz w:val="24"/>
          <w:szCs w:val="24"/>
        </w:rPr>
      </w:pPr>
      <w:r w:rsidRPr="00490529">
        <w:rPr>
          <w:color w:val="0E101A"/>
          <w:sz w:val="24"/>
          <w:szCs w:val="24"/>
        </w:rPr>
        <w:t>I</w:t>
      </w:r>
      <w:r w:rsidR="00BA5133" w:rsidRPr="00490529">
        <w:rPr>
          <w:color w:val="0E101A"/>
          <w:sz w:val="24"/>
          <w:szCs w:val="24"/>
        </w:rPr>
        <w:t>dentify best practice facilities and source suitable production and emissions data for each Safeguard Mechanism production variable.</w:t>
      </w:r>
    </w:p>
    <w:p w14:paraId="53126224" w14:textId="24546F3C" w:rsidR="00BA5133" w:rsidRPr="00490529" w:rsidRDefault="00C364D5" w:rsidP="0033788F">
      <w:pPr>
        <w:pStyle w:val="ListParagraph"/>
        <w:numPr>
          <w:ilvl w:val="0"/>
          <w:numId w:val="16"/>
        </w:numPr>
        <w:spacing w:before="0" w:after="240"/>
        <w:ind w:left="425" w:hanging="425"/>
        <w:rPr>
          <w:color w:val="0E101A"/>
          <w:sz w:val="24"/>
          <w:szCs w:val="24"/>
        </w:rPr>
      </w:pPr>
      <w:r w:rsidRPr="00490529">
        <w:rPr>
          <w:color w:val="0E101A"/>
          <w:sz w:val="24"/>
          <w:szCs w:val="24"/>
        </w:rPr>
        <w:t>S</w:t>
      </w:r>
      <w:r w:rsidR="00BA5133" w:rsidRPr="00490529">
        <w:rPr>
          <w:color w:val="0E101A"/>
          <w:sz w:val="24"/>
          <w:szCs w:val="24"/>
        </w:rPr>
        <w:t xml:space="preserve">crutinise the </w:t>
      </w:r>
      <w:r w:rsidR="0072347A" w:rsidRPr="00490529">
        <w:rPr>
          <w:color w:val="0E101A"/>
          <w:sz w:val="24"/>
          <w:szCs w:val="24"/>
        </w:rPr>
        <w:t>circumstances</w:t>
      </w:r>
      <w:r w:rsidR="00BA5133" w:rsidRPr="00490529">
        <w:rPr>
          <w:color w:val="0E101A"/>
          <w:sz w:val="24"/>
          <w:szCs w:val="24"/>
        </w:rPr>
        <w:t xml:space="preserve"> of the best practice facilities to recommend if an adjustment for Australian conditions is required</w:t>
      </w:r>
      <w:r w:rsidR="00A25AEC" w:rsidRPr="00490529">
        <w:rPr>
          <w:color w:val="0E101A"/>
          <w:sz w:val="24"/>
          <w:szCs w:val="24"/>
        </w:rPr>
        <w:t xml:space="preserve">, and </w:t>
      </w:r>
      <w:r w:rsidR="00A41149" w:rsidRPr="00490529">
        <w:rPr>
          <w:color w:val="0E101A"/>
          <w:sz w:val="24"/>
          <w:szCs w:val="24"/>
        </w:rPr>
        <w:t>i</w:t>
      </w:r>
      <w:r w:rsidR="00BA5133" w:rsidRPr="00490529">
        <w:rPr>
          <w:color w:val="0E101A"/>
          <w:sz w:val="24"/>
          <w:szCs w:val="24"/>
        </w:rPr>
        <w:t xml:space="preserve">f required, justify the </w:t>
      </w:r>
      <w:r w:rsidR="00A25AEC" w:rsidRPr="00490529">
        <w:rPr>
          <w:color w:val="0E101A"/>
          <w:sz w:val="24"/>
          <w:szCs w:val="24"/>
        </w:rPr>
        <w:t xml:space="preserve">adjustment </w:t>
      </w:r>
      <w:r w:rsidR="00BA5133" w:rsidRPr="00490529">
        <w:rPr>
          <w:color w:val="0E101A"/>
          <w:sz w:val="24"/>
          <w:szCs w:val="24"/>
        </w:rPr>
        <w:t xml:space="preserve">approach and perform the adjustment. </w:t>
      </w:r>
    </w:p>
    <w:p w14:paraId="034BE296" w14:textId="594BF913" w:rsidR="00BA5133" w:rsidRPr="00490529" w:rsidRDefault="00BA5133" w:rsidP="00BA5133">
      <w:pPr>
        <w:rPr>
          <w:color w:val="0E101A"/>
          <w:sz w:val="24"/>
          <w:szCs w:val="24"/>
        </w:rPr>
      </w:pPr>
      <w:r w:rsidRPr="00490529">
        <w:rPr>
          <w:color w:val="0E101A"/>
          <w:sz w:val="24"/>
          <w:szCs w:val="24"/>
        </w:rPr>
        <w:t>In parallel, the Department will calculate the domestic top</w:t>
      </w:r>
      <w:r w:rsidR="0006121D" w:rsidRPr="00490529">
        <w:rPr>
          <w:color w:val="0E101A"/>
          <w:sz w:val="24"/>
          <w:szCs w:val="24"/>
        </w:rPr>
        <w:t xml:space="preserve"> </w:t>
      </w:r>
      <w:r w:rsidRPr="00490529">
        <w:rPr>
          <w:color w:val="0E101A"/>
          <w:sz w:val="24"/>
          <w:szCs w:val="24"/>
        </w:rPr>
        <w:t>10</w:t>
      </w:r>
      <w:r w:rsidR="0006121D" w:rsidRPr="00490529">
        <w:rPr>
          <w:color w:val="0E101A"/>
          <w:sz w:val="24"/>
          <w:szCs w:val="24"/>
        </w:rPr>
        <w:t xml:space="preserve"> per cent</w:t>
      </w:r>
      <w:r w:rsidRPr="00490529">
        <w:rPr>
          <w:color w:val="0E101A"/>
          <w:sz w:val="24"/>
          <w:szCs w:val="24"/>
        </w:rPr>
        <w:t xml:space="preserve"> best practice emissions intensity and </w:t>
      </w:r>
      <w:r w:rsidR="00220C34">
        <w:rPr>
          <w:color w:val="0E101A"/>
          <w:sz w:val="24"/>
          <w:szCs w:val="24"/>
        </w:rPr>
        <w:t>undertake</w:t>
      </w:r>
      <w:r w:rsidR="00220C34" w:rsidRPr="00490529">
        <w:rPr>
          <w:color w:val="0E101A"/>
          <w:sz w:val="24"/>
          <w:szCs w:val="24"/>
        </w:rPr>
        <w:t xml:space="preserve"> </w:t>
      </w:r>
      <w:r w:rsidRPr="00490529">
        <w:rPr>
          <w:color w:val="0E101A"/>
          <w:sz w:val="24"/>
          <w:szCs w:val="24"/>
        </w:rPr>
        <w:t>a</w:t>
      </w:r>
      <w:r w:rsidR="00C85912">
        <w:rPr>
          <w:color w:val="0E101A"/>
          <w:sz w:val="24"/>
          <w:szCs w:val="24"/>
        </w:rPr>
        <w:t xml:space="preserve"> </w:t>
      </w:r>
      <w:r w:rsidRPr="00490529">
        <w:rPr>
          <w:color w:val="0E101A"/>
          <w:sz w:val="24"/>
          <w:szCs w:val="24"/>
        </w:rPr>
        <w:t>peer review of these calculations. These emissions intensity values will be a ceiling for the best practice benchmark.</w:t>
      </w:r>
    </w:p>
    <w:p w14:paraId="1140505D" w14:textId="165D49FF" w:rsidR="00BA5133" w:rsidRPr="00490529" w:rsidRDefault="00BA5133" w:rsidP="00BA5133">
      <w:pPr>
        <w:rPr>
          <w:color w:val="0E101A"/>
          <w:sz w:val="24"/>
          <w:szCs w:val="24"/>
        </w:rPr>
      </w:pPr>
      <w:r w:rsidRPr="00490529">
        <w:rPr>
          <w:color w:val="0E101A"/>
          <w:sz w:val="24"/>
          <w:szCs w:val="24"/>
        </w:rPr>
        <w:t>The Department will compare the domestic top</w:t>
      </w:r>
      <w:r w:rsidR="0006121D" w:rsidRPr="00490529">
        <w:rPr>
          <w:color w:val="0E101A"/>
          <w:sz w:val="24"/>
          <w:szCs w:val="24"/>
        </w:rPr>
        <w:t xml:space="preserve"> </w:t>
      </w:r>
      <w:r w:rsidRPr="00490529">
        <w:rPr>
          <w:color w:val="0E101A"/>
          <w:sz w:val="24"/>
          <w:szCs w:val="24"/>
        </w:rPr>
        <w:t>10</w:t>
      </w:r>
      <w:r w:rsidR="0006121D" w:rsidRPr="00490529">
        <w:rPr>
          <w:color w:val="0E101A"/>
          <w:sz w:val="24"/>
          <w:szCs w:val="24"/>
        </w:rPr>
        <w:t xml:space="preserve"> per cent</w:t>
      </w:r>
      <w:r w:rsidRPr="00490529">
        <w:rPr>
          <w:color w:val="0E101A"/>
          <w:sz w:val="24"/>
          <w:szCs w:val="24"/>
        </w:rPr>
        <w:t xml:space="preserve"> best practice emissions intensity to the best practice benchmarks and select the lowest value.</w:t>
      </w:r>
    </w:p>
    <w:p w14:paraId="6B57B848" w14:textId="629BF304" w:rsidR="00BA5133" w:rsidRPr="00490529" w:rsidRDefault="00BA5133" w:rsidP="00BA5133">
      <w:pPr>
        <w:rPr>
          <w:color w:val="0E101A"/>
          <w:sz w:val="24"/>
          <w:szCs w:val="24"/>
        </w:rPr>
      </w:pPr>
      <w:r w:rsidRPr="00490529">
        <w:rPr>
          <w:color w:val="0E101A"/>
          <w:sz w:val="24"/>
          <w:szCs w:val="24"/>
        </w:rPr>
        <w:t xml:space="preserve">The Department will draft an amendment to insert </w:t>
      </w:r>
      <w:r w:rsidR="00F97129">
        <w:rPr>
          <w:color w:val="0E101A"/>
          <w:sz w:val="24"/>
          <w:szCs w:val="24"/>
        </w:rPr>
        <w:t>the</w:t>
      </w:r>
      <w:r w:rsidRPr="00490529">
        <w:rPr>
          <w:color w:val="0E101A"/>
          <w:sz w:val="24"/>
          <w:szCs w:val="24"/>
        </w:rPr>
        <w:t xml:space="preserve"> benchmarks into Schedule 1 of the Safeguard Rule and release an exposure draft and explanatory document for public consultation.</w:t>
      </w:r>
      <w:r w:rsidR="008526F2" w:rsidRPr="00490529">
        <w:rPr>
          <w:color w:val="0E101A"/>
          <w:sz w:val="24"/>
          <w:szCs w:val="24"/>
        </w:rPr>
        <w:t xml:space="preserve"> </w:t>
      </w:r>
      <w:r w:rsidR="00C63455" w:rsidRPr="00490529">
        <w:rPr>
          <w:color w:val="0E101A"/>
          <w:sz w:val="24"/>
          <w:szCs w:val="24"/>
        </w:rPr>
        <w:t>Legislation for t</w:t>
      </w:r>
      <w:r w:rsidR="008526F2" w:rsidRPr="00490529">
        <w:rPr>
          <w:color w:val="0E101A"/>
          <w:sz w:val="24"/>
          <w:szCs w:val="24"/>
        </w:rPr>
        <w:t xml:space="preserve">he first set of amendments will be </w:t>
      </w:r>
      <w:r w:rsidR="00C63455" w:rsidRPr="00490529">
        <w:rPr>
          <w:color w:val="0E101A"/>
          <w:sz w:val="24"/>
          <w:szCs w:val="24"/>
        </w:rPr>
        <w:t>consulted on</w:t>
      </w:r>
      <w:r w:rsidR="008526F2" w:rsidRPr="00490529">
        <w:rPr>
          <w:color w:val="0E101A"/>
          <w:sz w:val="24"/>
          <w:szCs w:val="24"/>
        </w:rPr>
        <w:t xml:space="preserve"> </w:t>
      </w:r>
      <w:r w:rsidR="00EE575B" w:rsidRPr="00490529">
        <w:rPr>
          <w:color w:val="0E101A"/>
          <w:sz w:val="24"/>
          <w:szCs w:val="24"/>
        </w:rPr>
        <w:t>in late 2023.</w:t>
      </w:r>
    </w:p>
    <w:p w14:paraId="1F45915A" w14:textId="53C7938D" w:rsidR="00BA5133" w:rsidRPr="00490529" w:rsidRDefault="00BA5133" w:rsidP="00BA5133">
      <w:pPr>
        <w:rPr>
          <w:color w:val="0E101A"/>
          <w:sz w:val="24"/>
          <w:szCs w:val="24"/>
        </w:rPr>
      </w:pPr>
      <w:r w:rsidRPr="00490529">
        <w:rPr>
          <w:color w:val="0E101A"/>
          <w:sz w:val="24"/>
          <w:szCs w:val="24"/>
        </w:rPr>
        <w:t>The explanatory document will include details of the process followed compared to these guidelines, any adjustments for Australian conditions (while protecting the confidentiality of facility-level data), and if the values were based on domestic top</w:t>
      </w:r>
      <w:r w:rsidR="0006121D" w:rsidRPr="00490529">
        <w:rPr>
          <w:color w:val="0E101A"/>
          <w:sz w:val="24"/>
          <w:szCs w:val="24"/>
        </w:rPr>
        <w:t xml:space="preserve"> </w:t>
      </w:r>
      <w:r w:rsidRPr="00490529">
        <w:rPr>
          <w:color w:val="0E101A"/>
          <w:sz w:val="24"/>
          <w:szCs w:val="24"/>
        </w:rPr>
        <w:t>10</w:t>
      </w:r>
      <w:r w:rsidR="0006121D" w:rsidRPr="00490529">
        <w:rPr>
          <w:color w:val="0E101A"/>
          <w:sz w:val="24"/>
          <w:szCs w:val="24"/>
        </w:rPr>
        <w:t xml:space="preserve"> per cent</w:t>
      </w:r>
      <w:r w:rsidRPr="00490529">
        <w:rPr>
          <w:color w:val="0E101A"/>
          <w:sz w:val="24"/>
          <w:szCs w:val="24"/>
        </w:rPr>
        <w:t xml:space="preserve"> best practice performance. The names and data of relevant facilities will be kept confidential.</w:t>
      </w:r>
    </w:p>
    <w:p w14:paraId="4AE5F273" w14:textId="56C367C5" w:rsidR="00BA5133" w:rsidRPr="00490529" w:rsidRDefault="00BA5133" w:rsidP="00BA5133">
      <w:pPr>
        <w:rPr>
          <w:color w:val="0E101A"/>
          <w:sz w:val="24"/>
          <w:szCs w:val="24"/>
        </w:rPr>
      </w:pPr>
      <w:r w:rsidRPr="00490529">
        <w:rPr>
          <w:color w:val="0E101A"/>
          <w:sz w:val="24"/>
          <w:szCs w:val="24"/>
        </w:rPr>
        <w:t xml:space="preserve">The Minister for Climate Change </w:t>
      </w:r>
      <w:r w:rsidR="004E0C11" w:rsidRPr="00490529">
        <w:rPr>
          <w:color w:val="0E101A"/>
          <w:sz w:val="24"/>
          <w:szCs w:val="24"/>
        </w:rPr>
        <w:t>and Energy</w:t>
      </w:r>
      <w:r w:rsidRPr="00490529">
        <w:rPr>
          <w:color w:val="0E101A"/>
          <w:sz w:val="24"/>
          <w:szCs w:val="24"/>
        </w:rPr>
        <w:t xml:space="preserve"> will consider and if satisfied make the amendment to the Safeguard Rule to legislate the benchmark values. </w:t>
      </w:r>
    </w:p>
    <w:p w14:paraId="67E738F0" w14:textId="77777777" w:rsidR="007E7051" w:rsidRPr="00DF2F30" w:rsidRDefault="007E7051" w:rsidP="006705EA">
      <w:pPr>
        <w:pStyle w:val="Heading3"/>
        <w:rPr>
          <w:rStyle w:val="Emphasis"/>
          <w:i w:val="0"/>
          <w:iCs w:val="0"/>
          <w:color w:val="1F497D" w:themeColor="text2"/>
          <w:sz w:val="24"/>
          <w:szCs w:val="24"/>
        </w:rPr>
      </w:pPr>
      <w:bookmarkStart w:id="16" w:name="_Toc146872822"/>
      <w:r w:rsidRPr="00DF2F30">
        <w:rPr>
          <w:rStyle w:val="Emphasis"/>
          <w:i w:val="0"/>
          <w:iCs w:val="0"/>
          <w:color w:val="1F497D" w:themeColor="text2"/>
          <w:sz w:val="24"/>
          <w:szCs w:val="24"/>
        </w:rPr>
        <w:lastRenderedPageBreak/>
        <w:t>Timing</w:t>
      </w:r>
      <w:bookmarkEnd w:id="16"/>
      <w:r w:rsidRPr="00DF2F30">
        <w:rPr>
          <w:rStyle w:val="Emphasis"/>
          <w:i w:val="0"/>
          <w:iCs w:val="0"/>
          <w:color w:val="1F497D" w:themeColor="text2"/>
          <w:sz w:val="24"/>
          <w:szCs w:val="24"/>
        </w:rPr>
        <w:t> </w:t>
      </w:r>
    </w:p>
    <w:p w14:paraId="4B3194AC" w14:textId="285A7361" w:rsidR="00DC27F7" w:rsidRPr="00F7603A" w:rsidRDefault="00DF1639" w:rsidP="006705EA">
      <w:pPr>
        <w:pStyle w:val="paragraph"/>
        <w:keepNext/>
        <w:keepLines/>
        <w:spacing w:before="0" w:beforeAutospacing="0" w:after="240" w:afterAutospacing="0" w:line="276" w:lineRule="auto"/>
        <w:textAlignment w:val="baseline"/>
        <w:rPr>
          <w:rStyle w:val="normaltextrun"/>
          <w:rFonts w:ascii="Calibri" w:hAnsi="Calibri" w:cs="Calibri"/>
          <w:color w:val="0E101A"/>
        </w:rPr>
      </w:pPr>
      <w:r w:rsidRPr="00F7603A">
        <w:rPr>
          <w:rStyle w:val="normaltextrun"/>
          <w:rFonts w:ascii="Calibri" w:hAnsi="Calibri" w:cs="Calibri"/>
          <w:color w:val="0E101A"/>
        </w:rPr>
        <w:t>T</w:t>
      </w:r>
      <w:r w:rsidR="007E7051" w:rsidRPr="00F7603A">
        <w:rPr>
          <w:rStyle w:val="normaltextrun"/>
          <w:rFonts w:ascii="Calibri" w:hAnsi="Calibri" w:cs="Calibri"/>
          <w:color w:val="0E101A"/>
        </w:rPr>
        <w:t>he Government will aim to l</w:t>
      </w:r>
      <w:r w:rsidR="00DC27F7" w:rsidRPr="00F7603A">
        <w:rPr>
          <w:rStyle w:val="normaltextrun"/>
          <w:rFonts w:ascii="Calibri" w:hAnsi="Calibri" w:cs="Calibri"/>
          <w:color w:val="0E101A"/>
        </w:rPr>
        <w:t>egislate best practice benchmarks for existing production variables in the following two tranches during 2023/24:</w:t>
      </w:r>
    </w:p>
    <w:p w14:paraId="30FB3C5F" w14:textId="77F1F063" w:rsidR="00C27810" w:rsidRPr="00C27810" w:rsidRDefault="00811462" w:rsidP="00F7603A">
      <w:pPr>
        <w:pStyle w:val="paragraph"/>
        <w:numPr>
          <w:ilvl w:val="0"/>
          <w:numId w:val="35"/>
        </w:numPr>
        <w:spacing w:before="0" w:beforeAutospacing="0" w:after="240" w:afterAutospacing="0" w:line="276" w:lineRule="auto"/>
        <w:ind w:left="426" w:hanging="426"/>
        <w:textAlignment w:val="baseline"/>
        <w:rPr>
          <w:rStyle w:val="normaltextrun"/>
        </w:rPr>
      </w:pPr>
      <w:r>
        <w:rPr>
          <w:rStyle w:val="normaltextrun"/>
          <w:rFonts w:ascii="Calibri" w:hAnsi="Calibri" w:cs="Calibri"/>
          <w:b/>
          <w:bCs/>
          <w:color w:val="0E101A"/>
        </w:rPr>
        <w:t>Early</w:t>
      </w:r>
      <w:r w:rsidR="00DC27F7" w:rsidRPr="00F7603A">
        <w:rPr>
          <w:rStyle w:val="normaltextrun"/>
          <w:rFonts w:ascii="Calibri" w:hAnsi="Calibri" w:cs="Calibri"/>
          <w:b/>
          <w:bCs/>
          <w:color w:val="0E101A"/>
        </w:rPr>
        <w:t xml:space="preserve"> 202</w:t>
      </w:r>
      <w:r>
        <w:rPr>
          <w:rStyle w:val="normaltextrun"/>
          <w:rFonts w:ascii="Calibri" w:hAnsi="Calibri" w:cs="Calibri"/>
          <w:b/>
          <w:bCs/>
          <w:color w:val="0E101A"/>
        </w:rPr>
        <w:t>4</w:t>
      </w:r>
      <w:r w:rsidR="00DC27F7" w:rsidRPr="00F7603A">
        <w:rPr>
          <w:rStyle w:val="normaltextrun"/>
          <w:rFonts w:ascii="Calibri" w:hAnsi="Calibri" w:cs="Calibri"/>
          <w:color w:val="0E101A"/>
        </w:rPr>
        <w:t xml:space="preserve">: </w:t>
      </w:r>
      <w:r w:rsidR="00F56E55">
        <w:rPr>
          <w:rStyle w:val="normaltextrun"/>
          <w:rFonts w:ascii="Calibri" w:hAnsi="Calibri" w:cs="Calibri"/>
          <w:color w:val="0E101A"/>
        </w:rPr>
        <w:t xml:space="preserve">the </w:t>
      </w:r>
      <w:r w:rsidR="00DF1639" w:rsidRPr="00F7603A">
        <w:rPr>
          <w:rStyle w:val="normaltextrun"/>
          <w:rFonts w:ascii="Calibri" w:hAnsi="Calibri" w:cs="Calibri"/>
          <w:color w:val="0E101A"/>
        </w:rPr>
        <w:t xml:space="preserve">first tranche </w:t>
      </w:r>
      <w:r w:rsidR="00DC27F7" w:rsidRPr="00F7603A">
        <w:rPr>
          <w:rStyle w:val="normaltextrun"/>
          <w:rFonts w:ascii="Calibri" w:hAnsi="Calibri" w:cs="Calibri"/>
          <w:color w:val="0E101A"/>
        </w:rPr>
        <w:t xml:space="preserve">will </w:t>
      </w:r>
      <w:r w:rsidR="00C0556A" w:rsidRPr="00F7603A">
        <w:rPr>
          <w:rStyle w:val="normaltextrun"/>
          <w:rFonts w:ascii="Calibri" w:hAnsi="Calibri" w:cs="Calibri"/>
          <w:color w:val="0E101A"/>
        </w:rPr>
        <w:t xml:space="preserve">include </w:t>
      </w:r>
      <w:r w:rsidR="00DF1639" w:rsidRPr="00F7603A">
        <w:rPr>
          <w:rStyle w:val="normaltextrun"/>
          <w:rFonts w:ascii="Calibri" w:hAnsi="Calibri" w:cs="Calibri"/>
          <w:color w:val="0E101A"/>
        </w:rPr>
        <w:t>priority production variables</w:t>
      </w:r>
      <w:r w:rsidR="008B0203">
        <w:rPr>
          <w:rStyle w:val="normaltextrun"/>
          <w:rFonts w:ascii="Calibri" w:hAnsi="Calibri" w:cs="Calibri"/>
          <w:color w:val="0E101A"/>
        </w:rPr>
        <w:t xml:space="preserve"> (</w:t>
      </w:r>
      <w:r w:rsidR="005F73A0">
        <w:rPr>
          <w:rStyle w:val="normaltextrun"/>
          <w:rFonts w:ascii="Calibri" w:hAnsi="Calibri" w:cs="Calibri"/>
          <w:color w:val="0E101A"/>
        </w:rPr>
        <w:t>some are expected</w:t>
      </w:r>
      <w:r w:rsidR="00DF1639" w:rsidRPr="00F7603A">
        <w:rPr>
          <w:rStyle w:val="normaltextrun"/>
          <w:rFonts w:ascii="Calibri" w:hAnsi="Calibri" w:cs="Calibri"/>
          <w:color w:val="0E101A"/>
        </w:rPr>
        <w:t xml:space="preserve"> to be needed </w:t>
      </w:r>
      <w:r w:rsidR="00603481">
        <w:rPr>
          <w:rStyle w:val="normaltextrun"/>
          <w:rFonts w:ascii="Calibri" w:hAnsi="Calibri" w:cs="Calibri"/>
          <w:color w:val="0E101A"/>
        </w:rPr>
        <w:t xml:space="preserve">for </w:t>
      </w:r>
      <w:r w:rsidR="008B0203">
        <w:rPr>
          <w:rStyle w:val="normaltextrun"/>
          <w:rFonts w:ascii="Calibri" w:hAnsi="Calibri" w:cs="Calibri"/>
          <w:color w:val="0E101A"/>
        </w:rPr>
        <w:t xml:space="preserve">calculating </w:t>
      </w:r>
      <w:r w:rsidR="00603481">
        <w:rPr>
          <w:rStyle w:val="normaltextrun"/>
          <w:rFonts w:ascii="Calibri" w:hAnsi="Calibri" w:cs="Calibri"/>
          <w:color w:val="0E101A"/>
        </w:rPr>
        <w:t>facilit</w:t>
      </w:r>
      <w:r w:rsidR="008B0203">
        <w:rPr>
          <w:rStyle w:val="normaltextrun"/>
          <w:rFonts w:ascii="Calibri" w:hAnsi="Calibri" w:cs="Calibri"/>
          <w:color w:val="0E101A"/>
        </w:rPr>
        <w:t>y baselines</w:t>
      </w:r>
      <w:r w:rsidR="00603481">
        <w:rPr>
          <w:rStyle w:val="normaltextrun"/>
          <w:rFonts w:ascii="Calibri" w:hAnsi="Calibri" w:cs="Calibri"/>
          <w:color w:val="0E101A"/>
        </w:rPr>
        <w:t xml:space="preserve"> in</w:t>
      </w:r>
      <w:r w:rsidR="00DF1639" w:rsidRPr="00F7603A">
        <w:rPr>
          <w:rStyle w:val="normaltextrun"/>
          <w:rFonts w:ascii="Calibri" w:hAnsi="Calibri" w:cs="Calibri"/>
          <w:color w:val="0E101A"/>
        </w:rPr>
        <w:t xml:space="preserve"> 2023-24</w:t>
      </w:r>
      <w:r w:rsidR="008B0203">
        <w:rPr>
          <w:rStyle w:val="normaltextrun"/>
          <w:rFonts w:ascii="Calibri" w:hAnsi="Calibri" w:cs="Calibri"/>
          <w:color w:val="0E101A"/>
        </w:rPr>
        <w:t>)</w:t>
      </w:r>
      <w:r w:rsidR="00DF1639" w:rsidRPr="00F7603A">
        <w:rPr>
          <w:rStyle w:val="normaltextrun"/>
          <w:rFonts w:ascii="Calibri" w:hAnsi="Calibri" w:cs="Calibri"/>
          <w:color w:val="0E101A"/>
        </w:rPr>
        <w:t xml:space="preserve">, </w:t>
      </w:r>
      <w:r w:rsidR="00C27810">
        <w:rPr>
          <w:rStyle w:val="normaltextrun"/>
          <w:rFonts w:ascii="Calibri" w:hAnsi="Calibri" w:cs="Calibri"/>
          <w:color w:val="0E101A"/>
        </w:rPr>
        <w:t>including</w:t>
      </w:r>
      <w:r w:rsidR="00780BD7">
        <w:rPr>
          <w:rStyle w:val="normaltextrun"/>
          <w:rFonts w:ascii="Calibri" w:hAnsi="Calibri" w:cs="Calibri"/>
          <w:color w:val="0E101A"/>
        </w:rPr>
        <w:t xml:space="preserve"> on-site electricity, </w:t>
      </w:r>
      <w:r w:rsidR="00CA0E23">
        <w:rPr>
          <w:rStyle w:val="normaltextrun"/>
          <w:rFonts w:ascii="Calibri" w:hAnsi="Calibri" w:cs="Calibri"/>
          <w:color w:val="0E101A"/>
        </w:rPr>
        <w:t xml:space="preserve">run-of-mine </w:t>
      </w:r>
      <w:r w:rsidR="00780BD7">
        <w:rPr>
          <w:rStyle w:val="normaltextrun"/>
          <w:rFonts w:ascii="Calibri" w:hAnsi="Calibri" w:cs="Calibri"/>
          <w:color w:val="0E101A"/>
        </w:rPr>
        <w:t xml:space="preserve">coal, </w:t>
      </w:r>
      <w:r w:rsidR="00CA0E23">
        <w:rPr>
          <w:rStyle w:val="normaltextrun"/>
          <w:rFonts w:ascii="Calibri" w:hAnsi="Calibri" w:cs="Calibri"/>
          <w:color w:val="0E101A"/>
        </w:rPr>
        <w:t xml:space="preserve">run-of-mine </w:t>
      </w:r>
      <w:r w:rsidR="00780BD7">
        <w:rPr>
          <w:rStyle w:val="normaltextrun"/>
          <w:rFonts w:ascii="Calibri" w:hAnsi="Calibri" w:cs="Calibri"/>
          <w:color w:val="0E101A"/>
        </w:rPr>
        <w:t>metal ore</w:t>
      </w:r>
      <w:r w:rsidR="00CA0E23">
        <w:rPr>
          <w:rStyle w:val="normaltextrun"/>
          <w:rFonts w:ascii="Calibri" w:hAnsi="Calibri" w:cs="Calibri"/>
          <w:color w:val="0E101A"/>
        </w:rPr>
        <w:t xml:space="preserve">, </w:t>
      </w:r>
      <w:r w:rsidR="00780BD7">
        <w:rPr>
          <w:rStyle w:val="normaltextrun"/>
          <w:rFonts w:ascii="Calibri" w:hAnsi="Calibri" w:cs="Calibri"/>
          <w:color w:val="0E101A"/>
        </w:rPr>
        <w:t xml:space="preserve">iron ore, oil and gas, </w:t>
      </w:r>
      <w:r w:rsidR="00FD6DEE">
        <w:rPr>
          <w:rStyle w:val="normaltextrun"/>
          <w:rFonts w:ascii="Calibri" w:hAnsi="Calibri" w:cs="Calibri"/>
          <w:color w:val="0E101A"/>
        </w:rPr>
        <w:t>primary</w:t>
      </w:r>
      <w:r w:rsidR="00780BD7">
        <w:rPr>
          <w:rStyle w:val="normaltextrun"/>
          <w:rFonts w:ascii="Calibri" w:hAnsi="Calibri" w:cs="Calibri"/>
          <w:color w:val="0E101A"/>
        </w:rPr>
        <w:t xml:space="preserve"> iron</w:t>
      </w:r>
      <w:r w:rsidR="006116EC">
        <w:rPr>
          <w:rStyle w:val="normaltextrun"/>
          <w:rFonts w:ascii="Calibri" w:hAnsi="Calibri" w:cs="Calibri"/>
          <w:color w:val="0E101A"/>
        </w:rPr>
        <w:t>, lithium hydroxide, bulk road freight transport</w:t>
      </w:r>
      <w:r w:rsidR="00780BD7">
        <w:rPr>
          <w:rStyle w:val="normaltextrun"/>
          <w:rFonts w:ascii="Calibri" w:hAnsi="Calibri" w:cs="Calibri"/>
          <w:color w:val="0E101A"/>
        </w:rPr>
        <w:t xml:space="preserve"> and hydrogen.</w:t>
      </w:r>
    </w:p>
    <w:p w14:paraId="2784486E" w14:textId="02A2BB3B" w:rsidR="00F7042A" w:rsidRPr="00857A0F" w:rsidRDefault="00C0556A" w:rsidP="00F7603A">
      <w:pPr>
        <w:pStyle w:val="paragraph"/>
        <w:numPr>
          <w:ilvl w:val="0"/>
          <w:numId w:val="35"/>
        </w:numPr>
        <w:spacing w:before="0" w:beforeAutospacing="0" w:after="240" w:afterAutospacing="0" w:line="276" w:lineRule="auto"/>
        <w:ind w:left="426" w:hanging="426"/>
        <w:textAlignment w:val="baseline"/>
        <w:rPr>
          <w:rStyle w:val="normaltextrun"/>
        </w:rPr>
      </w:pPr>
      <w:r w:rsidRPr="00F7603A">
        <w:rPr>
          <w:rStyle w:val="normaltextrun"/>
          <w:rFonts w:ascii="Calibri" w:hAnsi="Calibri" w:cs="Calibri"/>
          <w:b/>
          <w:bCs/>
          <w:color w:val="0E101A"/>
        </w:rPr>
        <w:t>May 2024</w:t>
      </w:r>
      <w:r w:rsidRPr="00F7603A">
        <w:rPr>
          <w:rStyle w:val="normaltextrun"/>
          <w:rFonts w:ascii="Calibri" w:hAnsi="Calibri" w:cs="Calibri"/>
          <w:color w:val="0E101A"/>
        </w:rPr>
        <w:t xml:space="preserve">: </w:t>
      </w:r>
      <w:r w:rsidR="00F56E55">
        <w:rPr>
          <w:rStyle w:val="normaltextrun"/>
          <w:rFonts w:ascii="Calibri" w:hAnsi="Calibri" w:cs="Calibri"/>
          <w:color w:val="0E101A"/>
        </w:rPr>
        <w:t xml:space="preserve">the </w:t>
      </w:r>
      <w:r w:rsidRPr="00F7603A">
        <w:rPr>
          <w:rStyle w:val="normaltextrun"/>
          <w:rFonts w:ascii="Calibri" w:hAnsi="Calibri" w:cs="Calibri"/>
          <w:color w:val="0E101A"/>
        </w:rPr>
        <w:t>second tranche will include the r</w:t>
      </w:r>
      <w:r w:rsidR="0090310A" w:rsidRPr="00F7603A">
        <w:rPr>
          <w:rStyle w:val="normaltextrun"/>
          <w:rFonts w:ascii="Calibri" w:hAnsi="Calibri" w:cs="Calibri"/>
          <w:color w:val="0E101A"/>
        </w:rPr>
        <w:t xml:space="preserve">emaining benchmarks for </w:t>
      </w:r>
      <w:r w:rsidR="006C1BF2">
        <w:rPr>
          <w:rStyle w:val="normaltextrun"/>
          <w:rFonts w:ascii="Calibri" w:hAnsi="Calibri" w:cs="Calibri"/>
          <w:color w:val="0E101A"/>
        </w:rPr>
        <w:t>expected new product or</w:t>
      </w:r>
      <w:r w:rsidR="0090310A" w:rsidRPr="00F7603A">
        <w:rPr>
          <w:rStyle w:val="normaltextrun"/>
          <w:rFonts w:ascii="Calibri" w:hAnsi="Calibri" w:cs="Calibri"/>
          <w:color w:val="0E101A"/>
        </w:rPr>
        <w:t xml:space="preserve"> facilities</w:t>
      </w:r>
      <w:r w:rsidR="00AB5630">
        <w:rPr>
          <w:rStyle w:val="normaltextrun"/>
          <w:rFonts w:ascii="Calibri" w:hAnsi="Calibri" w:cs="Calibri"/>
          <w:color w:val="0E101A"/>
        </w:rPr>
        <w:t xml:space="preserve">, including </w:t>
      </w:r>
      <w:r w:rsidR="00F600F5">
        <w:rPr>
          <w:rStyle w:val="normaltextrun"/>
          <w:rFonts w:ascii="Calibri" w:hAnsi="Calibri" w:cs="Calibri"/>
          <w:color w:val="0E101A"/>
        </w:rPr>
        <w:t>in</w:t>
      </w:r>
      <w:r w:rsidR="00AB5630">
        <w:rPr>
          <w:rStyle w:val="normaltextrun"/>
          <w:rFonts w:ascii="Calibri" w:hAnsi="Calibri" w:cs="Calibri"/>
          <w:color w:val="0E101A"/>
        </w:rPr>
        <w:t xml:space="preserve"> fertilizer, </w:t>
      </w:r>
      <w:r w:rsidR="00FD6DEE">
        <w:rPr>
          <w:rStyle w:val="normaltextrun"/>
          <w:rFonts w:ascii="Calibri" w:hAnsi="Calibri" w:cs="Calibri"/>
          <w:color w:val="0E101A"/>
        </w:rPr>
        <w:t>renewable fuels,</w:t>
      </w:r>
      <w:r w:rsidR="00D16280">
        <w:rPr>
          <w:rStyle w:val="normaltextrun"/>
          <w:rFonts w:ascii="Calibri" w:hAnsi="Calibri" w:cs="Calibri"/>
          <w:color w:val="0E101A"/>
        </w:rPr>
        <w:t xml:space="preserve"> </w:t>
      </w:r>
      <w:r w:rsidR="00AB5630">
        <w:rPr>
          <w:rStyle w:val="normaltextrun"/>
          <w:rFonts w:ascii="Calibri" w:hAnsi="Calibri" w:cs="Calibri"/>
          <w:color w:val="0E101A"/>
        </w:rPr>
        <w:t xml:space="preserve">mining, metal and natural gas </w:t>
      </w:r>
      <w:r w:rsidR="00513B7C">
        <w:rPr>
          <w:rStyle w:val="normaltextrun"/>
          <w:rFonts w:ascii="Calibri" w:hAnsi="Calibri" w:cs="Calibri"/>
          <w:color w:val="0E101A"/>
        </w:rPr>
        <w:t>transmission sectors</w:t>
      </w:r>
      <w:r w:rsidR="00AB5630">
        <w:rPr>
          <w:rStyle w:val="normaltextrun"/>
          <w:rFonts w:ascii="Calibri" w:hAnsi="Calibri" w:cs="Calibri"/>
          <w:color w:val="0E101A"/>
        </w:rPr>
        <w:t>.</w:t>
      </w:r>
      <w:r w:rsidR="008C5136">
        <w:rPr>
          <w:rStyle w:val="normaltextrun"/>
          <w:rFonts w:ascii="Calibri" w:hAnsi="Calibri" w:cs="Calibri"/>
          <w:color w:val="0E101A"/>
        </w:rPr>
        <w:t xml:space="preserve"> These international best practice benchmarks </w:t>
      </w:r>
      <w:r w:rsidR="0090310A" w:rsidRPr="00F7603A">
        <w:rPr>
          <w:rStyle w:val="normaltextrun"/>
          <w:rFonts w:ascii="Calibri" w:hAnsi="Calibri" w:cs="Calibri"/>
          <w:color w:val="0E101A"/>
        </w:rPr>
        <w:t xml:space="preserve">will be published in May 2024.  </w:t>
      </w:r>
    </w:p>
    <w:p w14:paraId="69C79F87" w14:textId="4235F5D1" w:rsidR="00684308" w:rsidRPr="00F7603A" w:rsidRDefault="00684308" w:rsidP="00684308">
      <w:pPr>
        <w:pStyle w:val="paragraph"/>
        <w:spacing w:before="0" w:beforeAutospacing="0" w:after="240" w:afterAutospacing="0" w:line="276" w:lineRule="auto"/>
        <w:textAlignment w:val="baseline"/>
        <w:rPr>
          <w:rStyle w:val="normaltextrun"/>
          <w:rFonts w:ascii="Calibri" w:hAnsi="Calibri" w:cs="Calibri"/>
          <w:color w:val="0E101A"/>
        </w:rPr>
      </w:pPr>
      <w:r>
        <w:rPr>
          <w:rStyle w:val="normaltextrun"/>
          <w:rFonts w:ascii="Calibri" w:hAnsi="Calibri" w:cs="Calibri"/>
          <w:color w:val="0E101A"/>
        </w:rPr>
        <w:t xml:space="preserve">Additional production variables will be needed over time </w:t>
      </w:r>
      <w:r w:rsidR="00A14A39">
        <w:rPr>
          <w:rStyle w:val="normaltextrun"/>
          <w:rFonts w:ascii="Calibri" w:hAnsi="Calibri" w:cs="Calibri"/>
          <w:color w:val="0E101A"/>
        </w:rPr>
        <w:t>when</w:t>
      </w:r>
      <w:r>
        <w:rPr>
          <w:rStyle w:val="normaltextrun"/>
          <w:rFonts w:ascii="Calibri" w:hAnsi="Calibri" w:cs="Calibri"/>
          <w:color w:val="0E101A"/>
        </w:rPr>
        <w:t xml:space="preserve"> new </w:t>
      </w:r>
      <w:r w:rsidR="000713A8">
        <w:rPr>
          <w:rStyle w:val="normaltextrun"/>
          <w:rFonts w:ascii="Calibri" w:hAnsi="Calibri" w:cs="Calibri"/>
          <w:color w:val="0E101A"/>
        </w:rPr>
        <w:t>outputs</w:t>
      </w:r>
      <w:r>
        <w:rPr>
          <w:rStyle w:val="normaltextrun"/>
          <w:rFonts w:ascii="Calibri" w:hAnsi="Calibri" w:cs="Calibri"/>
          <w:color w:val="0E101A"/>
        </w:rPr>
        <w:t xml:space="preserve"> </w:t>
      </w:r>
      <w:r w:rsidR="00A14A39">
        <w:rPr>
          <w:rStyle w:val="normaltextrun"/>
          <w:rFonts w:ascii="Calibri" w:hAnsi="Calibri" w:cs="Calibri"/>
          <w:color w:val="0E101A"/>
        </w:rPr>
        <w:t>are produced for the first time</w:t>
      </w:r>
      <w:r w:rsidR="000713A8">
        <w:rPr>
          <w:rStyle w:val="normaltextrun"/>
          <w:rFonts w:ascii="Calibri" w:hAnsi="Calibri" w:cs="Calibri"/>
          <w:color w:val="0E101A"/>
        </w:rPr>
        <w:t xml:space="preserve"> in Australia</w:t>
      </w:r>
      <w:r>
        <w:rPr>
          <w:rStyle w:val="normaltextrun"/>
          <w:rFonts w:ascii="Calibri" w:hAnsi="Calibri" w:cs="Calibri"/>
          <w:color w:val="0E101A"/>
        </w:rPr>
        <w:t xml:space="preserve">. These will be </w:t>
      </w:r>
      <w:r w:rsidR="00681846">
        <w:rPr>
          <w:rStyle w:val="normaltextrun"/>
          <w:rFonts w:ascii="Calibri" w:hAnsi="Calibri" w:cs="Calibri"/>
          <w:color w:val="0E101A"/>
        </w:rPr>
        <w:t xml:space="preserve">calculated </w:t>
      </w:r>
      <w:r w:rsidR="008C5136">
        <w:rPr>
          <w:rStyle w:val="normaltextrun"/>
          <w:rFonts w:ascii="Calibri" w:hAnsi="Calibri" w:cs="Calibri"/>
          <w:color w:val="0E101A"/>
        </w:rPr>
        <w:t xml:space="preserve">and published </w:t>
      </w:r>
      <w:r w:rsidR="00681846">
        <w:rPr>
          <w:rStyle w:val="normaltextrun"/>
          <w:rFonts w:ascii="Calibri" w:hAnsi="Calibri" w:cs="Calibri"/>
          <w:color w:val="0E101A"/>
        </w:rPr>
        <w:t xml:space="preserve">as </w:t>
      </w:r>
      <w:r w:rsidR="008C5136">
        <w:rPr>
          <w:rStyle w:val="normaltextrun"/>
          <w:rFonts w:ascii="Calibri" w:hAnsi="Calibri" w:cs="Calibri"/>
          <w:color w:val="0E101A"/>
        </w:rPr>
        <w:t>they arise</w:t>
      </w:r>
      <w:r w:rsidR="00681846">
        <w:rPr>
          <w:rStyle w:val="normaltextrun"/>
          <w:rFonts w:ascii="Calibri" w:hAnsi="Calibri" w:cs="Calibri"/>
          <w:color w:val="0E101A"/>
        </w:rPr>
        <w:t xml:space="preserve">, based on these guidelines. </w:t>
      </w:r>
    </w:p>
    <w:sectPr w:rsidR="00684308" w:rsidRPr="00F7603A" w:rsidSect="005A4AE1">
      <w:footerReference w:type="default" r:id="rId21"/>
      <w:headerReference w:type="first" r:id="rId22"/>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AC6F9" w14:textId="77777777" w:rsidR="00047C59" w:rsidRDefault="00047C59">
      <w:r>
        <w:separator/>
      </w:r>
    </w:p>
    <w:p w14:paraId="1DB024D0" w14:textId="77777777" w:rsidR="00047C59" w:rsidRDefault="00047C59"/>
    <w:p w14:paraId="0980F7B0" w14:textId="77777777" w:rsidR="00047C59" w:rsidRDefault="00047C59"/>
  </w:endnote>
  <w:endnote w:type="continuationSeparator" w:id="0">
    <w:p w14:paraId="3B0566F2" w14:textId="77777777" w:rsidR="00047C59" w:rsidRDefault="00047C59">
      <w:r>
        <w:continuationSeparator/>
      </w:r>
    </w:p>
    <w:p w14:paraId="594B375E" w14:textId="77777777" w:rsidR="00047C59" w:rsidRDefault="00047C59"/>
    <w:p w14:paraId="3597E8BE" w14:textId="77777777" w:rsidR="00047C59" w:rsidRDefault="00047C59"/>
  </w:endnote>
  <w:endnote w:type="continuationNotice" w:id="1">
    <w:p w14:paraId="6A1B6DCC" w14:textId="77777777" w:rsidR="00047C59" w:rsidRDefault="00047C59">
      <w:pPr>
        <w:pStyle w:val="Footer"/>
      </w:pPr>
    </w:p>
    <w:p w14:paraId="39501476" w14:textId="77777777" w:rsidR="00047C59" w:rsidRDefault="00047C59"/>
    <w:p w14:paraId="502DB52E" w14:textId="77777777" w:rsidR="00047C59" w:rsidRDefault="00047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759832"/>
      <w:docPartObj>
        <w:docPartGallery w:val="Page Numbers (Bottom of Page)"/>
        <w:docPartUnique/>
      </w:docPartObj>
    </w:sdtPr>
    <w:sdtEndPr>
      <w:rPr>
        <w:noProof/>
      </w:rPr>
    </w:sdtEndPr>
    <w:sdtContent>
      <w:p w14:paraId="77539474" w14:textId="2CF1EE4B" w:rsidR="006A62D3" w:rsidRDefault="006A62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9D73CA" w14:textId="77777777" w:rsidR="00593034" w:rsidRDefault="00593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AE99F" w14:textId="77777777" w:rsidR="00047C59" w:rsidRDefault="00047C59">
      <w:r>
        <w:separator/>
      </w:r>
    </w:p>
  </w:footnote>
  <w:footnote w:type="continuationSeparator" w:id="0">
    <w:p w14:paraId="422323B8" w14:textId="77777777" w:rsidR="00047C59" w:rsidRDefault="00047C59">
      <w:r>
        <w:continuationSeparator/>
      </w:r>
    </w:p>
    <w:p w14:paraId="591E27E1" w14:textId="77777777" w:rsidR="00047C59" w:rsidRDefault="00047C59"/>
    <w:p w14:paraId="74ECBB00" w14:textId="77777777" w:rsidR="00047C59" w:rsidRDefault="00047C59"/>
  </w:footnote>
  <w:footnote w:type="continuationNotice" w:id="1">
    <w:p w14:paraId="75933172" w14:textId="77777777" w:rsidR="00047C59" w:rsidRDefault="00047C59">
      <w:pPr>
        <w:pStyle w:val="Footer"/>
      </w:pPr>
    </w:p>
    <w:p w14:paraId="2ADCD61B" w14:textId="77777777" w:rsidR="00047C59" w:rsidRDefault="00047C59"/>
    <w:p w14:paraId="750E8EAA" w14:textId="77777777" w:rsidR="00047C59" w:rsidRDefault="00047C59"/>
  </w:footnote>
  <w:footnote w:id="2">
    <w:p w14:paraId="74A30652" w14:textId="41B76715" w:rsidR="00D127CA" w:rsidRPr="003F1E5D" w:rsidRDefault="00D127CA" w:rsidP="00D127CA">
      <w:pPr>
        <w:pStyle w:val="FootnoteText"/>
      </w:pPr>
      <w:r>
        <w:rPr>
          <w:rStyle w:val="FootnoteReference"/>
        </w:rPr>
        <w:footnoteRef/>
      </w:r>
      <w:r>
        <w:t xml:space="preserve"> Section 35A of </w:t>
      </w:r>
      <w:r w:rsidR="004B7DBE">
        <w:t xml:space="preserve">Schedule 1 to </w:t>
      </w:r>
      <w:r>
        <w:t xml:space="preserve">the </w:t>
      </w:r>
      <w:r>
        <w:rPr>
          <w:rFonts w:cs="Arial"/>
          <w:bCs/>
        </w:rPr>
        <w:t>Safeguard Rule</w:t>
      </w:r>
      <w:r w:rsidR="000A7380">
        <w:rPr>
          <w:rFonts w:cs="Arial"/>
          <w:bCs/>
        </w:rPr>
        <w:t>s</w:t>
      </w:r>
      <w:r>
        <w:rPr>
          <w:rFonts w:cs="Arial"/>
          <w:bCs/>
        </w:rPr>
        <w:t xml:space="preserve"> </w:t>
      </w:r>
      <w:r w:rsidR="004B7DBE">
        <w:rPr>
          <w:rFonts w:cs="Arial"/>
          <w:bCs/>
        </w:rPr>
        <w:t xml:space="preserve">(as amended) </w:t>
      </w:r>
      <w:r>
        <w:rPr>
          <w:rFonts w:cs="Arial"/>
          <w:bCs/>
        </w:rPr>
        <w:t xml:space="preserve">contains the provisions on reservoir carbon dioxide from new gas fields. </w:t>
      </w:r>
    </w:p>
  </w:footnote>
  <w:footnote w:id="3">
    <w:p w14:paraId="2D3676A5" w14:textId="33FA6A78" w:rsidR="00D127CA" w:rsidRPr="00A50BA6" w:rsidRDefault="00D127CA" w:rsidP="00D127CA">
      <w:pPr>
        <w:pStyle w:val="FootnoteText"/>
      </w:pPr>
      <w:r>
        <w:rPr>
          <w:rStyle w:val="FootnoteReference"/>
        </w:rPr>
        <w:footnoteRef/>
      </w:r>
      <w:r>
        <w:t xml:space="preserve"> Sections 10 and 54 of the </w:t>
      </w:r>
      <w:r>
        <w:rPr>
          <w:rFonts w:cs="Arial"/>
          <w:bCs/>
        </w:rPr>
        <w:t>Safeguard Rule</w:t>
      </w:r>
      <w:r w:rsidR="000A7380">
        <w:rPr>
          <w:rFonts w:cs="Arial"/>
          <w:bCs/>
        </w:rPr>
        <w:t>s</w:t>
      </w:r>
      <w:r>
        <w:rPr>
          <w:rFonts w:cs="Arial"/>
          <w:bCs/>
        </w:rPr>
        <w:t xml:space="preserve"> </w:t>
      </w:r>
      <w:r w:rsidR="00880376">
        <w:rPr>
          <w:rFonts w:cs="Arial"/>
          <w:bCs/>
        </w:rPr>
        <w:t xml:space="preserve">(as amended) </w:t>
      </w:r>
      <w:r>
        <w:t xml:space="preserve">contain the provisions on shale gas projects. </w:t>
      </w:r>
    </w:p>
  </w:footnote>
  <w:footnote w:id="4">
    <w:p w14:paraId="26B8FBA6" w14:textId="73C77245" w:rsidR="005E4FF9" w:rsidRDefault="005E4FF9">
      <w:pPr>
        <w:pStyle w:val="FootnoteText"/>
      </w:pPr>
      <w:r>
        <w:rPr>
          <w:rStyle w:val="FootnoteReference"/>
        </w:rPr>
        <w:footnoteRef/>
      </w:r>
      <w:r>
        <w:t xml:space="preserve"> </w:t>
      </w:r>
      <w:r w:rsidR="00A11429">
        <w:t xml:space="preserve">The framework is at </w:t>
      </w:r>
      <w:hyperlink r:id="rId1" w:history="1">
        <w:r w:rsidR="007D34D0" w:rsidRPr="00F91CD2">
          <w:rPr>
            <w:rStyle w:val="Hyperlink"/>
          </w:rPr>
          <w:t>www.dcceew.gov.au/climate-change/emissions-reporting/national-greenhouse-energy-reporting-scheme/safeguard-mechanism</w:t>
        </w:r>
      </w:hyperlink>
      <w:r w:rsidR="007D34D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30F1" w14:textId="77777777" w:rsidR="00DC5916" w:rsidRDefault="00DC5916">
    <w:pPr>
      <w:pStyle w:val="Header"/>
      <w:jc w:val="left"/>
    </w:pPr>
    <w:r w:rsidRPr="00670450">
      <w:rPr>
        <w:noProof/>
      </w:rPr>
      <w:drawing>
        <wp:inline distT="0" distB="0" distL="0" distR="0" wp14:anchorId="031E7B1A" wp14:editId="436536FD">
          <wp:extent cx="3224791" cy="676657"/>
          <wp:effectExtent l="0" t="0" r="0" b="9525"/>
          <wp:docPr id="1" name="Picture 1" descr="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partment of Climate Change, Energy, the Environment and Water"/>
                  <pic:cNvPicPr/>
                </pic:nvPicPr>
                <pic:blipFill>
                  <a:blip r:embed="rId1">
                    <a:extLst>
                      <a:ext uri="{28A0092B-C50C-407E-A947-70E740481C1C}">
                        <a14:useLocalDpi xmlns:a14="http://schemas.microsoft.com/office/drawing/2010/main" val="0"/>
                      </a:ext>
                    </a:extLst>
                  </a:blip>
                  <a:stretch>
                    <a:fillRect/>
                  </a:stretch>
                </pic:blipFill>
                <pic:spPr>
                  <a:xfrm>
                    <a:off x="0" y="0"/>
                    <a:ext cx="3224791" cy="6766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5E656FC"/>
    <w:lvl w:ilvl="0">
      <w:start w:val="1"/>
      <w:numFmt w:val="decimal"/>
      <w:pStyle w:val="ListNumber"/>
      <w:lvlText w:val="%1."/>
      <w:lvlJc w:val="left"/>
      <w:pPr>
        <w:tabs>
          <w:tab w:val="num" w:pos="360"/>
        </w:tabs>
        <w:ind w:left="360" w:hanging="360"/>
      </w:pPr>
    </w:lvl>
  </w:abstractNum>
  <w:abstractNum w:abstractNumId="1" w15:restartNumberingAfterBreak="0">
    <w:nsid w:val="09677382"/>
    <w:multiLevelType w:val="multilevel"/>
    <w:tmpl w:val="478E7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4442845"/>
    <w:multiLevelType w:val="hybridMultilevel"/>
    <w:tmpl w:val="515CC176"/>
    <w:lvl w:ilvl="0" w:tplc="FFFFFFFF">
      <w:start w:val="1"/>
      <w:numFmt w:val="decimal"/>
      <w:lvlText w:val="%1."/>
      <w:lvlJc w:val="left"/>
      <w:pPr>
        <w:ind w:left="720" w:hanging="360"/>
      </w:pPr>
      <w:rPr>
        <w:rFonts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7707F0"/>
    <w:multiLevelType w:val="hybridMultilevel"/>
    <w:tmpl w:val="55900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F2078"/>
    <w:multiLevelType w:val="hybridMultilevel"/>
    <w:tmpl w:val="C6543ED4"/>
    <w:lvl w:ilvl="0" w:tplc="0C09000F">
      <w:start w:val="1"/>
      <w:numFmt w:val="decimal"/>
      <w:lvlText w:val="%1."/>
      <w:lvlJc w:val="left"/>
      <w:pPr>
        <w:ind w:left="502" w:hanging="360"/>
      </w:p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7" w15:restartNumberingAfterBreak="0">
    <w:nsid w:val="1BEB4FD1"/>
    <w:multiLevelType w:val="hybridMultilevel"/>
    <w:tmpl w:val="12A4A30C"/>
    <w:lvl w:ilvl="0" w:tplc="0C090019">
      <w:start w:val="1"/>
      <w:numFmt w:val="lowerLetter"/>
      <w:lvlText w:val="%1."/>
      <w:lvlJc w:val="lef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8"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A9A0353"/>
    <w:multiLevelType w:val="hybridMultilevel"/>
    <w:tmpl w:val="AEDEF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7128EB"/>
    <w:multiLevelType w:val="hybridMultilevel"/>
    <w:tmpl w:val="9CD4F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4A15FE"/>
    <w:multiLevelType w:val="multilevel"/>
    <w:tmpl w:val="F36C17E8"/>
    <w:numStyleLink w:val="Headinglist"/>
  </w:abstractNum>
  <w:abstractNum w:abstractNumId="12" w15:restartNumberingAfterBreak="0">
    <w:nsid w:val="3BEC00DB"/>
    <w:multiLevelType w:val="hybridMultilevel"/>
    <w:tmpl w:val="F9582F2C"/>
    <w:lvl w:ilvl="0" w:tplc="3814B8D4">
      <w:start w:val="1"/>
      <w:numFmt w:val="lowerLetter"/>
      <w:pStyle w:val="ListNumber2"/>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3" w15:restartNumberingAfterBreak="0">
    <w:nsid w:val="3E2D0783"/>
    <w:multiLevelType w:val="hybridMultilevel"/>
    <w:tmpl w:val="13B0925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2FF70C6"/>
    <w:multiLevelType w:val="hybridMultilevel"/>
    <w:tmpl w:val="375899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394C5E"/>
    <w:multiLevelType w:val="hybridMultilevel"/>
    <w:tmpl w:val="DF461B5C"/>
    <w:lvl w:ilvl="0" w:tplc="0C090001">
      <w:start w:val="1"/>
      <w:numFmt w:val="bullet"/>
      <w:lvlText w:val=""/>
      <w:lvlJc w:val="left"/>
      <w:pPr>
        <w:ind w:left="1616" w:hanging="360"/>
      </w:pPr>
      <w:rPr>
        <w:rFonts w:ascii="Symbol" w:hAnsi="Symbol" w:hint="default"/>
      </w:rPr>
    </w:lvl>
    <w:lvl w:ilvl="1" w:tplc="0C090003">
      <w:start w:val="1"/>
      <w:numFmt w:val="bullet"/>
      <w:lvlText w:val="o"/>
      <w:lvlJc w:val="left"/>
      <w:pPr>
        <w:ind w:left="2336" w:hanging="360"/>
      </w:pPr>
      <w:rPr>
        <w:rFonts w:ascii="Courier New" w:hAnsi="Courier New" w:cs="Courier New" w:hint="default"/>
      </w:rPr>
    </w:lvl>
    <w:lvl w:ilvl="2" w:tplc="0C090005" w:tentative="1">
      <w:start w:val="1"/>
      <w:numFmt w:val="bullet"/>
      <w:lvlText w:val=""/>
      <w:lvlJc w:val="left"/>
      <w:pPr>
        <w:ind w:left="3056" w:hanging="360"/>
      </w:pPr>
      <w:rPr>
        <w:rFonts w:ascii="Wingdings" w:hAnsi="Wingdings" w:hint="default"/>
      </w:rPr>
    </w:lvl>
    <w:lvl w:ilvl="3" w:tplc="0C090001" w:tentative="1">
      <w:start w:val="1"/>
      <w:numFmt w:val="bullet"/>
      <w:lvlText w:val=""/>
      <w:lvlJc w:val="left"/>
      <w:pPr>
        <w:ind w:left="3776" w:hanging="360"/>
      </w:pPr>
      <w:rPr>
        <w:rFonts w:ascii="Symbol" w:hAnsi="Symbol" w:hint="default"/>
      </w:rPr>
    </w:lvl>
    <w:lvl w:ilvl="4" w:tplc="0C090003" w:tentative="1">
      <w:start w:val="1"/>
      <w:numFmt w:val="bullet"/>
      <w:lvlText w:val="o"/>
      <w:lvlJc w:val="left"/>
      <w:pPr>
        <w:ind w:left="4496" w:hanging="360"/>
      </w:pPr>
      <w:rPr>
        <w:rFonts w:ascii="Courier New" w:hAnsi="Courier New" w:cs="Courier New" w:hint="default"/>
      </w:rPr>
    </w:lvl>
    <w:lvl w:ilvl="5" w:tplc="0C090005" w:tentative="1">
      <w:start w:val="1"/>
      <w:numFmt w:val="bullet"/>
      <w:lvlText w:val=""/>
      <w:lvlJc w:val="left"/>
      <w:pPr>
        <w:ind w:left="5216" w:hanging="360"/>
      </w:pPr>
      <w:rPr>
        <w:rFonts w:ascii="Wingdings" w:hAnsi="Wingdings" w:hint="default"/>
      </w:rPr>
    </w:lvl>
    <w:lvl w:ilvl="6" w:tplc="0C090001" w:tentative="1">
      <w:start w:val="1"/>
      <w:numFmt w:val="bullet"/>
      <w:lvlText w:val=""/>
      <w:lvlJc w:val="left"/>
      <w:pPr>
        <w:ind w:left="5936" w:hanging="360"/>
      </w:pPr>
      <w:rPr>
        <w:rFonts w:ascii="Symbol" w:hAnsi="Symbol" w:hint="default"/>
      </w:rPr>
    </w:lvl>
    <w:lvl w:ilvl="7" w:tplc="0C090003" w:tentative="1">
      <w:start w:val="1"/>
      <w:numFmt w:val="bullet"/>
      <w:lvlText w:val="o"/>
      <w:lvlJc w:val="left"/>
      <w:pPr>
        <w:ind w:left="6656" w:hanging="360"/>
      </w:pPr>
      <w:rPr>
        <w:rFonts w:ascii="Courier New" w:hAnsi="Courier New" w:cs="Courier New" w:hint="default"/>
      </w:rPr>
    </w:lvl>
    <w:lvl w:ilvl="8" w:tplc="0C090005" w:tentative="1">
      <w:start w:val="1"/>
      <w:numFmt w:val="bullet"/>
      <w:lvlText w:val=""/>
      <w:lvlJc w:val="left"/>
      <w:pPr>
        <w:ind w:left="7376" w:hanging="360"/>
      </w:pPr>
      <w:rPr>
        <w:rFonts w:ascii="Wingdings" w:hAnsi="Wingdings" w:hint="default"/>
      </w:rPr>
    </w:lvl>
  </w:abstractNum>
  <w:abstractNum w:abstractNumId="16"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9C5DED"/>
    <w:multiLevelType w:val="hybridMultilevel"/>
    <w:tmpl w:val="18D62A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6E1AC8"/>
    <w:multiLevelType w:val="hybridMultilevel"/>
    <w:tmpl w:val="528AE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1"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2" w15:restartNumberingAfterBreak="0">
    <w:nsid w:val="5AE42FEE"/>
    <w:multiLevelType w:val="hybridMultilevel"/>
    <w:tmpl w:val="ADEEF710"/>
    <w:lvl w:ilvl="0" w:tplc="454CF39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4" w15:restartNumberingAfterBreak="0">
    <w:nsid w:val="60E461F2"/>
    <w:multiLevelType w:val="hybridMultilevel"/>
    <w:tmpl w:val="B4CEE6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3E58DC"/>
    <w:multiLevelType w:val="hybridMultilevel"/>
    <w:tmpl w:val="AABC64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7E6B9F"/>
    <w:multiLevelType w:val="hybridMultilevel"/>
    <w:tmpl w:val="8F46E9B4"/>
    <w:lvl w:ilvl="0" w:tplc="0C090019">
      <w:start w:val="1"/>
      <w:numFmt w:val="lowerLetter"/>
      <w:lvlText w:val="%1."/>
      <w:lvlJc w:val="lef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27" w15:restartNumberingAfterBreak="0">
    <w:nsid w:val="63F612FE"/>
    <w:multiLevelType w:val="hybridMultilevel"/>
    <w:tmpl w:val="20A479A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472C39"/>
    <w:multiLevelType w:val="hybridMultilevel"/>
    <w:tmpl w:val="A5485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235AF1"/>
    <w:multiLevelType w:val="singleLevel"/>
    <w:tmpl w:val="E69CA9CA"/>
    <w:lvl w:ilvl="0">
      <w:start w:val="1"/>
      <w:numFmt w:val="decimal"/>
      <w:pStyle w:val="ListNumber3"/>
      <w:lvlText w:val="%1."/>
      <w:lvlJc w:val="left"/>
      <w:pPr>
        <w:ind w:left="360" w:hanging="360"/>
      </w:pPr>
      <w:rPr>
        <w:rFonts w:hint="default"/>
        <w:color w:val="auto"/>
      </w:rPr>
    </w:lvl>
  </w:abstractNum>
  <w:abstractNum w:abstractNumId="30" w15:restartNumberingAfterBreak="0">
    <w:nsid w:val="6FDB6C20"/>
    <w:multiLevelType w:val="hybridMultilevel"/>
    <w:tmpl w:val="C25CF4E6"/>
    <w:lvl w:ilvl="0" w:tplc="E638A366">
      <w:start w:val="1"/>
      <w:numFmt w:val="bullet"/>
      <w:lvlText w:val=""/>
      <w:lvlJc w:val="left"/>
      <w:pPr>
        <w:ind w:left="720" w:hanging="360"/>
      </w:pPr>
      <w:rPr>
        <w:rFonts w:ascii="Symbol" w:hAnsi="Symbol"/>
      </w:rPr>
    </w:lvl>
    <w:lvl w:ilvl="1" w:tplc="11D4684C">
      <w:start w:val="1"/>
      <w:numFmt w:val="bullet"/>
      <w:lvlText w:val=""/>
      <w:lvlJc w:val="left"/>
      <w:pPr>
        <w:ind w:left="720" w:hanging="360"/>
      </w:pPr>
      <w:rPr>
        <w:rFonts w:ascii="Symbol" w:hAnsi="Symbol"/>
      </w:rPr>
    </w:lvl>
    <w:lvl w:ilvl="2" w:tplc="A22620C8">
      <w:start w:val="1"/>
      <w:numFmt w:val="bullet"/>
      <w:lvlText w:val=""/>
      <w:lvlJc w:val="left"/>
      <w:pPr>
        <w:ind w:left="720" w:hanging="360"/>
      </w:pPr>
      <w:rPr>
        <w:rFonts w:ascii="Symbol" w:hAnsi="Symbol"/>
      </w:rPr>
    </w:lvl>
    <w:lvl w:ilvl="3" w:tplc="05EEEBD4">
      <w:start w:val="1"/>
      <w:numFmt w:val="bullet"/>
      <w:lvlText w:val=""/>
      <w:lvlJc w:val="left"/>
      <w:pPr>
        <w:ind w:left="720" w:hanging="360"/>
      </w:pPr>
      <w:rPr>
        <w:rFonts w:ascii="Symbol" w:hAnsi="Symbol"/>
      </w:rPr>
    </w:lvl>
    <w:lvl w:ilvl="4" w:tplc="BF9EB826">
      <w:start w:val="1"/>
      <w:numFmt w:val="bullet"/>
      <w:lvlText w:val=""/>
      <w:lvlJc w:val="left"/>
      <w:pPr>
        <w:ind w:left="720" w:hanging="360"/>
      </w:pPr>
      <w:rPr>
        <w:rFonts w:ascii="Symbol" w:hAnsi="Symbol"/>
      </w:rPr>
    </w:lvl>
    <w:lvl w:ilvl="5" w:tplc="FA96E1A2">
      <w:start w:val="1"/>
      <w:numFmt w:val="bullet"/>
      <w:lvlText w:val=""/>
      <w:lvlJc w:val="left"/>
      <w:pPr>
        <w:ind w:left="720" w:hanging="360"/>
      </w:pPr>
      <w:rPr>
        <w:rFonts w:ascii="Symbol" w:hAnsi="Symbol"/>
      </w:rPr>
    </w:lvl>
    <w:lvl w:ilvl="6" w:tplc="921A5732">
      <w:start w:val="1"/>
      <w:numFmt w:val="bullet"/>
      <w:lvlText w:val=""/>
      <w:lvlJc w:val="left"/>
      <w:pPr>
        <w:ind w:left="720" w:hanging="360"/>
      </w:pPr>
      <w:rPr>
        <w:rFonts w:ascii="Symbol" w:hAnsi="Symbol"/>
      </w:rPr>
    </w:lvl>
    <w:lvl w:ilvl="7" w:tplc="696E2974">
      <w:start w:val="1"/>
      <w:numFmt w:val="bullet"/>
      <w:lvlText w:val=""/>
      <w:lvlJc w:val="left"/>
      <w:pPr>
        <w:ind w:left="720" w:hanging="360"/>
      </w:pPr>
      <w:rPr>
        <w:rFonts w:ascii="Symbol" w:hAnsi="Symbol"/>
      </w:rPr>
    </w:lvl>
    <w:lvl w:ilvl="8" w:tplc="B8C62782">
      <w:start w:val="1"/>
      <w:numFmt w:val="bullet"/>
      <w:lvlText w:val=""/>
      <w:lvlJc w:val="left"/>
      <w:pPr>
        <w:ind w:left="720" w:hanging="360"/>
      </w:pPr>
      <w:rPr>
        <w:rFonts w:ascii="Symbol" w:hAnsi="Symbol"/>
      </w:rPr>
    </w:lvl>
  </w:abstractNum>
  <w:num w:numId="1" w16cid:durableId="1404451164">
    <w:abstractNumId w:val="16"/>
  </w:num>
  <w:num w:numId="2" w16cid:durableId="1666787524">
    <w:abstractNumId w:val="6"/>
  </w:num>
  <w:num w:numId="3" w16cid:durableId="381057155">
    <w:abstractNumId w:val="21"/>
  </w:num>
  <w:num w:numId="4" w16cid:durableId="1639215797">
    <w:abstractNumId w:val="23"/>
  </w:num>
  <w:num w:numId="5" w16cid:durableId="1643265712">
    <w:abstractNumId w:val="8"/>
  </w:num>
  <w:num w:numId="6" w16cid:durableId="793717093">
    <w:abstractNumId w:val="11"/>
    <w:lvlOverride w:ilvl="0">
      <w:lvl w:ilvl="0">
        <w:start w:val="1"/>
        <w:numFmt w:val="decimal"/>
        <w:pStyle w:val="Heading2"/>
        <w:lvlText w:val="%1"/>
        <w:lvlJc w:val="left"/>
        <w:pPr>
          <w:ind w:left="720" w:hanging="720"/>
        </w:pPr>
      </w:lvl>
    </w:lvlOverride>
  </w:num>
  <w:num w:numId="7" w16cid:durableId="1314063411">
    <w:abstractNumId w:val="20"/>
  </w:num>
  <w:num w:numId="8" w16cid:durableId="9570234">
    <w:abstractNumId w:val="29"/>
  </w:num>
  <w:num w:numId="9" w16cid:durableId="626202022">
    <w:abstractNumId w:val="17"/>
  </w:num>
  <w:num w:numId="10" w16cid:durableId="866915021">
    <w:abstractNumId w:val="2"/>
  </w:num>
  <w:num w:numId="11" w16cid:durableId="792334292">
    <w:abstractNumId w:val="4"/>
  </w:num>
  <w:num w:numId="12" w16cid:durableId="1812014771">
    <w:abstractNumId w:val="18"/>
  </w:num>
  <w:num w:numId="13" w16cid:durableId="2017683998">
    <w:abstractNumId w:val="12"/>
  </w:num>
  <w:num w:numId="14" w16cid:durableId="1709065872">
    <w:abstractNumId w:val="14"/>
  </w:num>
  <w:num w:numId="15" w16cid:durableId="1484153276">
    <w:abstractNumId w:val="28"/>
  </w:num>
  <w:num w:numId="16" w16cid:durableId="1521165186">
    <w:abstractNumId w:val="13"/>
  </w:num>
  <w:num w:numId="17" w16cid:durableId="28998554">
    <w:abstractNumId w:val="29"/>
    <w:lvlOverride w:ilvl="0">
      <w:startOverride w:val="1"/>
    </w:lvlOverride>
  </w:num>
  <w:num w:numId="18" w16cid:durableId="246351382">
    <w:abstractNumId w:val="3"/>
  </w:num>
  <w:num w:numId="19" w16cid:durableId="1259172601">
    <w:abstractNumId w:val="27"/>
  </w:num>
  <w:num w:numId="20" w16cid:durableId="1481145999">
    <w:abstractNumId w:val="5"/>
  </w:num>
  <w:num w:numId="21" w16cid:durableId="203373520">
    <w:abstractNumId w:val="26"/>
  </w:num>
  <w:num w:numId="22" w16cid:durableId="1125386690">
    <w:abstractNumId w:val="7"/>
  </w:num>
  <w:num w:numId="23" w16cid:durableId="706685158">
    <w:abstractNumId w:val="10"/>
  </w:num>
  <w:num w:numId="24" w16cid:durableId="1971009351">
    <w:abstractNumId w:val="30"/>
  </w:num>
  <w:num w:numId="25" w16cid:durableId="532303697">
    <w:abstractNumId w:val="22"/>
  </w:num>
  <w:num w:numId="26" w16cid:durableId="1942687704">
    <w:abstractNumId w:val="11"/>
    <w:lvlOverride w:ilvl="0">
      <w:lvl w:ilvl="0">
        <w:start w:val="1"/>
        <w:numFmt w:val="decimal"/>
        <w:pStyle w:val="Heading2"/>
        <w:lvlText w:val="%1"/>
        <w:lvlJc w:val="left"/>
        <w:pPr>
          <w:ind w:left="720" w:hanging="720"/>
        </w:pPr>
      </w:lvl>
    </w:lvlOverride>
  </w:num>
  <w:num w:numId="27" w16cid:durableId="1889485860">
    <w:abstractNumId w:val="19"/>
  </w:num>
  <w:num w:numId="28" w16cid:durableId="596519549">
    <w:abstractNumId w:val="9"/>
  </w:num>
  <w:num w:numId="29" w16cid:durableId="497119583">
    <w:abstractNumId w:val="11"/>
    <w:lvlOverride w:ilvl="0">
      <w:lvl w:ilvl="0">
        <w:start w:val="1"/>
        <w:numFmt w:val="decimal"/>
        <w:pStyle w:val="Heading2"/>
        <w:lvlText w:val="%1"/>
        <w:lvlJc w:val="left"/>
        <w:pPr>
          <w:ind w:left="720" w:hanging="720"/>
        </w:pPr>
      </w:lvl>
    </w:lvlOverride>
  </w:num>
  <w:num w:numId="30" w16cid:durableId="580143627">
    <w:abstractNumId w:val="11"/>
    <w:lvlOverride w:ilvl="0">
      <w:lvl w:ilvl="0">
        <w:start w:val="1"/>
        <w:numFmt w:val="decimal"/>
        <w:pStyle w:val="Heading2"/>
        <w:lvlText w:val="%1"/>
        <w:lvlJc w:val="left"/>
        <w:pPr>
          <w:ind w:left="720" w:hanging="720"/>
        </w:pPr>
      </w:lvl>
    </w:lvlOverride>
  </w:num>
  <w:num w:numId="31" w16cid:durableId="92088662">
    <w:abstractNumId w:val="11"/>
    <w:lvlOverride w:ilvl="0">
      <w:lvl w:ilvl="0">
        <w:start w:val="1"/>
        <w:numFmt w:val="decimal"/>
        <w:pStyle w:val="Heading2"/>
        <w:lvlText w:val="%1"/>
        <w:lvlJc w:val="left"/>
        <w:pPr>
          <w:ind w:left="720" w:hanging="720"/>
        </w:pPr>
      </w:lvl>
    </w:lvlOverride>
  </w:num>
  <w:num w:numId="32" w16cid:durableId="1156804100">
    <w:abstractNumId w:val="24"/>
  </w:num>
  <w:num w:numId="33" w16cid:durableId="1926916473">
    <w:abstractNumId w:val="1"/>
  </w:num>
  <w:num w:numId="34" w16cid:durableId="1934584074">
    <w:abstractNumId w:val="11"/>
    <w:lvlOverride w:ilvl="0">
      <w:lvl w:ilvl="0">
        <w:start w:val="1"/>
        <w:numFmt w:val="decimal"/>
        <w:pStyle w:val="Heading2"/>
        <w:lvlText w:val="%1"/>
        <w:lvlJc w:val="left"/>
        <w:pPr>
          <w:ind w:left="720" w:hanging="720"/>
        </w:pPr>
      </w:lvl>
    </w:lvlOverride>
  </w:num>
  <w:num w:numId="35" w16cid:durableId="1474758083">
    <w:abstractNumId w:val="15"/>
  </w:num>
  <w:num w:numId="36" w16cid:durableId="972104919">
    <w:abstractNumId w:val="11"/>
    <w:lvlOverride w:ilvl="0">
      <w:lvl w:ilvl="0">
        <w:start w:val="1"/>
        <w:numFmt w:val="decimal"/>
        <w:pStyle w:val="Heading2"/>
        <w:lvlText w:val="%1"/>
        <w:lvlJc w:val="left"/>
        <w:pPr>
          <w:ind w:left="720" w:hanging="720"/>
        </w:pPr>
      </w:lvl>
    </w:lvlOverride>
  </w:num>
  <w:num w:numId="37" w16cid:durableId="2125340061">
    <w:abstractNumId w:val="25"/>
  </w:num>
  <w:num w:numId="38" w16cid:durableId="1468628147">
    <w:abstractNumId w:val="0"/>
  </w:num>
  <w:num w:numId="39" w16cid:durableId="250551840">
    <w:abstractNumId w:val="0"/>
  </w:num>
  <w:num w:numId="40" w16cid:durableId="275529090">
    <w:abstractNumId w:val="0"/>
  </w:num>
  <w:num w:numId="41" w16cid:durableId="762653497">
    <w:abstractNumId w:val="0"/>
  </w:num>
  <w:num w:numId="42" w16cid:durableId="1244796767">
    <w:abstractNumId w:val="0"/>
  </w:num>
  <w:num w:numId="43" w16cid:durableId="575821176">
    <w:abstractNumId w:val="0"/>
  </w:num>
  <w:num w:numId="44" w16cid:durableId="330060527">
    <w:abstractNumId w:val="0"/>
  </w:num>
  <w:num w:numId="45" w16cid:durableId="1962151421">
    <w:abstractNumId w:val="11"/>
    <w:lvlOverride w:ilvl="0">
      <w:lvl w:ilvl="0">
        <w:start w:val="1"/>
        <w:numFmt w:val="decimal"/>
        <w:pStyle w:val="Heading2"/>
        <w:lvlText w:val="%1"/>
        <w:lvlJc w:val="left"/>
        <w:pPr>
          <w:ind w:left="720" w:hanging="720"/>
        </w:pPr>
      </w:lvl>
    </w:lvlOverride>
  </w:num>
  <w:num w:numId="46" w16cid:durableId="1916473874">
    <w:abstractNumId w:val="11"/>
    <w:lvlOverride w:ilvl="0">
      <w:lvl w:ilvl="0">
        <w:start w:val="1"/>
        <w:numFmt w:val="decimal"/>
        <w:pStyle w:val="Heading2"/>
        <w:lvlText w:val="%1"/>
        <w:lvlJc w:val="left"/>
        <w:pPr>
          <w:ind w:left="720" w:hanging="720"/>
        </w:pPr>
      </w:lvl>
    </w:lvlOverride>
  </w:num>
  <w:num w:numId="47" w16cid:durableId="500892800">
    <w:abstractNumId w:val="11"/>
    <w:lvlOverride w:ilvl="0">
      <w:lvl w:ilvl="0">
        <w:start w:val="1"/>
        <w:numFmt w:val="decimal"/>
        <w:pStyle w:val="Heading2"/>
        <w:lvlText w:val="%1"/>
        <w:lvlJc w:val="left"/>
        <w:pPr>
          <w:ind w:left="720" w:hanging="720"/>
        </w:pPr>
      </w:lvl>
    </w:lvlOverride>
  </w:num>
  <w:num w:numId="48" w16cid:durableId="1935934847">
    <w:abstractNumId w:val="11"/>
    <w:lvlOverride w:ilvl="0">
      <w:lvl w:ilvl="0">
        <w:start w:val="1"/>
        <w:numFmt w:val="decimal"/>
        <w:pStyle w:val="Heading2"/>
        <w:lvlText w:val="%1"/>
        <w:lvlJc w:val="left"/>
        <w:pPr>
          <w:ind w:left="720" w:hanging="720"/>
        </w:pPr>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A1"/>
    <w:rsid w:val="00000A76"/>
    <w:rsid w:val="0000187D"/>
    <w:rsid w:val="000069FC"/>
    <w:rsid w:val="00007DB7"/>
    <w:rsid w:val="000123BF"/>
    <w:rsid w:val="00012559"/>
    <w:rsid w:val="0001257C"/>
    <w:rsid w:val="00014498"/>
    <w:rsid w:val="00014B61"/>
    <w:rsid w:val="00015FEF"/>
    <w:rsid w:val="00016444"/>
    <w:rsid w:val="00016E71"/>
    <w:rsid w:val="00017ACA"/>
    <w:rsid w:val="00017EDE"/>
    <w:rsid w:val="000207A5"/>
    <w:rsid w:val="00021C3D"/>
    <w:rsid w:val="0002368A"/>
    <w:rsid w:val="00024CEA"/>
    <w:rsid w:val="00026DED"/>
    <w:rsid w:val="000272BA"/>
    <w:rsid w:val="00030DEC"/>
    <w:rsid w:val="00031624"/>
    <w:rsid w:val="00033A4F"/>
    <w:rsid w:val="0003764B"/>
    <w:rsid w:val="00037B21"/>
    <w:rsid w:val="000401D0"/>
    <w:rsid w:val="0004098C"/>
    <w:rsid w:val="0004148D"/>
    <w:rsid w:val="0004174C"/>
    <w:rsid w:val="00043643"/>
    <w:rsid w:val="00047C59"/>
    <w:rsid w:val="0005198B"/>
    <w:rsid w:val="000525C5"/>
    <w:rsid w:val="00052C3B"/>
    <w:rsid w:val="00054882"/>
    <w:rsid w:val="00055AC6"/>
    <w:rsid w:val="00057766"/>
    <w:rsid w:val="0006121D"/>
    <w:rsid w:val="000643F5"/>
    <w:rsid w:val="000655C4"/>
    <w:rsid w:val="0006705C"/>
    <w:rsid w:val="000673E9"/>
    <w:rsid w:val="0007041A"/>
    <w:rsid w:val="000713A8"/>
    <w:rsid w:val="00071B5A"/>
    <w:rsid w:val="00080216"/>
    <w:rsid w:val="0008045D"/>
    <w:rsid w:val="000809AF"/>
    <w:rsid w:val="000811E9"/>
    <w:rsid w:val="000815B4"/>
    <w:rsid w:val="00082B22"/>
    <w:rsid w:val="00082B92"/>
    <w:rsid w:val="00082CFD"/>
    <w:rsid w:val="00083F29"/>
    <w:rsid w:val="00085463"/>
    <w:rsid w:val="000869AB"/>
    <w:rsid w:val="0008703E"/>
    <w:rsid w:val="00096109"/>
    <w:rsid w:val="00097663"/>
    <w:rsid w:val="00097FA8"/>
    <w:rsid w:val="000A46A0"/>
    <w:rsid w:val="000A4D23"/>
    <w:rsid w:val="000A7380"/>
    <w:rsid w:val="000A7AAF"/>
    <w:rsid w:val="000A7F1C"/>
    <w:rsid w:val="000A7F56"/>
    <w:rsid w:val="000B02B4"/>
    <w:rsid w:val="000B0306"/>
    <w:rsid w:val="000B459B"/>
    <w:rsid w:val="000B466E"/>
    <w:rsid w:val="000C0F06"/>
    <w:rsid w:val="000C4783"/>
    <w:rsid w:val="000C4AFE"/>
    <w:rsid w:val="000C6C2E"/>
    <w:rsid w:val="000C7884"/>
    <w:rsid w:val="000D15C0"/>
    <w:rsid w:val="000D20AF"/>
    <w:rsid w:val="000D22C7"/>
    <w:rsid w:val="000D7155"/>
    <w:rsid w:val="000E0C7F"/>
    <w:rsid w:val="000E23AE"/>
    <w:rsid w:val="000E3681"/>
    <w:rsid w:val="000E369C"/>
    <w:rsid w:val="000E4036"/>
    <w:rsid w:val="000E51B2"/>
    <w:rsid w:val="000E652E"/>
    <w:rsid w:val="000F1182"/>
    <w:rsid w:val="000F2194"/>
    <w:rsid w:val="000F3988"/>
    <w:rsid w:val="000F47D5"/>
    <w:rsid w:val="000F596E"/>
    <w:rsid w:val="000F6F61"/>
    <w:rsid w:val="00100F82"/>
    <w:rsid w:val="00103803"/>
    <w:rsid w:val="00103F8A"/>
    <w:rsid w:val="00105880"/>
    <w:rsid w:val="00106C1D"/>
    <w:rsid w:val="00107522"/>
    <w:rsid w:val="00107930"/>
    <w:rsid w:val="00107A62"/>
    <w:rsid w:val="00112C41"/>
    <w:rsid w:val="001137CF"/>
    <w:rsid w:val="00114BB4"/>
    <w:rsid w:val="00114FF0"/>
    <w:rsid w:val="00115653"/>
    <w:rsid w:val="001156A5"/>
    <w:rsid w:val="001173FF"/>
    <w:rsid w:val="0011761F"/>
    <w:rsid w:val="001222C9"/>
    <w:rsid w:val="00123033"/>
    <w:rsid w:val="00123279"/>
    <w:rsid w:val="001250E0"/>
    <w:rsid w:val="00125EF5"/>
    <w:rsid w:val="00130741"/>
    <w:rsid w:val="00131478"/>
    <w:rsid w:val="001334B6"/>
    <w:rsid w:val="00135169"/>
    <w:rsid w:val="0014023B"/>
    <w:rsid w:val="0014041F"/>
    <w:rsid w:val="0014279F"/>
    <w:rsid w:val="0014794E"/>
    <w:rsid w:val="0015173B"/>
    <w:rsid w:val="00153747"/>
    <w:rsid w:val="001543F5"/>
    <w:rsid w:val="0015673D"/>
    <w:rsid w:val="0016119E"/>
    <w:rsid w:val="00162576"/>
    <w:rsid w:val="00163297"/>
    <w:rsid w:val="0016466A"/>
    <w:rsid w:val="00164A20"/>
    <w:rsid w:val="00164CAC"/>
    <w:rsid w:val="0016614B"/>
    <w:rsid w:val="0016689C"/>
    <w:rsid w:val="00166AF2"/>
    <w:rsid w:val="001677BC"/>
    <w:rsid w:val="001730C1"/>
    <w:rsid w:val="00173E10"/>
    <w:rsid w:val="00173E90"/>
    <w:rsid w:val="00176545"/>
    <w:rsid w:val="00176594"/>
    <w:rsid w:val="0017699C"/>
    <w:rsid w:val="00177B53"/>
    <w:rsid w:val="00181F1E"/>
    <w:rsid w:val="001841D1"/>
    <w:rsid w:val="00184CF1"/>
    <w:rsid w:val="001853C5"/>
    <w:rsid w:val="001856DF"/>
    <w:rsid w:val="0019070E"/>
    <w:rsid w:val="001929A7"/>
    <w:rsid w:val="001957A7"/>
    <w:rsid w:val="001A1130"/>
    <w:rsid w:val="001A6876"/>
    <w:rsid w:val="001B0893"/>
    <w:rsid w:val="001B0C3E"/>
    <w:rsid w:val="001B3C76"/>
    <w:rsid w:val="001B4C5D"/>
    <w:rsid w:val="001C2A6B"/>
    <w:rsid w:val="001C33F2"/>
    <w:rsid w:val="001C38AC"/>
    <w:rsid w:val="001C48A3"/>
    <w:rsid w:val="001C5B58"/>
    <w:rsid w:val="001C7783"/>
    <w:rsid w:val="001C7A1A"/>
    <w:rsid w:val="001D043E"/>
    <w:rsid w:val="001D5EF0"/>
    <w:rsid w:val="001D5F12"/>
    <w:rsid w:val="001D6C79"/>
    <w:rsid w:val="001E17BC"/>
    <w:rsid w:val="001E2CBE"/>
    <w:rsid w:val="001E2F82"/>
    <w:rsid w:val="001E3149"/>
    <w:rsid w:val="001E5190"/>
    <w:rsid w:val="001E521E"/>
    <w:rsid w:val="001E6513"/>
    <w:rsid w:val="001E76AF"/>
    <w:rsid w:val="001F4E4B"/>
    <w:rsid w:val="001F65CC"/>
    <w:rsid w:val="001F69A3"/>
    <w:rsid w:val="002016B8"/>
    <w:rsid w:val="00201F73"/>
    <w:rsid w:val="00201FBF"/>
    <w:rsid w:val="0020447A"/>
    <w:rsid w:val="00204771"/>
    <w:rsid w:val="002068BA"/>
    <w:rsid w:val="00211572"/>
    <w:rsid w:val="00211D12"/>
    <w:rsid w:val="002126DC"/>
    <w:rsid w:val="00212B8D"/>
    <w:rsid w:val="00213C77"/>
    <w:rsid w:val="002153F8"/>
    <w:rsid w:val="0021627C"/>
    <w:rsid w:val="0021690F"/>
    <w:rsid w:val="00220C34"/>
    <w:rsid w:val="00222137"/>
    <w:rsid w:val="002223FD"/>
    <w:rsid w:val="0022291E"/>
    <w:rsid w:val="00224680"/>
    <w:rsid w:val="00224F19"/>
    <w:rsid w:val="00227B81"/>
    <w:rsid w:val="00227F81"/>
    <w:rsid w:val="002321B6"/>
    <w:rsid w:val="002322AC"/>
    <w:rsid w:val="00233E35"/>
    <w:rsid w:val="00235244"/>
    <w:rsid w:val="002358E2"/>
    <w:rsid w:val="00237F28"/>
    <w:rsid w:val="00240FBF"/>
    <w:rsid w:val="00242098"/>
    <w:rsid w:val="00242107"/>
    <w:rsid w:val="002430EE"/>
    <w:rsid w:val="00245524"/>
    <w:rsid w:val="002505F6"/>
    <w:rsid w:val="0025061A"/>
    <w:rsid w:val="002549F5"/>
    <w:rsid w:val="00254B77"/>
    <w:rsid w:val="00257800"/>
    <w:rsid w:val="00257FBD"/>
    <w:rsid w:val="002615AA"/>
    <w:rsid w:val="00263284"/>
    <w:rsid w:val="00263A4E"/>
    <w:rsid w:val="00265A58"/>
    <w:rsid w:val="00265CC5"/>
    <w:rsid w:val="002705D4"/>
    <w:rsid w:val="002742EE"/>
    <w:rsid w:val="00274C7A"/>
    <w:rsid w:val="0027557D"/>
    <w:rsid w:val="00275B4B"/>
    <w:rsid w:val="00280601"/>
    <w:rsid w:val="00281BB6"/>
    <w:rsid w:val="00282690"/>
    <w:rsid w:val="002837D7"/>
    <w:rsid w:val="00284C5A"/>
    <w:rsid w:val="00284D14"/>
    <w:rsid w:val="00286307"/>
    <w:rsid w:val="00292B03"/>
    <w:rsid w:val="00293D39"/>
    <w:rsid w:val="002A0908"/>
    <w:rsid w:val="002A4527"/>
    <w:rsid w:val="002A4971"/>
    <w:rsid w:val="002B0360"/>
    <w:rsid w:val="002B7D2E"/>
    <w:rsid w:val="002C2372"/>
    <w:rsid w:val="002C2479"/>
    <w:rsid w:val="002C3537"/>
    <w:rsid w:val="002C39EC"/>
    <w:rsid w:val="002C4802"/>
    <w:rsid w:val="002C7167"/>
    <w:rsid w:val="002C7441"/>
    <w:rsid w:val="002D3196"/>
    <w:rsid w:val="002D5B0A"/>
    <w:rsid w:val="002D6A2C"/>
    <w:rsid w:val="002D6D4A"/>
    <w:rsid w:val="002D6DF3"/>
    <w:rsid w:val="002E00E8"/>
    <w:rsid w:val="002E1498"/>
    <w:rsid w:val="002E14B6"/>
    <w:rsid w:val="002E31CA"/>
    <w:rsid w:val="002E5196"/>
    <w:rsid w:val="002E715C"/>
    <w:rsid w:val="002E745F"/>
    <w:rsid w:val="002E77AF"/>
    <w:rsid w:val="002F0517"/>
    <w:rsid w:val="002F123C"/>
    <w:rsid w:val="002F1F71"/>
    <w:rsid w:val="002F2E55"/>
    <w:rsid w:val="002F4A93"/>
    <w:rsid w:val="002F53F1"/>
    <w:rsid w:val="002F712C"/>
    <w:rsid w:val="002F7EA6"/>
    <w:rsid w:val="00300DED"/>
    <w:rsid w:val="0030226D"/>
    <w:rsid w:val="003024BD"/>
    <w:rsid w:val="00302A76"/>
    <w:rsid w:val="00303549"/>
    <w:rsid w:val="00311AA4"/>
    <w:rsid w:val="00314607"/>
    <w:rsid w:val="00316570"/>
    <w:rsid w:val="003165A7"/>
    <w:rsid w:val="00317AC0"/>
    <w:rsid w:val="00317F35"/>
    <w:rsid w:val="003214B3"/>
    <w:rsid w:val="003220BE"/>
    <w:rsid w:val="0032213D"/>
    <w:rsid w:val="00322233"/>
    <w:rsid w:val="003229D3"/>
    <w:rsid w:val="00323AA3"/>
    <w:rsid w:val="00324BD0"/>
    <w:rsid w:val="00326A35"/>
    <w:rsid w:val="00326C09"/>
    <w:rsid w:val="00332411"/>
    <w:rsid w:val="003356DD"/>
    <w:rsid w:val="00336282"/>
    <w:rsid w:val="00336DA9"/>
    <w:rsid w:val="0033788F"/>
    <w:rsid w:val="00340CAC"/>
    <w:rsid w:val="00341111"/>
    <w:rsid w:val="00345ABF"/>
    <w:rsid w:val="0035145E"/>
    <w:rsid w:val="003537AD"/>
    <w:rsid w:val="00353EF9"/>
    <w:rsid w:val="00354B09"/>
    <w:rsid w:val="00355E99"/>
    <w:rsid w:val="00355FE7"/>
    <w:rsid w:val="00360827"/>
    <w:rsid w:val="00360FD2"/>
    <w:rsid w:val="00363EA0"/>
    <w:rsid w:val="00363F8B"/>
    <w:rsid w:val="00363FDD"/>
    <w:rsid w:val="003640E6"/>
    <w:rsid w:val="00364667"/>
    <w:rsid w:val="003646EE"/>
    <w:rsid w:val="00364A4A"/>
    <w:rsid w:val="00366589"/>
    <w:rsid w:val="003731B9"/>
    <w:rsid w:val="00374929"/>
    <w:rsid w:val="00374C0E"/>
    <w:rsid w:val="00380DC1"/>
    <w:rsid w:val="00381C3F"/>
    <w:rsid w:val="00381D36"/>
    <w:rsid w:val="0038211A"/>
    <w:rsid w:val="00384A53"/>
    <w:rsid w:val="0039460E"/>
    <w:rsid w:val="003952CA"/>
    <w:rsid w:val="003962F5"/>
    <w:rsid w:val="0039668F"/>
    <w:rsid w:val="00396E04"/>
    <w:rsid w:val="00397EE3"/>
    <w:rsid w:val="003A33D0"/>
    <w:rsid w:val="003A3DFA"/>
    <w:rsid w:val="003B0F47"/>
    <w:rsid w:val="003B175D"/>
    <w:rsid w:val="003B30EB"/>
    <w:rsid w:val="003B3990"/>
    <w:rsid w:val="003B3E81"/>
    <w:rsid w:val="003B4451"/>
    <w:rsid w:val="003B635F"/>
    <w:rsid w:val="003C08BE"/>
    <w:rsid w:val="003C16CB"/>
    <w:rsid w:val="003C2799"/>
    <w:rsid w:val="003C3A23"/>
    <w:rsid w:val="003C6C04"/>
    <w:rsid w:val="003C6CEA"/>
    <w:rsid w:val="003D1C8D"/>
    <w:rsid w:val="003D2BA3"/>
    <w:rsid w:val="003D2DA1"/>
    <w:rsid w:val="003D39E2"/>
    <w:rsid w:val="003D500D"/>
    <w:rsid w:val="003D67F0"/>
    <w:rsid w:val="003E2626"/>
    <w:rsid w:val="003E42F3"/>
    <w:rsid w:val="003E6156"/>
    <w:rsid w:val="003E75F8"/>
    <w:rsid w:val="003F1914"/>
    <w:rsid w:val="003F24B3"/>
    <w:rsid w:val="003F733B"/>
    <w:rsid w:val="003F74DA"/>
    <w:rsid w:val="00401D37"/>
    <w:rsid w:val="00401F0D"/>
    <w:rsid w:val="00402E39"/>
    <w:rsid w:val="00404A8F"/>
    <w:rsid w:val="00406451"/>
    <w:rsid w:val="004068BF"/>
    <w:rsid w:val="00410B27"/>
    <w:rsid w:val="004119A5"/>
    <w:rsid w:val="00421487"/>
    <w:rsid w:val="004240F6"/>
    <w:rsid w:val="004277DF"/>
    <w:rsid w:val="00430303"/>
    <w:rsid w:val="00431CB8"/>
    <w:rsid w:val="00432933"/>
    <w:rsid w:val="004353AE"/>
    <w:rsid w:val="00435C00"/>
    <w:rsid w:val="00440FD8"/>
    <w:rsid w:val="0044337B"/>
    <w:rsid w:val="00443951"/>
    <w:rsid w:val="00445EC1"/>
    <w:rsid w:val="00446502"/>
    <w:rsid w:val="0044740A"/>
    <w:rsid w:val="0045382A"/>
    <w:rsid w:val="004541F9"/>
    <w:rsid w:val="00456891"/>
    <w:rsid w:val="00456F4C"/>
    <w:rsid w:val="004574C8"/>
    <w:rsid w:val="004605F7"/>
    <w:rsid w:val="00460859"/>
    <w:rsid w:val="00461957"/>
    <w:rsid w:val="004624BC"/>
    <w:rsid w:val="004625C6"/>
    <w:rsid w:val="004667A5"/>
    <w:rsid w:val="0046688D"/>
    <w:rsid w:val="0047208A"/>
    <w:rsid w:val="004740AB"/>
    <w:rsid w:val="0047462E"/>
    <w:rsid w:val="00476D2F"/>
    <w:rsid w:val="00476E1F"/>
    <w:rsid w:val="00480644"/>
    <w:rsid w:val="00484E63"/>
    <w:rsid w:val="00485301"/>
    <w:rsid w:val="00486877"/>
    <w:rsid w:val="004873D1"/>
    <w:rsid w:val="00490529"/>
    <w:rsid w:val="00490759"/>
    <w:rsid w:val="00491E5F"/>
    <w:rsid w:val="00492370"/>
    <w:rsid w:val="0049465E"/>
    <w:rsid w:val="004977D2"/>
    <w:rsid w:val="0049794D"/>
    <w:rsid w:val="004A1526"/>
    <w:rsid w:val="004A1CEA"/>
    <w:rsid w:val="004A1D43"/>
    <w:rsid w:val="004A33C8"/>
    <w:rsid w:val="004A48D6"/>
    <w:rsid w:val="004A4FC3"/>
    <w:rsid w:val="004A67A9"/>
    <w:rsid w:val="004B1D54"/>
    <w:rsid w:val="004B2EBC"/>
    <w:rsid w:val="004B57A2"/>
    <w:rsid w:val="004B7DBE"/>
    <w:rsid w:val="004B7EB4"/>
    <w:rsid w:val="004C1908"/>
    <w:rsid w:val="004C2F49"/>
    <w:rsid w:val="004C31FE"/>
    <w:rsid w:val="004C3A5E"/>
    <w:rsid w:val="004C4E6C"/>
    <w:rsid w:val="004C6211"/>
    <w:rsid w:val="004C6C8E"/>
    <w:rsid w:val="004D0BE0"/>
    <w:rsid w:val="004D2BBC"/>
    <w:rsid w:val="004E0032"/>
    <w:rsid w:val="004E02D0"/>
    <w:rsid w:val="004E0581"/>
    <w:rsid w:val="004E0C11"/>
    <w:rsid w:val="004E2F80"/>
    <w:rsid w:val="004E4683"/>
    <w:rsid w:val="004E621E"/>
    <w:rsid w:val="004E694B"/>
    <w:rsid w:val="004F0A3F"/>
    <w:rsid w:val="004F0CBA"/>
    <w:rsid w:val="004F2A9C"/>
    <w:rsid w:val="004F2BEF"/>
    <w:rsid w:val="004F3ADB"/>
    <w:rsid w:val="004F3E92"/>
    <w:rsid w:val="004F5461"/>
    <w:rsid w:val="004F715B"/>
    <w:rsid w:val="004F7170"/>
    <w:rsid w:val="005043EB"/>
    <w:rsid w:val="00511820"/>
    <w:rsid w:val="00513B7C"/>
    <w:rsid w:val="00516131"/>
    <w:rsid w:val="00517131"/>
    <w:rsid w:val="00517A68"/>
    <w:rsid w:val="005202C2"/>
    <w:rsid w:val="00521311"/>
    <w:rsid w:val="005215C5"/>
    <w:rsid w:val="0052272D"/>
    <w:rsid w:val="005306B8"/>
    <w:rsid w:val="0053226F"/>
    <w:rsid w:val="00533063"/>
    <w:rsid w:val="00537FC1"/>
    <w:rsid w:val="005432A3"/>
    <w:rsid w:val="00544914"/>
    <w:rsid w:val="00544B44"/>
    <w:rsid w:val="00544D75"/>
    <w:rsid w:val="00547CBC"/>
    <w:rsid w:val="00550C78"/>
    <w:rsid w:val="00551D98"/>
    <w:rsid w:val="00552180"/>
    <w:rsid w:val="00552314"/>
    <w:rsid w:val="00552952"/>
    <w:rsid w:val="0055336B"/>
    <w:rsid w:val="00556722"/>
    <w:rsid w:val="005644A2"/>
    <w:rsid w:val="00564B01"/>
    <w:rsid w:val="00565E9F"/>
    <w:rsid w:val="005661BD"/>
    <w:rsid w:val="0056668D"/>
    <w:rsid w:val="005666B0"/>
    <w:rsid w:val="00571D45"/>
    <w:rsid w:val="005725FB"/>
    <w:rsid w:val="00572686"/>
    <w:rsid w:val="00573275"/>
    <w:rsid w:val="0057476A"/>
    <w:rsid w:val="00575A57"/>
    <w:rsid w:val="00575C81"/>
    <w:rsid w:val="00576110"/>
    <w:rsid w:val="00576762"/>
    <w:rsid w:val="00584791"/>
    <w:rsid w:val="00585AFE"/>
    <w:rsid w:val="005873AF"/>
    <w:rsid w:val="00592546"/>
    <w:rsid w:val="00593034"/>
    <w:rsid w:val="005A27AE"/>
    <w:rsid w:val="005A2876"/>
    <w:rsid w:val="005A469F"/>
    <w:rsid w:val="005A4AE1"/>
    <w:rsid w:val="005A4D52"/>
    <w:rsid w:val="005A55E7"/>
    <w:rsid w:val="005A5E05"/>
    <w:rsid w:val="005A6E5D"/>
    <w:rsid w:val="005A7193"/>
    <w:rsid w:val="005A75E3"/>
    <w:rsid w:val="005B5F3C"/>
    <w:rsid w:val="005C1411"/>
    <w:rsid w:val="005C4FBD"/>
    <w:rsid w:val="005C6458"/>
    <w:rsid w:val="005C741F"/>
    <w:rsid w:val="005D0619"/>
    <w:rsid w:val="005D0C6B"/>
    <w:rsid w:val="005D3790"/>
    <w:rsid w:val="005D3BCF"/>
    <w:rsid w:val="005D419B"/>
    <w:rsid w:val="005E0BDB"/>
    <w:rsid w:val="005E25BD"/>
    <w:rsid w:val="005E32BA"/>
    <w:rsid w:val="005E3F36"/>
    <w:rsid w:val="005E4FF9"/>
    <w:rsid w:val="005F1537"/>
    <w:rsid w:val="005F2B70"/>
    <w:rsid w:val="005F6ED4"/>
    <w:rsid w:val="005F7237"/>
    <w:rsid w:val="005F72CD"/>
    <w:rsid w:val="005F73A0"/>
    <w:rsid w:val="005F7533"/>
    <w:rsid w:val="00602F5F"/>
    <w:rsid w:val="00603481"/>
    <w:rsid w:val="00605E3C"/>
    <w:rsid w:val="006102D9"/>
    <w:rsid w:val="006116EC"/>
    <w:rsid w:val="006131D4"/>
    <w:rsid w:val="0061388C"/>
    <w:rsid w:val="006138D1"/>
    <w:rsid w:val="0061620B"/>
    <w:rsid w:val="00616752"/>
    <w:rsid w:val="006178B8"/>
    <w:rsid w:val="00620E6F"/>
    <w:rsid w:val="006246D7"/>
    <w:rsid w:val="00630ED7"/>
    <w:rsid w:val="00630EF6"/>
    <w:rsid w:val="00634E37"/>
    <w:rsid w:val="00634FF1"/>
    <w:rsid w:val="00636E17"/>
    <w:rsid w:val="00637570"/>
    <w:rsid w:val="00640D74"/>
    <w:rsid w:val="00641231"/>
    <w:rsid w:val="00643C78"/>
    <w:rsid w:val="006440A9"/>
    <w:rsid w:val="00651316"/>
    <w:rsid w:val="00651620"/>
    <w:rsid w:val="0065518B"/>
    <w:rsid w:val="006556A0"/>
    <w:rsid w:val="00655B3B"/>
    <w:rsid w:val="006570C2"/>
    <w:rsid w:val="00660D16"/>
    <w:rsid w:val="0066302F"/>
    <w:rsid w:val="00670450"/>
    <w:rsid w:val="006705EA"/>
    <w:rsid w:val="00672841"/>
    <w:rsid w:val="00672A15"/>
    <w:rsid w:val="00680970"/>
    <w:rsid w:val="00681846"/>
    <w:rsid w:val="00681B69"/>
    <w:rsid w:val="006826AF"/>
    <w:rsid w:val="00683089"/>
    <w:rsid w:val="00683298"/>
    <w:rsid w:val="00684308"/>
    <w:rsid w:val="006844B1"/>
    <w:rsid w:val="00691119"/>
    <w:rsid w:val="0069161E"/>
    <w:rsid w:val="006946A6"/>
    <w:rsid w:val="006955B8"/>
    <w:rsid w:val="00697392"/>
    <w:rsid w:val="006A3BC4"/>
    <w:rsid w:val="006A560F"/>
    <w:rsid w:val="006A62D3"/>
    <w:rsid w:val="006A6EBE"/>
    <w:rsid w:val="006B222A"/>
    <w:rsid w:val="006B5C35"/>
    <w:rsid w:val="006B719F"/>
    <w:rsid w:val="006C16FF"/>
    <w:rsid w:val="006C1BF2"/>
    <w:rsid w:val="006C1E71"/>
    <w:rsid w:val="006C261F"/>
    <w:rsid w:val="006C3135"/>
    <w:rsid w:val="006C5145"/>
    <w:rsid w:val="006C55B5"/>
    <w:rsid w:val="006C651F"/>
    <w:rsid w:val="006D226D"/>
    <w:rsid w:val="006D238B"/>
    <w:rsid w:val="006D3B1F"/>
    <w:rsid w:val="006D417A"/>
    <w:rsid w:val="006D6941"/>
    <w:rsid w:val="006D6BA8"/>
    <w:rsid w:val="006E099E"/>
    <w:rsid w:val="006E0ED3"/>
    <w:rsid w:val="006E1BF9"/>
    <w:rsid w:val="006F065B"/>
    <w:rsid w:val="006F06E0"/>
    <w:rsid w:val="006F0CA8"/>
    <w:rsid w:val="006F0DAF"/>
    <w:rsid w:val="006F3083"/>
    <w:rsid w:val="006F41AE"/>
    <w:rsid w:val="007010E5"/>
    <w:rsid w:val="00701A4C"/>
    <w:rsid w:val="00703261"/>
    <w:rsid w:val="00704387"/>
    <w:rsid w:val="007066CC"/>
    <w:rsid w:val="0070786E"/>
    <w:rsid w:val="007104E8"/>
    <w:rsid w:val="00710DEA"/>
    <w:rsid w:val="007130D4"/>
    <w:rsid w:val="0071527D"/>
    <w:rsid w:val="00715FE6"/>
    <w:rsid w:val="00716395"/>
    <w:rsid w:val="00716866"/>
    <w:rsid w:val="00717969"/>
    <w:rsid w:val="00722E5E"/>
    <w:rsid w:val="0072347A"/>
    <w:rsid w:val="007252BD"/>
    <w:rsid w:val="00725417"/>
    <w:rsid w:val="00726D4A"/>
    <w:rsid w:val="007275E1"/>
    <w:rsid w:val="00727BD8"/>
    <w:rsid w:val="00732AE4"/>
    <w:rsid w:val="0073621A"/>
    <w:rsid w:val="007364C6"/>
    <w:rsid w:val="007419A3"/>
    <w:rsid w:val="00741D0D"/>
    <w:rsid w:val="0074296C"/>
    <w:rsid w:val="007450B0"/>
    <w:rsid w:val="00747262"/>
    <w:rsid w:val="00751B98"/>
    <w:rsid w:val="007530FE"/>
    <w:rsid w:val="00755513"/>
    <w:rsid w:val="00757EE7"/>
    <w:rsid w:val="00760C33"/>
    <w:rsid w:val="00760F2B"/>
    <w:rsid w:val="00761FCF"/>
    <w:rsid w:val="007626DA"/>
    <w:rsid w:val="007636E1"/>
    <w:rsid w:val="007637E9"/>
    <w:rsid w:val="00764A28"/>
    <w:rsid w:val="00764D6A"/>
    <w:rsid w:val="0076678B"/>
    <w:rsid w:val="00766A2D"/>
    <w:rsid w:val="00770160"/>
    <w:rsid w:val="00770C9B"/>
    <w:rsid w:val="00773056"/>
    <w:rsid w:val="007735E8"/>
    <w:rsid w:val="00780BD7"/>
    <w:rsid w:val="00780F2E"/>
    <w:rsid w:val="007819F4"/>
    <w:rsid w:val="00791057"/>
    <w:rsid w:val="00794C65"/>
    <w:rsid w:val="00797080"/>
    <w:rsid w:val="007970DA"/>
    <w:rsid w:val="007973EC"/>
    <w:rsid w:val="007A3A97"/>
    <w:rsid w:val="007A4B65"/>
    <w:rsid w:val="007A5D10"/>
    <w:rsid w:val="007A727D"/>
    <w:rsid w:val="007A7E81"/>
    <w:rsid w:val="007B078D"/>
    <w:rsid w:val="007B14C2"/>
    <w:rsid w:val="007B2B61"/>
    <w:rsid w:val="007B320D"/>
    <w:rsid w:val="007B3462"/>
    <w:rsid w:val="007B4917"/>
    <w:rsid w:val="007B4FAB"/>
    <w:rsid w:val="007C0208"/>
    <w:rsid w:val="007C0D81"/>
    <w:rsid w:val="007C358A"/>
    <w:rsid w:val="007C524D"/>
    <w:rsid w:val="007C78B1"/>
    <w:rsid w:val="007C7D77"/>
    <w:rsid w:val="007D34D0"/>
    <w:rsid w:val="007D3953"/>
    <w:rsid w:val="007D5495"/>
    <w:rsid w:val="007D5CF5"/>
    <w:rsid w:val="007E00BE"/>
    <w:rsid w:val="007E0518"/>
    <w:rsid w:val="007E2676"/>
    <w:rsid w:val="007E424D"/>
    <w:rsid w:val="007E7051"/>
    <w:rsid w:val="007F17E0"/>
    <w:rsid w:val="007F39D3"/>
    <w:rsid w:val="007F3C2D"/>
    <w:rsid w:val="007F3DAE"/>
    <w:rsid w:val="007F4E9E"/>
    <w:rsid w:val="007F5979"/>
    <w:rsid w:val="007F661F"/>
    <w:rsid w:val="007F724F"/>
    <w:rsid w:val="007F790F"/>
    <w:rsid w:val="00803499"/>
    <w:rsid w:val="0080730F"/>
    <w:rsid w:val="00807934"/>
    <w:rsid w:val="00811462"/>
    <w:rsid w:val="0081241C"/>
    <w:rsid w:val="0081273A"/>
    <w:rsid w:val="008137DF"/>
    <w:rsid w:val="00813CC5"/>
    <w:rsid w:val="00814B2A"/>
    <w:rsid w:val="0081549C"/>
    <w:rsid w:val="008166AD"/>
    <w:rsid w:val="00817056"/>
    <w:rsid w:val="008204CD"/>
    <w:rsid w:val="00820F04"/>
    <w:rsid w:val="008260C3"/>
    <w:rsid w:val="008271A9"/>
    <w:rsid w:val="008273EC"/>
    <w:rsid w:val="008309A3"/>
    <w:rsid w:val="008323DD"/>
    <w:rsid w:val="00833996"/>
    <w:rsid w:val="00833C63"/>
    <w:rsid w:val="00840711"/>
    <w:rsid w:val="00841FE1"/>
    <w:rsid w:val="008425C5"/>
    <w:rsid w:val="008459F3"/>
    <w:rsid w:val="0084688C"/>
    <w:rsid w:val="008526F2"/>
    <w:rsid w:val="00852D40"/>
    <w:rsid w:val="00857A0F"/>
    <w:rsid w:val="0086304C"/>
    <w:rsid w:val="008641C9"/>
    <w:rsid w:val="00864386"/>
    <w:rsid w:val="00867C33"/>
    <w:rsid w:val="0087014C"/>
    <w:rsid w:val="008701AC"/>
    <w:rsid w:val="00871F68"/>
    <w:rsid w:val="00874CAB"/>
    <w:rsid w:val="00876A41"/>
    <w:rsid w:val="00880376"/>
    <w:rsid w:val="00880C45"/>
    <w:rsid w:val="00880E21"/>
    <w:rsid w:val="00884E3A"/>
    <w:rsid w:val="00892CC1"/>
    <w:rsid w:val="008933DB"/>
    <w:rsid w:val="00893E36"/>
    <w:rsid w:val="0089512F"/>
    <w:rsid w:val="008A0BBB"/>
    <w:rsid w:val="008A0EE3"/>
    <w:rsid w:val="008A206F"/>
    <w:rsid w:val="008A263A"/>
    <w:rsid w:val="008A3A44"/>
    <w:rsid w:val="008A40F4"/>
    <w:rsid w:val="008A4CF2"/>
    <w:rsid w:val="008A61FE"/>
    <w:rsid w:val="008A7AF0"/>
    <w:rsid w:val="008A7D81"/>
    <w:rsid w:val="008B0203"/>
    <w:rsid w:val="008B603F"/>
    <w:rsid w:val="008B7E0C"/>
    <w:rsid w:val="008C19BD"/>
    <w:rsid w:val="008C22B1"/>
    <w:rsid w:val="008C30F4"/>
    <w:rsid w:val="008C5136"/>
    <w:rsid w:val="008C61C9"/>
    <w:rsid w:val="008D11FD"/>
    <w:rsid w:val="008D1A19"/>
    <w:rsid w:val="008D36E7"/>
    <w:rsid w:val="008D39A9"/>
    <w:rsid w:val="008D619B"/>
    <w:rsid w:val="008D68D1"/>
    <w:rsid w:val="008D7F21"/>
    <w:rsid w:val="008E2377"/>
    <w:rsid w:val="008E3860"/>
    <w:rsid w:val="008F2587"/>
    <w:rsid w:val="008F2688"/>
    <w:rsid w:val="008F407B"/>
    <w:rsid w:val="009005DB"/>
    <w:rsid w:val="0090310A"/>
    <w:rsid w:val="0090322B"/>
    <w:rsid w:val="009045E6"/>
    <w:rsid w:val="00905296"/>
    <w:rsid w:val="009064C5"/>
    <w:rsid w:val="00906F61"/>
    <w:rsid w:val="009070A6"/>
    <w:rsid w:val="00907A12"/>
    <w:rsid w:val="00910620"/>
    <w:rsid w:val="0091361C"/>
    <w:rsid w:val="00914882"/>
    <w:rsid w:val="009171B5"/>
    <w:rsid w:val="00917719"/>
    <w:rsid w:val="00920485"/>
    <w:rsid w:val="00920C50"/>
    <w:rsid w:val="00923CC9"/>
    <w:rsid w:val="00923E9F"/>
    <w:rsid w:val="00930F6A"/>
    <w:rsid w:val="009319BC"/>
    <w:rsid w:val="00931F9A"/>
    <w:rsid w:val="0093238C"/>
    <w:rsid w:val="00932D6E"/>
    <w:rsid w:val="00933A06"/>
    <w:rsid w:val="00933B2D"/>
    <w:rsid w:val="0093673C"/>
    <w:rsid w:val="009407B6"/>
    <w:rsid w:val="00941CFC"/>
    <w:rsid w:val="00946834"/>
    <w:rsid w:val="00946890"/>
    <w:rsid w:val="00946A37"/>
    <w:rsid w:val="00950490"/>
    <w:rsid w:val="00951354"/>
    <w:rsid w:val="009542EE"/>
    <w:rsid w:val="00955C58"/>
    <w:rsid w:val="00957D97"/>
    <w:rsid w:val="009611F1"/>
    <w:rsid w:val="009615F7"/>
    <w:rsid w:val="0096177D"/>
    <w:rsid w:val="00962F24"/>
    <w:rsid w:val="00964212"/>
    <w:rsid w:val="0096472C"/>
    <w:rsid w:val="00966C26"/>
    <w:rsid w:val="0097160C"/>
    <w:rsid w:val="00971B9E"/>
    <w:rsid w:val="0097383B"/>
    <w:rsid w:val="009776BD"/>
    <w:rsid w:val="009778C3"/>
    <w:rsid w:val="00977B74"/>
    <w:rsid w:val="009806AB"/>
    <w:rsid w:val="00984B86"/>
    <w:rsid w:val="00985F24"/>
    <w:rsid w:val="00986D11"/>
    <w:rsid w:val="009911C5"/>
    <w:rsid w:val="0099383D"/>
    <w:rsid w:val="00993FDA"/>
    <w:rsid w:val="00994E6C"/>
    <w:rsid w:val="00997F75"/>
    <w:rsid w:val="009A0656"/>
    <w:rsid w:val="009A0E3D"/>
    <w:rsid w:val="009A2B24"/>
    <w:rsid w:val="009A4A6B"/>
    <w:rsid w:val="009A4A8A"/>
    <w:rsid w:val="009A5FFC"/>
    <w:rsid w:val="009A7AEB"/>
    <w:rsid w:val="009B1865"/>
    <w:rsid w:val="009B1D21"/>
    <w:rsid w:val="009B2E36"/>
    <w:rsid w:val="009B2FCD"/>
    <w:rsid w:val="009B59D0"/>
    <w:rsid w:val="009B64FE"/>
    <w:rsid w:val="009B65BE"/>
    <w:rsid w:val="009B7369"/>
    <w:rsid w:val="009C010D"/>
    <w:rsid w:val="009C5F12"/>
    <w:rsid w:val="009D3572"/>
    <w:rsid w:val="009D3D80"/>
    <w:rsid w:val="009D3F2E"/>
    <w:rsid w:val="009D5007"/>
    <w:rsid w:val="009D5575"/>
    <w:rsid w:val="009D688A"/>
    <w:rsid w:val="009D6BAC"/>
    <w:rsid w:val="009D77D9"/>
    <w:rsid w:val="009E159D"/>
    <w:rsid w:val="009E2302"/>
    <w:rsid w:val="009E2823"/>
    <w:rsid w:val="009E3600"/>
    <w:rsid w:val="009E4F23"/>
    <w:rsid w:val="009E5DB4"/>
    <w:rsid w:val="009E679E"/>
    <w:rsid w:val="009F206D"/>
    <w:rsid w:val="009F2974"/>
    <w:rsid w:val="009F344E"/>
    <w:rsid w:val="009F43C1"/>
    <w:rsid w:val="009F451C"/>
    <w:rsid w:val="009F5104"/>
    <w:rsid w:val="009F662F"/>
    <w:rsid w:val="00A04A9A"/>
    <w:rsid w:val="00A07E1A"/>
    <w:rsid w:val="00A10C64"/>
    <w:rsid w:val="00A1111A"/>
    <w:rsid w:val="00A11429"/>
    <w:rsid w:val="00A14A39"/>
    <w:rsid w:val="00A2384B"/>
    <w:rsid w:val="00A23880"/>
    <w:rsid w:val="00A24BEA"/>
    <w:rsid w:val="00A25AEC"/>
    <w:rsid w:val="00A25E62"/>
    <w:rsid w:val="00A30934"/>
    <w:rsid w:val="00A32CE8"/>
    <w:rsid w:val="00A3601F"/>
    <w:rsid w:val="00A36766"/>
    <w:rsid w:val="00A41149"/>
    <w:rsid w:val="00A44020"/>
    <w:rsid w:val="00A47E83"/>
    <w:rsid w:val="00A50B92"/>
    <w:rsid w:val="00A53257"/>
    <w:rsid w:val="00A532E4"/>
    <w:rsid w:val="00A56345"/>
    <w:rsid w:val="00A60CE5"/>
    <w:rsid w:val="00A619C9"/>
    <w:rsid w:val="00A6696D"/>
    <w:rsid w:val="00A70441"/>
    <w:rsid w:val="00A737B9"/>
    <w:rsid w:val="00A747AE"/>
    <w:rsid w:val="00A74F9B"/>
    <w:rsid w:val="00A75F32"/>
    <w:rsid w:val="00A81029"/>
    <w:rsid w:val="00A83868"/>
    <w:rsid w:val="00A85090"/>
    <w:rsid w:val="00A853DE"/>
    <w:rsid w:val="00A8658C"/>
    <w:rsid w:val="00A877C0"/>
    <w:rsid w:val="00A90BB8"/>
    <w:rsid w:val="00A91307"/>
    <w:rsid w:val="00A9165A"/>
    <w:rsid w:val="00A9179D"/>
    <w:rsid w:val="00A93526"/>
    <w:rsid w:val="00A94598"/>
    <w:rsid w:val="00A957F6"/>
    <w:rsid w:val="00A97824"/>
    <w:rsid w:val="00AA0794"/>
    <w:rsid w:val="00AA0861"/>
    <w:rsid w:val="00AA09E9"/>
    <w:rsid w:val="00AA10F1"/>
    <w:rsid w:val="00AA1850"/>
    <w:rsid w:val="00AA3089"/>
    <w:rsid w:val="00AA59FD"/>
    <w:rsid w:val="00AA6041"/>
    <w:rsid w:val="00AB17E4"/>
    <w:rsid w:val="00AB2520"/>
    <w:rsid w:val="00AB27A9"/>
    <w:rsid w:val="00AB3252"/>
    <w:rsid w:val="00AB5315"/>
    <w:rsid w:val="00AB5630"/>
    <w:rsid w:val="00AB56DD"/>
    <w:rsid w:val="00AB744E"/>
    <w:rsid w:val="00AB7911"/>
    <w:rsid w:val="00AB7E35"/>
    <w:rsid w:val="00AC1541"/>
    <w:rsid w:val="00AC1970"/>
    <w:rsid w:val="00AC1AB0"/>
    <w:rsid w:val="00AC1C63"/>
    <w:rsid w:val="00AC2492"/>
    <w:rsid w:val="00AC34C4"/>
    <w:rsid w:val="00AC35F5"/>
    <w:rsid w:val="00AC3CBC"/>
    <w:rsid w:val="00AC5A47"/>
    <w:rsid w:val="00AC6DF5"/>
    <w:rsid w:val="00AC7119"/>
    <w:rsid w:val="00AD133B"/>
    <w:rsid w:val="00AD58EB"/>
    <w:rsid w:val="00AD68FD"/>
    <w:rsid w:val="00AD6DA3"/>
    <w:rsid w:val="00AD6DF6"/>
    <w:rsid w:val="00AE0365"/>
    <w:rsid w:val="00AE1BF6"/>
    <w:rsid w:val="00AE2E0D"/>
    <w:rsid w:val="00AE4237"/>
    <w:rsid w:val="00AE583D"/>
    <w:rsid w:val="00AE642C"/>
    <w:rsid w:val="00AE692D"/>
    <w:rsid w:val="00AF4B90"/>
    <w:rsid w:val="00AF6EF2"/>
    <w:rsid w:val="00AF78C5"/>
    <w:rsid w:val="00B02B9B"/>
    <w:rsid w:val="00B02D48"/>
    <w:rsid w:val="00B02F55"/>
    <w:rsid w:val="00B04411"/>
    <w:rsid w:val="00B0661B"/>
    <w:rsid w:val="00B07BE3"/>
    <w:rsid w:val="00B07D89"/>
    <w:rsid w:val="00B11179"/>
    <w:rsid w:val="00B15AD0"/>
    <w:rsid w:val="00B1633C"/>
    <w:rsid w:val="00B205B3"/>
    <w:rsid w:val="00B206E3"/>
    <w:rsid w:val="00B21339"/>
    <w:rsid w:val="00B226F2"/>
    <w:rsid w:val="00B22EA6"/>
    <w:rsid w:val="00B23E63"/>
    <w:rsid w:val="00B252EB"/>
    <w:rsid w:val="00B264BA"/>
    <w:rsid w:val="00B26DE5"/>
    <w:rsid w:val="00B31B7A"/>
    <w:rsid w:val="00B33016"/>
    <w:rsid w:val="00B36932"/>
    <w:rsid w:val="00B432A4"/>
    <w:rsid w:val="00B51F83"/>
    <w:rsid w:val="00B53054"/>
    <w:rsid w:val="00B54780"/>
    <w:rsid w:val="00B5740E"/>
    <w:rsid w:val="00B577BE"/>
    <w:rsid w:val="00B60C14"/>
    <w:rsid w:val="00B628C3"/>
    <w:rsid w:val="00B646B9"/>
    <w:rsid w:val="00B67EAA"/>
    <w:rsid w:val="00B751FF"/>
    <w:rsid w:val="00B822D4"/>
    <w:rsid w:val="00B838C5"/>
    <w:rsid w:val="00B84485"/>
    <w:rsid w:val="00B84DAD"/>
    <w:rsid w:val="00B85C4B"/>
    <w:rsid w:val="00B8613A"/>
    <w:rsid w:val="00B861B4"/>
    <w:rsid w:val="00B87B98"/>
    <w:rsid w:val="00B908B5"/>
    <w:rsid w:val="00B96828"/>
    <w:rsid w:val="00B97E61"/>
    <w:rsid w:val="00BA1727"/>
    <w:rsid w:val="00BA2DC2"/>
    <w:rsid w:val="00BA386F"/>
    <w:rsid w:val="00BA5133"/>
    <w:rsid w:val="00BA5C4A"/>
    <w:rsid w:val="00BA61B1"/>
    <w:rsid w:val="00BB0D0F"/>
    <w:rsid w:val="00BB39BB"/>
    <w:rsid w:val="00BB3B24"/>
    <w:rsid w:val="00BB79CB"/>
    <w:rsid w:val="00BC1616"/>
    <w:rsid w:val="00BC1C09"/>
    <w:rsid w:val="00BC3385"/>
    <w:rsid w:val="00BC3681"/>
    <w:rsid w:val="00BC36DE"/>
    <w:rsid w:val="00BC3B52"/>
    <w:rsid w:val="00BC3FFA"/>
    <w:rsid w:val="00BC433A"/>
    <w:rsid w:val="00BC46C6"/>
    <w:rsid w:val="00BD0641"/>
    <w:rsid w:val="00BD2723"/>
    <w:rsid w:val="00BD2752"/>
    <w:rsid w:val="00BD4FF7"/>
    <w:rsid w:val="00BD528F"/>
    <w:rsid w:val="00BE064D"/>
    <w:rsid w:val="00BE0D53"/>
    <w:rsid w:val="00BE1A69"/>
    <w:rsid w:val="00BE1BE8"/>
    <w:rsid w:val="00BE284D"/>
    <w:rsid w:val="00BE561A"/>
    <w:rsid w:val="00BE74E6"/>
    <w:rsid w:val="00BE7B48"/>
    <w:rsid w:val="00BF0513"/>
    <w:rsid w:val="00BF0C05"/>
    <w:rsid w:val="00BF2DD5"/>
    <w:rsid w:val="00BF4E55"/>
    <w:rsid w:val="00BF71E7"/>
    <w:rsid w:val="00C00006"/>
    <w:rsid w:val="00C003C5"/>
    <w:rsid w:val="00C01ABB"/>
    <w:rsid w:val="00C02519"/>
    <w:rsid w:val="00C02FBD"/>
    <w:rsid w:val="00C0384A"/>
    <w:rsid w:val="00C0556A"/>
    <w:rsid w:val="00C06309"/>
    <w:rsid w:val="00C0667A"/>
    <w:rsid w:val="00C07F8F"/>
    <w:rsid w:val="00C10B6D"/>
    <w:rsid w:val="00C12ACE"/>
    <w:rsid w:val="00C12DB3"/>
    <w:rsid w:val="00C12E9A"/>
    <w:rsid w:val="00C13D61"/>
    <w:rsid w:val="00C1590A"/>
    <w:rsid w:val="00C216E8"/>
    <w:rsid w:val="00C22F70"/>
    <w:rsid w:val="00C23A92"/>
    <w:rsid w:val="00C24BEB"/>
    <w:rsid w:val="00C256A2"/>
    <w:rsid w:val="00C271B5"/>
    <w:rsid w:val="00C27810"/>
    <w:rsid w:val="00C33358"/>
    <w:rsid w:val="00C33984"/>
    <w:rsid w:val="00C357B1"/>
    <w:rsid w:val="00C3646C"/>
    <w:rsid w:val="00C364D5"/>
    <w:rsid w:val="00C37863"/>
    <w:rsid w:val="00C416EC"/>
    <w:rsid w:val="00C448A8"/>
    <w:rsid w:val="00C453C9"/>
    <w:rsid w:val="00C472E6"/>
    <w:rsid w:val="00C509ED"/>
    <w:rsid w:val="00C52D3F"/>
    <w:rsid w:val="00C60883"/>
    <w:rsid w:val="00C61209"/>
    <w:rsid w:val="00C61215"/>
    <w:rsid w:val="00C61BB7"/>
    <w:rsid w:val="00C62379"/>
    <w:rsid w:val="00C63455"/>
    <w:rsid w:val="00C70FF4"/>
    <w:rsid w:val="00C723A8"/>
    <w:rsid w:val="00C7734E"/>
    <w:rsid w:val="00C81B15"/>
    <w:rsid w:val="00C82DF4"/>
    <w:rsid w:val="00C85912"/>
    <w:rsid w:val="00C85C62"/>
    <w:rsid w:val="00C86841"/>
    <w:rsid w:val="00C9434A"/>
    <w:rsid w:val="00C9451C"/>
    <w:rsid w:val="00CA0E23"/>
    <w:rsid w:val="00CA3C38"/>
    <w:rsid w:val="00CA5531"/>
    <w:rsid w:val="00CA5A3E"/>
    <w:rsid w:val="00CA75BC"/>
    <w:rsid w:val="00CB058E"/>
    <w:rsid w:val="00CB097A"/>
    <w:rsid w:val="00CB0FCE"/>
    <w:rsid w:val="00CB190E"/>
    <w:rsid w:val="00CB2439"/>
    <w:rsid w:val="00CB5420"/>
    <w:rsid w:val="00CB7AD3"/>
    <w:rsid w:val="00CC0A94"/>
    <w:rsid w:val="00CC2BED"/>
    <w:rsid w:val="00CC6C70"/>
    <w:rsid w:val="00CC7638"/>
    <w:rsid w:val="00CD245F"/>
    <w:rsid w:val="00CD260A"/>
    <w:rsid w:val="00CD459E"/>
    <w:rsid w:val="00CD51A2"/>
    <w:rsid w:val="00CD7CAB"/>
    <w:rsid w:val="00CE1EB5"/>
    <w:rsid w:val="00CE657A"/>
    <w:rsid w:val="00CF4F5E"/>
    <w:rsid w:val="00CF78AD"/>
    <w:rsid w:val="00D033DF"/>
    <w:rsid w:val="00D05283"/>
    <w:rsid w:val="00D05D03"/>
    <w:rsid w:val="00D07F7D"/>
    <w:rsid w:val="00D1032B"/>
    <w:rsid w:val="00D121C9"/>
    <w:rsid w:val="00D127CA"/>
    <w:rsid w:val="00D13079"/>
    <w:rsid w:val="00D14190"/>
    <w:rsid w:val="00D141A1"/>
    <w:rsid w:val="00D14757"/>
    <w:rsid w:val="00D15699"/>
    <w:rsid w:val="00D16280"/>
    <w:rsid w:val="00D17852"/>
    <w:rsid w:val="00D22989"/>
    <w:rsid w:val="00D258A4"/>
    <w:rsid w:val="00D262D5"/>
    <w:rsid w:val="00D31786"/>
    <w:rsid w:val="00D34846"/>
    <w:rsid w:val="00D34F58"/>
    <w:rsid w:val="00D3529F"/>
    <w:rsid w:val="00D40A87"/>
    <w:rsid w:val="00D4253C"/>
    <w:rsid w:val="00D44A7E"/>
    <w:rsid w:val="00D4554E"/>
    <w:rsid w:val="00D45FB3"/>
    <w:rsid w:val="00D47121"/>
    <w:rsid w:val="00D50DF2"/>
    <w:rsid w:val="00D516E9"/>
    <w:rsid w:val="00D51752"/>
    <w:rsid w:val="00D530DC"/>
    <w:rsid w:val="00D56030"/>
    <w:rsid w:val="00D56E51"/>
    <w:rsid w:val="00D573D2"/>
    <w:rsid w:val="00D60B6F"/>
    <w:rsid w:val="00D65C8D"/>
    <w:rsid w:val="00D65CD1"/>
    <w:rsid w:val="00D6626A"/>
    <w:rsid w:val="00D71FAB"/>
    <w:rsid w:val="00D725F4"/>
    <w:rsid w:val="00D72E66"/>
    <w:rsid w:val="00D7423E"/>
    <w:rsid w:val="00D769B4"/>
    <w:rsid w:val="00D81DF0"/>
    <w:rsid w:val="00D82963"/>
    <w:rsid w:val="00D83052"/>
    <w:rsid w:val="00D83BEE"/>
    <w:rsid w:val="00D842AC"/>
    <w:rsid w:val="00D84C7A"/>
    <w:rsid w:val="00D85AA5"/>
    <w:rsid w:val="00D86640"/>
    <w:rsid w:val="00D91659"/>
    <w:rsid w:val="00D94468"/>
    <w:rsid w:val="00D96406"/>
    <w:rsid w:val="00DA2F47"/>
    <w:rsid w:val="00DA4433"/>
    <w:rsid w:val="00DA71B8"/>
    <w:rsid w:val="00DB1EF3"/>
    <w:rsid w:val="00DB29C0"/>
    <w:rsid w:val="00DB353C"/>
    <w:rsid w:val="00DB36D9"/>
    <w:rsid w:val="00DB4B1B"/>
    <w:rsid w:val="00DB6094"/>
    <w:rsid w:val="00DC153D"/>
    <w:rsid w:val="00DC1E94"/>
    <w:rsid w:val="00DC27F7"/>
    <w:rsid w:val="00DC2C0E"/>
    <w:rsid w:val="00DC44FC"/>
    <w:rsid w:val="00DC477F"/>
    <w:rsid w:val="00DC5916"/>
    <w:rsid w:val="00DC5A84"/>
    <w:rsid w:val="00DC65D8"/>
    <w:rsid w:val="00DD3216"/>
    <w:rsid w:val="00DD3797"/>
    <w:rsid w:val="00DD437F"/>
    <w:rsid w:val="00DD4CF7"/>
    <w:rsid w:val="00DD57AA"/>
    <w:rsid w:val="00DD71EF"/>
    <w:rsid w:val="00DE00C0"/>
    <w:rsid w:val="00DE0AAE"/>
    <w:rsid w:val="00DE0ACE"/>
    <w:rsid w:val="00DE14CA"/>
    <w:rsid w:val="00DE47CB"/>
    <w:rsid w:val="00DE543C"/>
    <w:rsid w:val="00DE5EA1"/>
    <w:rsid w:val="00DE6189"/>
    <w:rsid w:val="00DF018E"/>
    <w:rsid w:val="00DF01A1"/>
    <w:rsid w:val="00DF05F6"/>
    <w:rsid w:val="00DF1639"/>
    <w:rsid w:val="00DF2F30"/>
    <w:rsid w:val="00DF326D"/>
    <w:rsid w:val="00DF3AA7"/>
    <w:rsid w:val="00DF5279"/>
    <w:rsid w:val="00DF539C"/>
    <w:rsid w:val="00E00021"/>
    <w:rsid w:val="00E002A3"/>
    <w:rsid w:val="00E003F5"/>
    <w:rsid w:val="00E036DD"/>
    <w:rsid w:val="00E046A9"/>
    <w:rsid w:val="00E056E0"/>
    <w:rsid w:val="00E11100"/>
    <w:rsid w:val="00E11BF6"/>
    <w:rsid w:val="00E13B44"/>
    <w:rsid w:val="00E15973"/>
    <w:rsid w:val="00E16992"/>
    <w:rsid w:val="00E204BF"/>
    <w:rsid w:val="00E2071B"/>
    <w:rsid w:val="00E20810"/>
    <w:rsid w:val="00E225E7"/>
    <w:rsid w:val="00E22833"/>
    <w:rsid w:val="00E23E14"/>
    <w:rsid w:val="00E25F76"/>
    <w:rsid w:val="00E3149F"/>
    <w:rsid w:val="00E31A2E"/>
    <w:rsid w:val="00E3210B"/>
    <w:rsid w:val="00E32D39"/>
    <w:rsid w:val="00E33EA5"/>
    <w:rsid w:val="00E34D7D"/>
    <w:rsid w:val="00E369E0"/>
    <w:rsid w:val="00E373EF"/>
    <w:rsid w:val="00E40FB0"/>
    <w:rsid w:val="00E42FD2"/>
    <w:rsid w:val="00E47273"/>
    <w:rsid w:val="00E5061A"/>
    <w:rsid w:val="00E64D7A"/>
    <w:rsid w:val="00E651D4"/>
    <w:rsid w:val="00E66FA7"/>
    <w:rsid w:val="00E711BD"/>
    <w:rsid w:val="00E724CB"/>
    <w:rsid w:val="00E72DAA"/>
    <w:rsid w:val="00E74F2F"/>
    <w:rsid w:val="00E80B46"/>
    <w:rsid w:val="00E80F1C"/>
    <w:rsid w:val="00E84AB4"/>
    <w:rsid w:val="00E863F4"/>
    <w:rsid w:val="00E87EEE"/>
    <w:rsid w:val="00E9106A"/>
    <w:rsid w:val="00E91D72"/>
    <w:rsid w:val="00E9302B"/>
    <w:rsid w:val="00E9418D"/>
    <w:rsid w:val="00E947D0"/>
    <w:rsid w:val="00E94F9C"/>
    <w:rsid w:val="00E97F60"/>
    <w:rsid w:val="00EA27EE"/>
    <w:rsid w:val="00EA3BAA"/>
    <w:rsid w:val="00EA4ADA"/>
    <w:rsid w:val="00EA4DE4"/>
    <w:rsid w:val="00EA6559"/>
    <w:rsid w:val="00EA6D0D"/>
    <w:rsid w:val="00EB22AC"/>
    <w:rsid w:val="00EB35DD"/>
    <w:rsid w:val="00EB4C55"/>
    <w:rsid w:val="00EB507F"/>
    <w:rsid w:val="00EC03A8"/>
    <w:rsid w:val="00EC40D3"/>
    <w:rsid w:val="00EC4573"/>
    <w:rsid w:val="00EC4F88"/>
    <w:rsid w:val="00EC524C"/>
    <w:rsid w:val="00EC5B6D"/>
    <w:rsid w:val="00EC5F42"/>
    <w:rsid w:val="00EC7B73"/>
    <w:rsid w:val="00ED02B1"/>
    <w:rsid w:val="00EE07D1"/>
    <w:rsid w:val="00EE31D7"/>
    <w:rsid w:val="00EE4833"/>
    <w:rsid w:val="00EE575B"/>
    <w:rsid w:val="00EE6509"/>
    <w:rsid w:val="00EF0DC7"/>
    <w:rsid w:val="00EF3220"/>
    <w:rsid w:val="00EF3478"/>
    <w:rsid w:val="00EF55CC"/>
    <w:rsid w:val="00EF7832"/>
    <w:rsid w:val="00F0198B"/>
    <w:rsid w:val="00F04487"/>
    <w:rsid w:val="00F04729"/>
    <w:rsid w:val="00F04FCE"/>
    <w:rsid w:val="00F05778"/>
    <w:rsid w:val="00F14EB3"/>
    <w:rsid w:val="00F1643E"/>
    <w:rsid w:val="00F20671"/>
    <w:rsid w:val="00F20E4D"/>
    <w:rsid w:val="00F232BF"/>
    <w:rsid w:val="00F25D08"/>
    <w:rsid w:val="00F269C7"/>
    <w:rsid w:val="00F3109E"/>
    <w:rsid w:val="00F3162D"/>
    <w:rsid w:val="00F40BD1"/>
    <w:rsid w:val="00F42135"/>
    <w:rsid w:val="00F43CBF"/>
    <w:rsid w:val="00F44312"/>
    <w:rsid w:val="00F448C4"/>
    <w:rsid w:val="00F45276"/>
    <w:rsid w:val="00F46B3A"/>
    <w:rsid w:val="00F46BF7"/>
    <w:rsid w:val="00F4770C"/>
    <w:rsid w:val="00F507A2"/>
    <w:rsid w:val="00F542D7"/>
    <w:rsid w:val="00F5601F"/>
    <w:rsid w:val="00F56E55"/>
    <w:rsid w:val="00F600F5"/>
    <w:rsid w:val="00F603CB"/>
    <w:rsid w:val="00F61956"/>
    <w:rsid w:val="00F621CA"/>
    <w:rsid w:val="00F64959"/>
    <w:rsid w:val="00F66635"/>
    <w:rsid w:val="00F7042A"/>
    <w:rsid w:val="00F738A9"/>
    <w:rsid w:val="00F7603A"/>
    <w:rsid w:val="00F76989"/>
    <w:rsid w:val="00F81553"/>
    <w:rsid w:val="00F828BB"/>
    <w:rsid w:val="00F8293B"/>
    <w:rsid w:val="00F82F27"/>
    <w:rsid w:val="00F83CC7"/>
    <w:rsid w:val="00F849A3"/>
    <w:rsid w:val="00F85392"/>
    <w:rsid w:val="00F933A1"/>
    <w:rsid w:val="00F93A7C"/>
    <w:rsid w:val="00F96A61"/>
    <w:rsid w:val="00F97129"/>
    <w:rsid w:val="00FA0144"/>
    <w:rsid w:val="00FA0A21"/>
    <w:rsid w:val="00FA21F0"/>
    <w:rsid w:val="00FA2743"/>
    <w:rsid w:val="00FA34AA"/>
    <w:rsid w:val="00FA427C"/>
    <w:rsid w:val="00FA4C7F"/>
    <w:rsid w:val="00FA75EA"/>
    <w:rsid w:val="00FB206D"/>
    <w:rsid w:val="00FB3D5E"/>
    <w:rsid w:val="00FB5FD7"/>
    <w:rsid w:val="00FB62FC"/>
    <w:rsid w:val="00FB6771"/>
    <w:rsid w:val="00FC1759"/>
    <w:rsid w:val="00FC56D8"/>
    <w:rsid w:val="00FC63ED"/>
    <w:rsid w:val="00FC7811"/>
    <w:rsid w:val="00FD0E71"/>
    <w:rsid w:val="00FD2DD9"/>
    <w:rsid w:val="00FD3C79"/>
    <w:rsid w:val="00FD43C8"/>
    <w:rsid w:val="00FD6DEE"/>
    <w:rsid w:val="00FE1561"/>
    <w:rsid w:val="00FE274C"/>
    <w:rsid w:val="00FE2C7F"/>
    <w:rsid w:val="00FE52F7"/>
    <w:rsid w:val="00FE64BC"/>
    <w:rsid w:val="00FE6591"/>
    <w:rsid w:val="00FE72EF"/>
    <w:rsid w:val="00FE7E8B"/>
    <w:rsid w:val="00FF0E53"/>
    <w:rsid w:val="00FF1A59"/>
    <w:rsid w:val="00FF47EC"/>
    <w:rsid w:val="00FF4FC8"/>
    <w:rsid w:val="00FF5985"/>
    <w:rsid w:val="03558E8B"/>
    <w:rsid w:val="0C6652E1"/>
    <w:rsid w:val="151FD135"/>
    <w:rsid w:val="199F872C"/>
    <w:rsid w:val="1D70399E"/>
    <w:rsid w:val="1D78BD56"/>
    <w:rsid w:val="1E094E7B"/>
    <w:rsid w:val="274D4EFC"/>
    <w:rsid w:val="275E8435"/>
    <w:rsid w:val="34E0A821"/>
    <w:rsid w:val="36043AFA"/>
    <w:rsid w:val="37FA455D"/>
    <w:rsid w:val="38B2AF25"/>
    <w:rsid w:val="39F93A32"/>
    <w:rsid w:val="3CA136B5"/>
    <w:rsid w:val="3CC2230A"/>
    <w:rsid w:val="4380C003"/>
    <w:rsid w:val="4BA79756"/>
    <w:rsid w:val="4BEC7167"/>
    <w:rsid w:val="4D0E79EC"/>
    <w:rsid w:val="5164A57C"/>
    <w:rsid w:val="524F164E"/>
    <w:rsid w:val="6014D089"/>
    <w:rsid w:val="634C714B"/>
    <w:rsid w:val="67BA83B1"/>
    <w:rsid w:val="68C4A560"/>
    <w:rsid w:val="6CA8FF1E"/>
    <w:rsid w:val="6CD22681"/>
    <w:rsid w:val="6E768111"/>
    <w:rsid w:val="7411E0CC"/>
    <w:rsid w:val="789E1F63"/>
    <w:rsid w:val="7D7B35E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9DC3C"/>
  <w15:docId w15:val="{9584FEC5-B790-491B-9B21-0C70292C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qFormat="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96C"/>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9778C3"/>
    <w:pPr>
      <w:widowControl w:val="0"/>
      <w:spacing w:before="120" w:after="240"/>
      <w:outlineLvl w:val="0"/>
    </w:pPr>
    <w:rPr>
      <w:rFonts w:ascii="Calibri" w:eastAsiaTheme="minorHAnsi" w:hAnsi="Calibri" w:cstheme="minorBidi"/>
      <w:b/>
      <w:bCs/>
      <w:color w:val="083A42"/>
      <w:spacing w:val="5"/>
      <w:kern w:val="28"/>
      <w:sz w:val="64"/>
      <w:szCs w:val="28"/>
      <w:lang w:eastAsia="en-US"/>
    </w:rPr>
  </w:style>
  <w:style w:type="paragraph" w:styleId="Heading2">
    <w:name w:val="heading 2"/>
    <w:basedOn w:val="Normal"/>
    <w:next w:val="Normal"/>
    <w:link w:val="Heading2Char"/>
    <w:uiPriority w:val="3"/>
    <w:qFormat/>
    <w:rsid w:val="007F3DAE"/>
    <w:pPr>
      <w:keepNext/>
      <w:numPr>
        <w:numId w:val="6"/>
      </w:numPr>
      <w:spacing w:after="240" w:line="240" w:lineRule="auto"/>
      <w:outlineLvl w:val="1"/>
    </w:pPr>
    <w:rPr>
      <w:rFonts w:ascii="Calibri" w:eastAsiaTheme="minorEastAsia" w:hAnsi="Calibri"/>
      <w:bCs/>
      <w:color w:val="1F497D" w:themeColor="text2"/>
      <w:sz w:val="28"/>
      <w:szCs w:val="28"/>
      <w:lang w:eastAsia="ja-JP"/>
    </w:rPr>
  </w:style>
  <w:style w:type="paragraph" w:styleId="Heading3">
    <w:name w:val="heading 3"/>
    <w:next w:val="Normal"/>
    <w:link w:val="Heading3Char"/>
    <w:uiPriority w:val="4"/>
    <w:qFormat/>
    <w:rsid w:val="00833996"/>
    <w:pPr>
      <w:keepNext/>
      <w:keepLines/>
      <w:numPr>
        <w:ilvl w:val="1"/>
        <w:numId w:val="6"/>
      </w:numPr>
      <w:spacing w:after="200"/>
      <w:outlineLvl w:val="2"/>
    </w:pPr>
    <w:rPr>
      <w:rFonts w:ascii="Calibri" w:eastAsia="Times New Roman" w:hAnsi="Calibri"/>
      <w:color w:val="31849B" w:themeColor="accent5" w:themeShade="BF"/>
      <w:sz w:val="28"/>
      <w:szCs w:val="28"/>
      <w:lang w:eastAsia="en-US"/>
    </w:rPr>
  </w:style>
  <w:style w:type="paragraph" w:styleId="Heading4">
    <w:name w:val="heading 4"/>
    <w:next w:val="Normal"/>
    <w:link w:val="Heading4Char"/>
    <w:uiPriority w:val="5"/>
    <w:qFormat/>
    <w:rsid w:val="009778C3"/>
    <w:pPr>
      <w:keepNext/>
      <w:numPr>
        <w:ilvl w:val="2"/>
        <w:numId w:val="6"/>
      </w:numPr>
      <w:spacing w:after="200"/>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qFormat/>
    <w:rsid w:val="009778C3"/>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9778C3"/>
    <w:rPr>
      <w:rFonts w:ascii="Calibri" w:eastAsiaTheme="minorHAnsi" w:hAnsi="Calibri" w:cstheme="minorBidi"/>
      <w:b/>
      <w:bCs/>
      <w:color w:val="083A42"/>
      <w:spacing w:val="5"/>
      <w:kern w:val="28"/>
      <w:sz w:val="64"/>
      <w:szCs w:val="28"/>
      <w:lang w:eastAsia="en-US"/>
    </w:rPr>
  </w:style>
  <w:style w:type="character" w:customStyle="1" w:styleId="Heading2Char">
    <w:name w:val="Heading 2 Char"/>
    <w:basedOn w:val="DefaultParagraphFont"/>
    <w:link w:val="Heading2"/>
    <w:uiPriority w:val="3"/>
    <w:rsid w:val="007F3DAE"/>
    <w:rPr>
      <w:rFonts w:ascii="Calibri" w:eastAsiaTheme="minorEastAsia" w:hAnsi="Calibri" w:cstheme="minorBidi"/>
      <w:bCs/>
      <w:color w:val="1F497D" w:themeColor="text2"/>
      <w:sz w:val="28"/>
      <w:szCs w:val="28"/>
      <w:lang w:eastAsia="ja-JP"/>
    </w:rPr>
  </w:style>
  <w:style w:type="character" w:customStyle="1" w:styleId="Heading3Char">
    <w:name w:val="Heading 3 Char"/>
    <w:basedOn w:val="DefaultParagraphFont"/>
    <w:link w:val="Heading3"/>
    <w:uiPriority w:val="4"/>
    <w:rsid w:val="00833996"/>
    <w:rPr>
      <w:rFonts w:ascii="Calibri" w:eastAsia="Times New Roman" w:hAnsi="Calibri"/>
      <w:color w:val="31849B" w:themeColor="accent5" w:themeShade="BF"/>
      <w:sz w:val="28"/>
      <w:szCs w:val="28"/>
      <w:lang w:eastAsia="en-US"/>
    </w:rPr>
  </w:style>
  <w:style w:type="character" w:customStyle="1" w:styleId="Heading4Char">
    <w:name w:val="Heading 4 Char"/>
    <w:basedOn w:val="DefaultParagraphFont"/>
    <w:link w:val="Heading4"/>
    <w:uiPriority w:val="5"/>
    <w:rsid w:val="009778C3"/>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778C3"/>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rsid w:val="00123033"/>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11"/>
    <w:qFormat/>
    <w:rsid w:val="00DF01A1"/>
    <w:rPr>
      <w:b w:val="0"/>
      <w:sz w:val="56"/>
      <w:szCs w:val="56"/>
    </w:rPr>
  </w:style>
  <w:style w:type="character" w:customStyle="1" w:styleId="SubtitleChar">
    <w:name w:val="Subtitle Char"/>
    <w:basedOn w:val="DefaultParagraphFont"/>
    <w:link w:val="Subtitle"/>
    <w:uiPriority w:val="11"/>
    <w:rsid w:val="00DF01A1"/>
    <w:rPr>
      <w:rFonts w:ascii="Calibri" w:eastAsiaTheme="minorHAnsi" w:hAnsi="Calibri" w:cstheme="minorBidi"/>
      <w:bCs/>
      <w:color w:val="083A42"/>
      <w:spacing w:val="5"/>
      <w:kern w:val="28"/>
      <w:sz w:val="56"/>
      <w:szCs w:val="56"/>
      <w:lang w:eastAsia="en-US"/>
    </w:rPr>
  </w:style>
  <w:style w:type="paragraph" w:styleId="TOCHeading">
    <w:name w:val="TOC Heading"/>
    <w:next w:val="Normal"/>
    <w:uiPriority w:val="39"/>
    <w:qFormat/>
    <w:rsid w:val="0093673C"/>
    <w:pPr>
      <w:spacing w:before="480" w:line="276" w:lineRule="auto"/>
    </w:pPr>
    <w:rPr>
      <w:rFonts w:ascii="Calibri" w:eastAsiaTheme="minorEastAsia" w:hAnsi="Calibri" w:cstheme="minorBidi"/>
      <w:bCs/>
      <w:color w:val="197C7D"/>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123033"/>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123033"/>
    <w:pPr>
      <w:numPr>
        <w:ilvl w:val="1"/>
        <w:numId w:val="3"/>
      </w:numPr>
      <w:spacing w:before="120" w:after="120"/>
      <w:contextualSpacing/>
    </w:pPr>
  </w:style>
  <w:style w:type="paragraph" w:styleId="ListNumber">
    <w:name w:val="List Number"/>
    <w:basedOn w:val="Normal"/>
    <w:uiPriority w:val="9"/>
    <w:qFormat/>
    <w:rsid w:val="00446502"/>
    <w:pPr>
      <w:numPr>
        <w:numId w:val="38"/>
      </w:numPr>
      <w:tabs>
        <w:tab w:val="left" w:pos="142"/>
      </w:tabs>
      <w:spacing w:before="120" w:after="120"/>
    </w:pPr>
  </w:style>
  <w:style w:type="paragraph" w:styleId="ListNumber2">
    <w:name w:val="List Number 2"/>
    <w:uiPriority w:val="10"/>
    <w:qFormat/>
    <w:rsid w:val="00114BB4"/>
    <w:pPr>
      <w:numPr>
        <w:numId w:val="13"/>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884E3A"/>
    <w:pPr>
      <w:numPr>
        <w:numId w:val="8"/>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rsid w:val="00123033"/>
    <w:pPr>
      <w:spacing w:after="60"/>
    </w:pPr>
    <w:rPr>
      <w:b/>
      <w:sz w:val="28"/>
      <w:szCs w:val="28"/>
    </w:rPr>
  </w:style>
  <w:style w:type="paragraph" w:customStyle="1" w:styleId="AuthorOrganisationAffiliation">
    <w:name w:val="Author Organisation/Affiliation"/>
    <w:basedOn w:val="Normal"/>
    <w:next w:val="Normal"/>
    <w:uiPriority w:val="25"/>
    <w:qFormat/>
    <w:rsid w:val="00123033"/>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23033"/>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sid w:val="00123033"/>
    <w:pPr>
      <w:spacing w:line="240" w:lineRule="auto"/>
    </w:pPr>
    <w:rPr>
      <w:b/>
    </w:rPr>
  </w:style>
  <w:style w:type="paragraph" w:customStyle="1" w:styleId="Securityclassification">
    <w:name w:val="Security classification"/>
    <w:basedOn w:val="Header"/>
    <w:next w:val="Header"/>
    <w:uiPriority w:val="26"/>
    <w:qFormat/>
    <w:rsid w:val="00EC03A8"/>
    <w:pPr>
      <w:spacing w:after="0"/>
    </w:pPr>
    <w:rPr>
      <w:b/>
      <w:color w:val="FF0000"/>
      <w:sz w:val="24"/>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qFormat/>
    <w:rsid w:val="00123033"/>
    <w:pPr>
      <w:spacing w:after="60" w:line="264" w:lineRule="auto"/>
    </w:pPr>
    <w:rPr>
      <w:sz w:val="20"/>
      <w:szCs w:val="20"/>
    </w:rPr>
  </w:style>
  <w:style w:type="character" w:customStyle="1" w:styleId="FootnoteTextChar">
    <w:name w:val="Footnote Text Char"/>
    <w:basedOn w:val="DefaultParagraphFont"/>
    <w:link w:val="FootnoteText"/>
    <w:uiPriority w:val="99"/>
    <w:rsid w:val="0012303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rsid w:val="00123033"/>
    <w:pPr>
      <w:spacing w:after="60" w:line="264" w:lineRule="auto"/>
    </w:pPr>
    <w:rPr>
      <w:sz w:val="20"/>
      <w:szCs w:val="20"/>
    </w:rPr>
  </w:style>
  <w:style w:type="character" w:customStyle="1" w:styleId="EndnoteTextChar">
    <w:name w:val="Endnote Text Char"/>
    <w:basedOn w:val="DefaultParagraphFont"/>
    <w:link w:val="EndnoteText"/>
    <w:uiPriority w:val="99"/>
    <w:rsid w:val="00123033"/>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rsid w:val="00123033"/>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rsid w:val="00123033"/>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123033"/>
    <w:pPr>
      <w:numPr>
        <w:numId w:val="7"/>
      </w:numPr>
      <w:spacing w:before="60" w:after="60"/>
      <w:ind w:left="403"/>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styleId="ListParagraph">
    <w:name w:val="List Paragraph"/>
    <w:aliases w:val="Bulleted Para,CV text,Dot pt,F5 List Paragraph,FooterText,L,List Paragraph1,List Paragraph11,List Paragraph111,List Paragraph2,Medium Grid 1 - Accent 21,NFP GP Bulleted List,Numbered Paragraph,Rec para,Recommendation,numbered,列出段落,列出段落1"/>
    <w:basedOn w:val="Normal"/>
    <w:link w:val="ListParagraphChar"/>
    <w:uiPriority w:val="34"/>
    <w:qFormat/>
    <w:rsid w:val="00B21339"/>
    <w:pPr>
      <w:spacing w:before="120" w:after="120" w:line="240" w:lineRule="auto"/>
      <w:ind w:left="720"/>
    </w:pPr>
    <w:rPr>
      <w:rFonts w:ascii="Calibri" w:hAnsi="Calibri" w:cs="Calibri"/>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locked/>
    <w:rsid w:val="00B21339"/>
    <w:rPr>
      <w:rFonts w:ascii="Calibri" w:eastAsiaTheme="minorHAnsi" w:hAnsi="Calibri" w:cs="Calibri"/>
      <w:sz w:val="22"/>
      <w:szCs w:val="22"/>
      <w:lang w:eastAsia="en-US"/>
    </w:rPr>
  </w:style>
  <w:style w:type="character" w:customStyle="1" w:styleId="normaltextrun">
    <w:name w:val="normaltextrun"/>
    <w:basedOn w:val="DefaultParagraphFont"/>
    <w:rsid w:val="00D127CA"/>
  </w:style>
  <w:style w:type="paragraph" w:styleId="Revision">
    <w:name w:val="Revision"/>
    <w:hidden/>
    <w:uiPriority w:val="99"/>
    <w:semiHidden/>
    <w:rsid w:val="002E00E8"/>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D4554E"/>
    <w:rPr>
      <w:color w:val="605E5C"/>
      <w:shd w:val="clear" w:color="auto" w:fill="E1DFDD"/>
    </w:rPr>
  </w:style>
  <w:style w:type="paragraph" w:customStyle="1" w:styleId="Calloutbox">
    <w:name w:val="Call out box"/>
    <w:basedOn w:val="Normal"/>
    <w:uiPriority w:val="99"/>
    <w:qFormat/>
    <w:rsid w:val="009F451C"/>
    <w:pPr>
      <w:pBdr>
        <w:top w:val="single" w:sz="4" w:space="6" w:color="B8DCD7"/>
        <w:left w:val="single" w:sz="4" w:space="4" w:color="B8DCD7"/>
        <w:bottom w:val="single" w:sz="4" w:space="6" w:color="B8DCD7"/>
        <w:right w:val="single" w:sz="4" w:space="4" w:color="B8DCD7"/>
      </w:pBdr>
      <w:shd w:val="clear" w:color="auto" w:fill="EAF1DD" w:themeFill="accent3" w:themeFillTint="33"/>
      <w:spacing w:after="160" w:line="259" w:lineRule="auto"/>
    </w:pPr>
  </w:style>
  <w:style w:type="paragraph" w:customStyle="1" w:styleId="paragraph">
    <w:name w:val="paragraph"/>
    <w:basedOn w:val="Normal"/>
    <w:rsid w:val="007E705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7E7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939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38130544">
      <w:bodyDiv w:val="1"/>
      <w:marLeft w:val="0"/>
      <w:marRight w:val="0"/>
      <w:marTop w:val="0"/>
      <w:marBottom w:val="0"/>
      <w:divBdr>
        <w:top w:val="none" w:sz="0" w:space="0" w:color="auto"/>
        <w:left w:val="none" w:sz="0" w:space="0" w:color="auto"/>
        <w:bottom w:val="none" w:sz="0" w:space="0" w:color="auto"/>
        <w:right w:val="none" w:sz="0" w:space="0" w:color="auto"/>
      </w:divBdr>
      <w:divsChild>
        <w:div w:id="541943402">
          <w:marLeft w:val="0"/>
          <w:marRight w:val="0"/>
          <w:marTop w:val="0"/>
          <w:marBottom w:val="0"/>
          <w:divBdr>
            <w:top w:val="none" w:sz="0" w:space="0" w:color="auto"/>
            <w:left w:val="none" w:sz="0" w:space="0" w:color="auto"/>
            <w:bottom w:val="none" w:sz="0" w:space="0" w:color="auto"/>
            <w:right w:val="none" w:sz="0" w:space="0" w:color="auto"/>
          </w:divBdr>
        </w:div>
        <w:div w:id="611866641">
          <w:marLeft w:val="0"/>
          <w:marRight w:val="0"/>
          <w:marTop w:val="0"/>
          <w:marBottom w:val="0"/>
          <w:divBdr>
            <w:top w:val="none" w:sz="0" w:space="0" w:color="auto"/>
            <w:left w:val="none" w:sz="0" w:space="0" w:color="auto"/>
            <w:bottom w:val="none" w:sz="0" w:space="0" w:color="auto"/>
            <w:right w:val="none" w:sz="0" w:space="0" w:color="auto"/>
          </w:divBdr>
        </w:div>
        <w:div w:id="1810856082">
          <w:marLeft w:val="0"/>
          <w:marRight w:val="0"/>
          <w:marTop w:val="0"/>
          <w:marBottom w:val="0"/>
          <w:divBdr>
            <w:top w:val="none" w:sz="0" w:space="0" w:color="auto"/>
            <w:left w:val="none" w:sz="0" w:space="0" w:color="auto"/>
            <w:bottom w:val="none" w:sz="0" w:space="0" w:color="auto"/>
            <w:right w:val="none" w:sz="0" w:space="0" w:color="auto"/>
          </w:divBdr>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89021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cceew.gov.au/climate-change/publications/safeguard-mechanism-document"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ogmpartnership.com/"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hyperlink" Target="https://www.dcceew.gov.au/climate-change/publications/safeguard-mechanism-docu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ece.org/sites/default/files/2023-03/9.%20Kupers%20-%20Metcoal%20Methane%20Partnership%20-%20Slide%20Deck.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cceew.gov.au/climate-change/emissions-reporting/national-greenhouse-energy-reporting-scheme/safeguard-mechanism"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dcceew.gov.au/climate-change/emissions-reporting/national-greenhouse-energy-reporting-scheme/safeguard-mechanis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4" ma:contentTypeDescription="Create a new document." ma:contentTypeScope="" ma:versionID="d2575a541de4f6f4146f87d786cddbb4">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4bfd732ecb4d90ac731c1f8eb5d3dcdc"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b98728ac-f998-415c-abee-6b046fb1441e">
      <Terms xmlns="http://schemas.microsoft.com/office/infopath/2007/PartnerControls"/>
    </lcf76f155ced4ddcb4097134ff3c332f>
    <SharedWithUsers xmlns="d869c146-c82e-4435-92e4-da91542262fd">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1E01C2A1-8245-4F62-996E-C215BD8F8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81c01dc6-2c49-4730-b140-874c95cac377"/>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openxmlformats.org/package/2006/metadata/core-properties"/>
    <ds:schemaRef ds:uri="http://schemas.microsoft.com/office/2006/documentManagement/types"/>
    <ds:schemaRef ds:uri="b98728ac-f998-415c-abee-6b046fb1441e"/>
    <ds:schemaRef ds:uri="d869c146-c82e-4435-92e4-da91542262fd"/>
    <ds:schemaRef ds:uri="http://schemas.microsoft.com/office/infopath/2007/PartnerControls"/>
    <ds:schemaRef ds:uri="http://purl.org/dc/elements/1.1/"/>
    <ds:schemaRef ds:uri="http://www.w3.org/XML/1998/namespace"/>
    <ds:schemaRef ds:uri="http://purl.org/dc/terms/"/>
    <ds:schemaRef ds:uri="81c01dc6-2c49-4730-b140-874c95cac377"/>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4316</Words>
  <Characters>24604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Safeguard mechanism - Guidelines for setting international best practice benchmarks</vt:lpstr>
    </vt:vector>
  </TitlesOfParts>
  <Company/>
  <LinksUpToDate>false</LinksUpToDate>
  <CharactersWithSpaces>28863</CharactersWithSpaces>
  <SharedDoc>false</SharedDoc>
  <HLinks>
    <vt:vector size="138" baseType="variant">
      <vt:variant>
        <vt:i4>4915282</vt:i4>
      </vt:variant>
      <vt:variant>
        <vt:i4>117</vt:i4>
      </vt:variant>
      <vt:variant>
        <vt:i4>0</vt:i4>
      </vt:variant>
      <vt:variant>
        <vt:i4>5</vt:i4>
      </vt:variant>
      <vt:variant>
        <vt:lpwstr>https://www.dcceew.gov.au/climate-change/publications/safeguard-mechanism-document</vt:lpwstr>
      </vt:variant>
      <vt:variant>
        <vt:lpwstr>:~:text=The%20Safeguard%20Mechanism%20and%20National,calculations%20under%20the%20Safeguard%20Mechanism</vt:lpwstr>
      </vt:variant>
      <vt:variant>
        <vt:i4>1966172</vt:i4>
      </vt:variant>
      <vt:variant>
        <vt:i4>114</vt:i4>
      </vt:variant>
      <vt:variant>
        <vt:i4>0</vt:i4>
      </vt:variant>
      <vt:variant>
        <vt:i4>5</vt:i4>
      </vt:variant>
      <vt:variant>
        <vt:lpwstr>https://www.dcceew.gov.au/climate-change/emissions-reporting/national-greenhouse-energy-reporting-scheme/safeguard-mechanism</vt:lpwstr>
      </vt:variant>
      <vt:variant>
        <vt:lpwstr/>
      </vt:variant>
      <vt:variant>
        <vt:i4>4915282</vt:i4>
      </vt:variant>
      <vt:variant>
        <vt:i4>111</vt:i4>
      </vt:variant>
      <vt:variant>
        <vt:i4>0</vt:i4>
      </vt:variant>
      <vt:variant>
        <vt:i4>5</vt:i4>
      </vt:variant>
      <vt:variant>
        <vt:lpwstr>https://www.dcceew.gov.au/climate-change/publications/safeguard-mechanism-document</vt:lpwstr>
      </vt:variant>
      <vt:variant>
        <vt:lpwstr>:~:text=The%20Safeguard%20Mechanism%20and%20National,calculations%20under%20the%20Safeguard%20Mechanism</vt:lpwstr>
      </vt:variant>
      <vt:variant>
        <vt:i4>8257641</vt:i4>
      </vt:variant>
      <vt:variant>
        <vt:i4>108</vt:i4>
      </vt:variant>
      <vt:variant>
        <vt:i4>0</vt:i4>
      </vt:variant>
      <vt:variant>
        <vt:i4>5</vt:i4>
      </vt:variant>
      <vt:variant>
        <vt:lpwstr>https://ogmpartnership.com/</vt:lpwstr>
      </vt:variant>
      <vt:variant>
        <vt:lpwstr/>
      </vt:variant>
      <vt:variant>
        <vt:i4>2949220</vt:i4>
      </vt:variant>
      <vt:variant>
        <vt:i4>105</vt:i4>
      </vt:variant>
      <vt:variant>
        <vt:i4>0</vt:i4>
      </vt:variant>
      <vt:variant>
        <vt:i4>5</vt:i4>
      </vt:variant>
      <vt:variant>
        <vt:lpwstr>https://unece.org/sites/default/files/2023-03/9. Kupers - Metcoal Methane Partnership - Slide Deck.pdf</vt:lpwstr>
      </vt:variant>
      <vt:variant>
        <vt:lpwstr/>
      </vt:variant>
      <vt:variant>
        <vt:i4>1769528</vt:i4>
      </vt:variant>
      <vt:variant>
        <vt:i4>98</vt:i4>
      </vt:variant>
      <vt:variant>
        <vt:i4>0</vt:i4>
      </vt:variant>
      <vt:variant>
        <vt:i4>5</vt:i4>
      </vt:variant>
      <vt:variant>
        <vt:lpwstr/>
      </vt:variant>
      <vt:variant>
        <vt:lpwstr>_Toc146872822</vt:lpwstr>
      </vt:variant>
      <vt:variant>
        <vt:i4>1769528</vt:i4>
      </vt:variant>
      <vt:variant>
        <vt:i4>92</vt:i4>
      </vt:variant>
      <vt:variant>
        <vt:i4>0</vt:i4>
      </vt:variant>
      <vt:variant>
        <vt:i4>5</vt:i4>
      </vt:variant>
      <vt:variant>
        <vt:lpwstr/>
      </vt:variant>
      <vt:variant>
        <vt:lpwstr>_Toc146872821</vt:lpwstr>
      </vt:variant>
      <vt:variant>
        <vt:i4>1769528</vt:i4>
      </vt:variant>
      <vt:variant>
        <vt:i4>86</vt:i4>
      </vt:variant>
      <vt:variant>
        <vt:i4>0</vt:i4>
      </vt:variant>
      <vt:variant>
        <vt:i4>5</vt:i4>
      </vt:variant>
      <vt:variant>
        <vt:lpwstr/>
      </vt:variant>
      <vt:variant>
        <vt:lpwstr>_Toc146872820</vt:lpwstr>
      </vt:variant>
      <vt:variant>
        <vt:i4>1572920</vt:i4>
      </vt:variant>
      <vt:variant>
        <vt:i4>80</vt:i4>
      </vt:variant>
      <vt:variant>
        <vt:i4>0</vt:i4>
      </vt:variant>
      <vt:variant>
        <vt:i4>5</vt:i4>
      </vt:variant>
      <vt:variant>
        <vt:lpwstr/>
      </vt:variant>
      <vt:variant>
        <vt:lpwstr>_Toc146872819</vt:lpwstr>
      </vt:variant>
      <vt:variant>
        <vt:i4>1572920</vt:i4>
      </vt:variant>
      <vt:variant>
        <vt:i4>74</vt:i4>
      </vt:variant>
      <vt:variant>
        <vt:i4>0</vt:i4>
      </vt:variant>
      <vt:variant>
        <vt:i4>5</vt:i4>
      </vt:variant>
      <vt:variant>
        <vt:lpwstr/>
      </vt:variant>
      <vt:variant>
        <vt:lpwstr>_Toc146872818</vt:lpwstr>
      </vt:variant>
      <vt:variant>
        <vt:i4>1572920</vt:i4>
      </vt:variant>
      <vt:variant>
        <vt:i4>68</vt:i4>
      </vt:variant>
      <vt:variant>
        <vt:i4>0</vt:i4>
      </vt:variant>
      <vt:variant>
        <vt:i4>5</vt:i4>
      </vt:variant>
      <vt:variant>
        <vt:lpwstr/>
      </vt:variant>
      <vt:variant>
        <vt:lpwstr>_Toc146872817</vt:lpwstr>
      </vt:variant>
      <vt:variant>
        <vt:i4>1572920</vt:i4>
      </vt:variant>
      <vt:variant>
        <vt:i4>62</vt:i4>
      </vt:variant>
      <vt:variant>
        <vt:i4>0</vt:i4>
      </vt:variant>
      <vt:variant>
        <vt:i4>5</vt:i4>
      </vt:variant>
      <vt:variant>
        <vt:lpwstr/>
      </vt:variant>
      <vt:variant>
        <vt:lpwstr>_Toc146872816</vt:lpwstr>
      </vt:variant>
      <vt:variant>
        <vt:i4>1572920</vt:i4>
      </vt:variant>
      <vt:variant>
        <vt:i4>56</vt:i4>
      </vt:variant>
      <vt:variant>
        <vt:i4>0</vt:i4>
      </vt:variant>
      <vt:variant>
        <vt:i4>5</vt:i4>
      </vt:variant>
      <vt:variant>
        <vt:lpwstr/>
      </vt:variant>
      <vt:variant>
        <vt:lpwstr>_Toc146872815</vt:lpwstr>
      </vt:variant>
      <vt:variant>
        <vt:i4>1572920</vt:i4>
      </vt:variant>
      <vt:variant>
        <vt:i4>50</vt:i4>
      </vt:variant>
      <vt:variant>
        <vt:i4>0</vt:i4>
      </vt:variant>
      <vt:variant>
        <vt:i4>5</vt:i4>
      </vt:variant>
      <vt:variant>
        <vt:lpwstr/>
      </vt:variant>
      <vt:variant>
        <vt:lpwstr>_Toc146872814</vt:lpwstr>
      </vt:variant>
      <vt:variant>
        <vt:i4>1572920</vt:i4>
      </vt:variant>
      <vt:variant>
        <vt:i4>44</vt:i4>
      </vt:variant>
      <vt:variant>
        <vt:i4>0</vt:i4>
      </vt:variant>
      <vt:variant>
        <vt:i4>5</vt:i4>
      </vt:variant>
      <vt:variant>
        <vt:lpwstr/>
      </vt:variant>
      <vt:variant>
        <vt:lpwstr>_Toc146872813</vt:lpwstr>
      </vt:variant>
      <vt:variant>
        <vt:i4>1572920</vt:i4>
      </vt:variant>
      <vt:variant>
        <vt:i4>38</vt:i4>
      </vt:variant>
      <vt:variant>
        <vt:i4>0</vt:i4>
      </vt:variant>
      <vt:variant>
        <vt:i4>5</vt:i4>
      </vt:variant>
      <vt:variant>
        <vt:lpwstr/>
      </vt:variant>
      <vt:variant>
        <vt:lpwstr>_Toc146872812</vt:lpwstr>
      </vt:variant>
      <vt:variant>
        <vt:i4>1572920</vt:i4>
      </vt:variant>
      <vt:variant>
        <vt:i4>32</vt:i4>
      </vt:variant>
      <vt:variant>
        <vt:i4>0</vt:i4>
      </vt:variant>
      <vt:variant>
        <vt:i4>5</vt:i4>
      </vt:variant>
      <vt:variant>
        <vt:lpwstr/>
      </vt:variant>
      <vt:variant>
        <vt:lpwstr>_Toc146872811</vt:lpwstr>
      </vt:variant>
      <vt:variant>
        <vt:i4>1572920</vt:i4>
      </vt:variant>
      <vt:variant>
        <vt:i4>26</vt:i4>
      </vt:variant>
      <vt:variant>
        <vt:i4>0</vt:i4>
      </vt:variant>
      <vt:variant>
        <vt:i4>5</vt:i4>
      </vt:variant>
      <vt:variant>
        <vt:lpwstr/>
      </vt:variant>
      <vt:variant>
        <vt:lpwstr>_Toc146872810</vt:lpwstr>
      </vt:variant>
      <vt:variant>
        <vt:i4>1638456</vt:i4>
      </vt:variant>
      <vt:variant>
        <vt:i4>20</vt:i4>
      </vt:variant>
      <vt:variant>
        <vt:i4>0</vt:i4>
      </vt:variant>
      <vt:variant>
        <vt:i4>5</vt:i4>
      </vt:variant>
      <vt:variant>
        <vt:lpwstr/>
      </vt:variant>
      <vt:variant>
        <vt:lpwstr>_Toc146872809</vt:lpwstr>
      </vt:variant>
      <vt:variant>
        <vt:i4>1638456</vt:i4>
      </vt:variant>
      <vt:variant>
        <vt:i4>14</vt:i4>
      </vt:variant>
      <vt:variant>
        <vt:i4>0</vt:i4>
      </vt:variant>
      <vt:variant>
        <vt:i4>5</vt:i4>
      </vt:variant>
      <vt:variant>
        <vt:lpwstr/>
      </vt:variant>
      <vt:variant>
        <vt:lpwstr>_Toc146872808</vt:lpwstr>
      </vt:variant>
      <vt:variant>
        <vt:i4>1638456</vt:i4>
      </vt:variant>
      <vt:variant>
        <vt:i4>8</vt:i4>
      </vt:variant>
      <vt:variant>
        <vt:i4>0</vt:i4>
      </vt:variant>
      <vt:variant>
        <vt:i4>5</vt:i4>
      </vt:variant>
      <vt:variant>
        <vt:lpwstr/>
      </vt:variant>
      <vt:variant>
        <vt:lpwstr>_Toc146872807</vt:lpwstr>
      </vt:variant>
      <vt:variant>
        <vt:i4>1638456</vt:i4>
      </vt:variant>
      <vt:variant>
        <vt:i4>2</vt:i4>
      </vt:variant>
      <vt:variant>
        <vt:i4>0</vt:i4>
      </vt:variant>
      <vt:variant>
        <vt:i4>5</vt:i4>
      </vt:variant>
      <vt:variant>
        <vt:lpwstr/>
      </vt:variant>
      <vt:variant>
        <vt:lpwstr>_Toc146872806</vt:lpwstr>
      </vt:variant>
      <vt:variant>
        <vt:i4>1048578</vt:i4>
      </vt:variant>
      <vt:variant>
        <vt:i4>0</vt:i4>
      </vt:variant>
      <vt:variant>
        <vt:i4>0</vt:i4>
      </vt:variant>
      <vt:variant>
        <vt:i4>5</vt:i4>
      </vt:variant>
      <vt:variant>
        <vt:lpwstr>https://consult.dcceew.gov.au/safeguard-mechanism-international-best-practice-benchmarks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 mechanism - Guidelines for setting international best practice benchmarks</dc:title>
  <dc:subject/>
  <dc:creator>Department of Climate Change, Energy, the Environment and Water</dc:creator>
  <cp:keywords/>
  <cp:lastModifiedBy>Nguyen, Lien</cp:lastModifiedBy>
  <cp:revision>54</cp:revision>
  <cp:lastPrinted>2023-12-14T02:14:00Z</cp:lastPrinted>
  <dcterms:created xsi:type="dcterms:W3CDTF">2023-11-06T06:21:00Z</dcterms:created>
  <dcterms:modified xsi:type="dcterms:W3CDTF">2023-12-14T23:59:00Z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0x010100CB33738F76A1434F80376E56194BF1A6</vt:lpwstr>
  </property>
  <property fmtid="{D5CDD505-2E9C-101B-9397-08002B2CF9AE}" pid="3" name="HPRMSecurityLevel">
    <vt:lpwstr>36;#OFFICIAL: Sensitive|7651679a-9b09-4ff6-b10d-71db7bffe7af</vt:lpwstr>
  </property>
  <property fmtid="{D5CDD505-2E9C-101B-9397-08002B2CF9AE}" pid="4" name="ESearchTags">
    <vt:lpwstr>7;#Sensitive|95e4cb90-e125-4900-8c0d-16da07fed3e7;#8;#Climate Change|41dd6691-cb87-446f-a384-c62c202138b9;#33;#Official|f53c1d54-6e59-4b8b-8af5-a00f9baa8e57</vt:lpwstr>
  </property>
  <property fmtid="{D5CDD505-2E9C-101B-9397-08002B2CF9AE}" pid="5" name="HPRMSecurityCaveat">
    <vt:lpwstr/>
  </property>
  <property fmtid="{D5CDD505-2E9C-101B-9397-08002B2CF9AE}" pid="6" name="PMC.ESearch.TagGeneratedTime">
    <vt:lpwstr>2023-06-30T12:02:35</vt:lpwstr>
  </property>
  <property fmtid="{D5CDD505-2E9C-101B-9397-08002B2CF9AE}" pid="7" name="MediaServiceImageTags">
    <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