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581306"/>
    <w:bookmarkStart w:id="1" w:name="_Hlk167271935"/>
    <w:bookmarkStart w:id="2" w:name="_Hlk167272131"/>
    <w:p w14:paraId="70500BC6" w14:textId="3680E107" w:rsidR="006C5304" w:rsidRPr="00E7199F" w:rsidRDefault="00E7199F" w:rsidP="00C129E9">
      <w:pPr>
        <w:pStyle w:val="ReportTitle"/>
        <w:rPr>
          <w:color w:val="FFFFFF" w:themeColor="background1"/>
        </w:rPr>
      </w:pPr>
      <w:r>
        <w:rPr>
          <w:noProof/>
        </w:rPr>
        <mc:AlternateContent>
          <mc:Choice Requires="wpg">
            <w:drawing>
              <wp:anchor distT="0" distB="0" distL="114300" distR="114300" simplePos="0" relativeHeight="251658240" behindDoc="1" locked="0" layoutInCell="1" allowOverlap="1" wp14:anchorId="18A8769C" wp14:editId="1474D1F6">
                <wp:simplePos x="0" y="0"/>
                <wp:positionH relativeFrom="page">
                  <wp:align>left</wp:align>
                </wp:positionH>
                <wp:positionV relativeFrom="paragraph">
                  <wp:posOffset>-914730</wp:posOffset>
                </wp:positionV>
                <wp:extent cx="7562850" cy="5474195"/>
                <wp:effectExtent l="0" t="0" r="19050" b="12700"/>
                <wp:wrapNone/>
                <wp:docPr id="1437901346" name="Group 2" descr="This image is the cover image for the document titled &quot;Space Heating Comparison Methodology: Public Consultation&quot;. It contains the title block along with the E3, Australian Government and New Zealand Government logo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850" cy="5474195"/>
                          <a:chOff x="0" y="0"/>
                          <a:chExt cx="7562850" cy="5474195"/>
                        </a:xfrm>
                      </wpg:grpSpPr>
                      <pic:pic xmlns:pic="http://schemas.openxmlformats.org/drawingml/2006/picture">
                        <pic:nvPicPr>
                          <pic:cNvPr id="779298888" name="Picture 779298888" descr="D:\DP Plus\Docs\Giraffe\Environment\NatHERS, E3\sourcedocs\All-of-govt_NZ_Gov.jpg"/>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5035137" y="451262"/>
                            <a:ext cx="2103120" cy="536575"/>
                          </a:xfrm>
                          <a:prstGeom prst="rect">
                            <a:avLst/>
                          </a:prstGeom>
                          <a:noFill/>
                          <a:ln>
                            <a:noFill/>
                          </a:ln>
                        </pic:spPr>
                      </pic:pic>
                      <pic:pic xmlns:pic="http://schemas.openxmlformats.org/drawingml/2006/picture">
                        <pic:nvPicPr>
                          <pic:cNvPr id="1343481338" name="Picture 1343481338" descr="D:\DP Plus\Docs\Giraffe\Environment\NatHERS, E3\sourcedocs\Australian Government-logo.jpg"/>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3301340" y="35626"/>
                            <a:ext cx="1515745" cy="711200"/>
                          </a:xfrm>
                          <a:prstGeom prst="rect">
                            <a:avLst/>
                          </a:prstGeom>
                          <a:noFill/>
                          <a:ln>
                            <a:noFill/>
                          </a:ln>
                        </pic:spPr>
                      </pic:pic>
                      <wps:wsp>
                        <wps:cNvPr id="305784491" name="Rectangle 305784491"/>
                        <wps:cNvSpPr/>
                        <wps:spPr>
                          <a:xfrm>
                            <a:off x="0" y="2256312"/>
                            <a:ext cx="7561580" cy="269875"/>
                          </a:xfrm>
                          <a:prstGeom prst="rect">
                            <a:avLst/>
                          </a:prstGeom>
                          <a:solidFill>
                            <a:srgbClr val="B5121B"/>
                          </a:solidFill>
                          <a:ln w="25400" cap="flat" cmpd="sng" algn="ctr">
                            <a:solidFill>
                              <a:srgbClr val="B5121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416298" name="Rectangle 1582416298"/>
                        <wps:cNvSpPr/>
                        <wps:spPr>
                          <a:xfrm>
                            <a:off x="0" y="2553195"/>
                            <a:ext cx="7562850" cy="1800860"/>
                          </a:xfrm>
                          <a:prstGeom prst="rect">
                            <a:avLst/>
                          </a:prstGeom>
                          <a:solidFill>
                            <a:srgbClr val="1C1C1C"/>
                          </a:solidFill>
                          <a:ln w="25400" cap="flat" cmpd="sng" algn="ctr">
                            <a:solidFill>
                              <a:srgbClr val="1C1C1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773588" name="Rectangle 1719773588"/>
                        <wps:cNvSpPr/>
                        <wps:spPr>
                          <a:xfrm>
                            <a:off x="0" y="4381995"/>
                            <a:ext cx="7561580" cy="1092200"/>
                          </a:xfrm>
                          <a:prstGeom prst="rect">
                            <a:avLst/>
                          </a:prstGeom>
                          <a:solidFill>
                            <a:srgbClr val="B5121B"/>
                          </a:solidFill>
                          <a:ln w="25400" cap="flat" cmpd="sng" algn="ctr">
                            <a:solidFill>
                              <a:srgbClr val="B5121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4597875" name="Picture 1244597875" descr="D:\DP Plus\Docs\Giraffe\Environment\NatHERS, E3\sourcedocs\E3 Logo.jpg"/>
                          <pic:cNvPicPr>
                            <a:picLocks noChangeAspect="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819397" y="0"/>
                            <a:ext cx="1737360" cy="908050"/>
                          </a:xfrm>
                          <a:prstGeom prst="rect">
                            <a:avLst/>
                          </a:prstGeom>
                          <a:noFill/>
                          <a:ln>
                            <a:noFill/>
                          </a:ln>
                        </pic:spPr>
                      </pic:pic>
                    </wpg:wg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c="http://schemas.openxmlformats.org/drawingml/2006/chart" xmlns:a16="http://schemas.microsoft.com/office/drawing/2014/main">
            <w:pict w14:anchorId="689797EC">
              <v:group id="Group 2" style="position:absolute;margin-left:0;margin-top:-72.05pt;width:595.5pt;height:431.05pt;z-index:-251655168;mso-position-horizontal:left;mso-position-horizontal-relative:page;mso-height-relative:margin" alt="This image is the cover image for the document titled &quot;Space Heating Comparison Methodology: Public Consultation&quot;. It contains the title block along with the E3, Australian Government and New Zealand Government logos." coordsize="75628,54741" o:spid="_x0000_s1026" w14:anchorId="4ED285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79298888" style="position:absolute;left:50351;top:4512;width:21031;height:53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">
                  <v:imagedata o:title="All-of-govt_NZ_Gov" r:id="rId14"/>
                </v:shape>
                <v:shape id="Picture 1343481338" style="position:absolute;left:33013;top:356;width:15157;height:711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">
                  <v:imagedata o:title="Australian Government-logo" r:id="rId15"/>
                </v:shape>
                <v:rect id="Rectangle 305784491" style="position:absolute;top:22563;width:75615;height:2698;visibility:visible;mso-wrap-style:square;v-text-anchor:middle" o:spid="_x0000_s1029" fillcolor="#b5121b" strokecolor="#b5121b"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"/>
                <v:rect id="Rectangle 1582416298" style="position:absolute;top:25531;width:75628;height:18009;visibility:visible;mso-wrap-style:square;v-text-anchor:middle" o:spid="_x0000_s1030" fillcolor="#1c1c1c" strokecolor="#1c1c1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"/>
                <v:rect id="Rectangle 1719773588" style="position:absolute;top:43819;width:75615;height:10922;visibility:visible;mso-wrap-style:square;v-text-anchor:middle" o:spid="_x0000_s1031" fillcolor="#b5121b" strokecolor="#b5121b"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"/>
                <v:shape id="Picture 1244597875" style="position:absolute;left:8193;width:17374;height:908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">
                  <v:imagedata o:title="E3 Logo" r:id="rId16"/>
                </v:shape>
                <w10:wrap anchorx="page"/>
              </v:group>
            </w:pict>
          </mc:Fallback>
        </mc:AlternateContent>
      </w:r>
      <w:r w:rsidR="00E2265F" w:rsidRPr="00E7199F">
        <w:rPr>
          <w:color w:val="FFFFFF" w:themeColor="background1"/>
        </w:rPr>
        <w:t>Space Heating</w:t>
      </w:r>
      <w:r w:rsidR="00D852E2" w:rsidRPr="00E7199F">
        <w:rPr>
          <w:color w:val="FFFFFF" w:themeColor="background1"/>
        </w:rPr>
        <w:t xml:space="preserve"> Comparison Methodology</w:t>
      </w:r>
      <w:r w:rsidR="00BF7C74" w:rsidRPr="00E7199F">
        <w:rPr>
          <w:color w:val="FFFFFF" w:themeColor="background1"/>
        </w:rPr>
        <w:t>: Public Consultation</w:t>
      </w:r>
      <w:bookmarkEnd w:id="0"/>
    </w:p>
    <w:bookmarkEnd w:id="1"/>
    <w:p w14:paraId="17EEC87C" w14:textId="77777777" w:rsidR="008F674B" w:rsidRPr="00E7199F" w:rsidRDefault="008F674B">
      <w:pPr>
        <w:spacing w:after="0" w:line="240" w:lineRule="auto"/>
        <w:rPr>
          <w:color w:val="000000" w:themeColor="text1"/>
        </w:rPr>
      </w:pPr>
    </w:p>
    <w:p w14:paraId="2A4D75F8" w14:textId="5591198F" w:rsidR="008F674B" w:rsidRPr="00E7199F" w:rsidRDefault="654D4B04">
      <w:pPr>
        <w:spacing w:after="0" w:line="240" w:lineRule="auto"/>
        <w:rPr>
          <w:color w:val="000000" w:themeColor="text1"/>
        </w:rPr>
      </w:pPr>
      <w:r w:rsidRPr="06527C7D">
        <w:rPr>
          <w:color w:val="000000" w:themeColor="text1"/>
        </w:rPr>
        <w:t xml:space="preserve">August </w:t>
      </w:r>
      <w:r w:rsidR="00FE79BD" w:rsidRPr="06527C7D">
        <w:rPr>
          <w:color w:val="000000" w:themeColor="text1"/>
        </w:rPr>
        <w:t>202</w:t>
      </w:r>
      <w:r w:rsidR="00BF7C74" w:rsidRPr="06527C7D">
        <w:rPr>
          <w:color w:val="000000" w:themeColor="text1"/>
        </w:rPr>
        <w:t>4</w:t>
      </w:r>
    </w:p>
    <w:bookmarkEnd w:id="2"/>
    <w:p w14:paraId="4DB9841A" w14:textId="793B6934" w:rsidR="00E7199F" w:rsidRDefault="00E7199F">
      <w:pPr>
        <w:spacing w:after="0" w:line="240" w:lineRule="auto"/>
      </w:pPr>
      <w:r>
        <w:br w:type="page"/>
      </w:r>
    </w:p>
    <w:p w14:paraId="3806CD30" w14:textId="77777777" w:rsidR="00307EA6" w:rsidRPr="006B6FCB" w:rsidRDefault="00307EA6" w:rsidP="00307EA6">
      <w:pPr>
        <w:rPr>
          <w:rFonts w:asciiTheme="minorHAnsi" w:hAnsiTheme="minorHAnsi" w:cstheme="minorBidi"/>
          <w:b/>
          <w:bCs/>
        </w:rPr>
      </w:pPr>
      <w:r w:rsidRPr="006B6FCB">
        <w:rPr>
          <w:rFonts w:asciiTheme="minorHAnsi" w:hAnsiTheme="minorHAnsi" w:cstheme="minorBidi"/>
          <w:b/>
          <w:bCs/>
        </w:rPr>
        <w:lastRenderedPageBreak/>
        <w:t>Authorship and moral rights</w:t>
      </w:r>
    </w:p>
    <w:p w14:paraId="42692918" w14:textId="608AF3D8" w:rsidR="008F72D3" w:rsidRPr="00A928AD" w:rsidRDefault="007E56D7" w:rsidP="00F72904">
      <w:r w:rsidRPr="00A928AD">
        <w:t>The Commonwealth of Australia (referred to as the Commonwealth) asserts the right to be recognised as author of the original material in this publication and this document should be attributed in the following manner</w:t>
      </w:r>
      <w:r w:rsidR="00CB7295" w:rsidRPr="00A928AD">
        <w:t>: Space Heating Comparison Methodology: Public Consultation</w:t>
      </w:r>
      <w:r w:rsidR="00B313A0" w:rsidRPr="00A928AD">
        <w:t>, Commonwealth of Australia 2024.</w:t>
      </w:r>
    </w:p>
    <w:p w14:paraId="59FA3D39" w14:textId="77777777" w:rsidR="008F72D3" w:rsidRPr="00A928AD" w:rsidRDefault="008F72D3" w:rsidP="007E56D7">
      <w:pPr>
        <w:spacing w:after="0" w:line="240" w:lineRule="auto"/>
        <w:rPr>
          <w:rFonts w:asciiTheme="minorHAnsi" w:hAnsiTheme="minorHAnsi" w:cstheme="minorHAnsi"/>
          <w:b/>
          <w:bCs/>
          <w:szCs w:val="22"/>
        </w:rPr>
      </w:pPr>
    </w:p>
    <w:p w14:paraId="171E1EDC" w14:textId="77777777" w:rsidR="008F72D3" w:rsidRPr="00C403A9" w:rsidRDefault="008F72D3" w:rsidP="008F72D3">
      <w:pPr>
        <w:rPr>
          <w:rFonts w:asciiTheme="minorHAnsi" w:hAnsiTheme="minorHAnsi" w:cstheme="minorBidi"/>
          <w:b/>
        </w:rPr>
      </w:pPr>
      <w:r w:rsidRPr="2862D7C9">
        <w:rPr>
          <w:rFonts w:asciiTheme="minorHAnsi" w:hAnsiTheme="minorHAnsi" w:cstheme="minorBidi"/>
          <w:b/>
        </w:rPr>
        <w:t>Ownership of intellectual property rights</w:t>
      </w:r>
    </w:p>
    <w:p w14:paraId="4AEEA1E1" w14:textId="77777777" w:rsidR="007F49D4" w:rsidRDefault="008F72D3" w:rsidP="00F72904">
      <w:pPr>
        <w:rPr>
          <w:rStyle w:val="eop"/>
          <w:rFonts w:asciiTheme="minorHAnsi" w:hAnsiTheme="minorHAnsi" w:cstheme="minorBidi"/>
        </w:rPr>
      </w:pPr>
      <w:r w:rsidRPr="2862D7C9">
        <w:t xml:space="preserve">Unless otherwise noted, copyright (and any other intellectual property rights) in this publication is owned by the Commonwealth of Australia (referred to as the Commonwealth). </w:t>
      </w:r>
      <w:r w:rsidRPr="2862D7C9">
        <w:rPr>
          <w:rStyle w:val="normaltextrun"/>
          <w:rFonts w:asciiTheme="minorHAnsi" w:hAnsiTheme="minorHAnsi" w:cstheme="minorBidi"/>
        </w:rPr>
        <w:t>The Commonwealth asserts the right to be recognised as owner of the original material in the following manner:</w:t>
      </w:r>
      <w:r w:rsidRPr="2862D7C9">
        <w:rPr>
          <w:rStyle w:val="eop"/>
          <w:rFonts w:asciiTheme="minorHAnsi" w:hAnsiTheme="minorHAnsi" w:cstheme="minorBidi"/>
        </w:rPr>
        <w:t> </w:t>
      </w:r>
    </w:p>
    <w:p w14:paraId="36CC0078" w14:textId="697BBC2B" w:rsidR="008F72D3" w:rsidRPr="00C403A9" w:rsidRDefault="008F72D3" w:rsidP="00F72904">
      <w:r w:rsidRPr="2862D7C9">
        <w:t xml:space="preserve">© Commonwealth of Australia </w:t>
      </w:r>
      <w:r w:rsidR="00966DB9" w:rsidRPr="2862D7C9">
        <w:t>2024</w:t>
      </w:r>
      <w:r w:rsidR="00E712FE">
        <w:t>.</w:t>
      </w:r>
    </w:p>
    <w:p w14:paraId="5EFAD83A" w14:textId="77777777" w:rsidR="00695C29" w:rsidRPr="00A928AD" w:rsidRDefault="00695C29" w:rsidP="00695C29">
      <w:pPr>
        <w:rPr>
          <w:rFonts w:asciiTheme="minorHAnsi" w:hAnsiTheme="minorHAnsi" w:cstheme="minorHAnsi"/>
          <w:b/>
          <w:bCs/>
        </w:rPr>
      </w:pPr>
      <w:r w:rsidRPr="00A928AD">
        <w:rPr>
          <w:rFonts w:asciiTheme="minorHAnsi" w:hAnsiTheme="minorHAnsi" w:cstheme="minorHAnsi"/>
          <w:b/>
          <w:bCs/>
        </w:rPr>
        <w:t>Creative Commons licence</w:t>
      </w:r>
    </w:p>
    <w:p w14:paraId="125785E5" w14:textId="74B580EB" w:rsidR="00695C29" w:rsidRPr="00695C29" w:rsidRDefault="00695C29" w:rsidP="00F72904">
      <w:r w:rsidRPr="00A928AD">
        <w:rPr>
          <w:rFonts w:cstheme="minorHAnsi"/>
          <w:szCs w:val="22"/>
        </w:rPr>
        <w:t>Space Heating Comparison Methodology: Public Consultation</w:t>
      </w:r>
      <w:r w:rsidRPr="2862D7C9">
        <w:t xml:space="preserve"> is licensed by the Commonwealth for use under a Creative Commons Attribution 4.0 International licence with the exception of the Coat of Arms of the Commonwealth, the logo of the agency responsible for publishing the report, content supplied by third parties, and any images depicting people. For licence conditions see the Creative Commons website – Attribution 4.0 International page.</w:t>
      </w:r>
    </w:p>
    <w:p w14:paraId="42B862EE" w14:textId="77777777" w:rsidR="00695C29" w:rsidRPr="00695C29" w:rsidRDefault="00695C29" w:rsidP="00F72904">
      <w:r w:rsidRPr="2862D7C9">
        <w:t>Inquiries about the licence and any use of this document should be emailed to copyright@dcceew.gov.au.</w:t>
      </w:r>
    </w:p>
    <w:p w14:paraId="15985363" w14:textId="0C1EAB59" w:rsidR="00695C29" w:rsidRPr="00C403A9" w:rsidRDefault="00C52AE2" w:rsidP="454DCBA8">
      <w:pPr>
        <w:rPr>
          <w:rFonts w:asciiTheme="minorHAnsi" w:hAnsiTheme="minorHAnsi" w:cstheme="minorBidi"/>
        </w:rPr>
      </w:pPr>
      <w:r>
        <w:rPr>
          <w:noProof/>
        </w:rPr>
        <w:drawing>
          <wp:inline distT="0" distB="0" distL="0" distR="0" wp14:anchorId="37F15F8F" wp14:editId="04899020">
            <wp:extent cx="724535" cy="255270"/>
            <wp:effectExtent l="0" t="0" r="0" b="0"/>
            <wp:docPr id="17690298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29899" name="Picture 1">
                      <a:extLst>
                        <a:ext uri="{C183D7F6-B498-43B3-948B-1728B52AA6E4}">
                          <adec:decorative xmlns:adec="http://schemas.microsoft.com/office/drawing/2017/decorative" val="1"/>
                        </a:ext>
                      </a:extLst>
                    </pic:cNvPr>
                    <pic:cNvPicPr/>
                  </pic:nvPicPr>
                  <pic:blipFill>
                    <a:blip r:embed="rId17">
                      <a:extLst>
                        <a:ext uri="{C183D7F6-B498-43B3-948B-1728B52AA6E4}">
                          <adec:decorative xmlns:a16="http://schemas.microsoft.com/office/drawing/2014/main" xmlns:c="http://schemas.openxmlformats.org/drawingml/2006/chart" xmlns="" xmlns:o="urn:schemas-microsoft-com:office:office" xmlns:v="urn:schemas-microsoft-com:vml" xmlns:w10="urn:schemas-microsoft-com:office:word" xmlns:w="http://schemas.openxmlformats.org/wordprocessingml/2006/main" xmlns:dgm="http://schemas.openxmlformats.org/drawingml/2006/diagram" xmlns:a14="http://schemas.microsoft.com/office/drawing/2010/main" xmlns:adec="http://schemas.microsoft.com/office/drawing/2017/decorative" xmlns:arto="http://schemas.microsoft.com/office/word/2006/arto" val="1"/>
                        </a:ext>
                      </a:extLst>
                    </a:blip>
                    <a:stretch>
                      <a:fillRect/>
                    </a:stretch>
                  </pic:blipFill>
                  <pic:spPr>
                    <a:xfrm>
                      <a:off x="0" y="0"/>
                      <a:ext cx="724535" cy="255270"/>
                    </a:xfrm>
                    <a:prstGeom prst="rect">
                      <a:avLst/>
                    </a:prstGeom>
                  </pic:spPr>
                </pic:pic>
              </a:graphicData>
            </a:graphic>
          </wp:inline>
        </w:drawing>
      </w:r>
    </w:p>
    <w:p w14:paraId="47131D03" w14:textId="77777777" w:rsidR="003B09FB" w:rsidRPr="00001DDE" w:rsidRDefault="003B09FB" w:rsidP="003B09FB">
      <w:pPr>
        <w:rPr>
          <w:rFonts w:asciiTheme="minorHAnsi" w:hAnsiTheme="minorHAnsi" w:cstheme="minorBidi"/>
          <w:b/>
        </w:rPr>
      </w:pPr>
      <w:r w:rsidRPr="2862D7C9">
        <w:rPr>
          <w:rFonts w:asciiTheme="minorHAnsi" w:hAnsiTheme="minorHAnsi" w:cstheme="minorBidi"/>
          <w:b/>
        </w:rPr>
        <w:t>Disclaimer</w:t>
      </w:r>
    </w:p>
    <w:p w14:paraId="761F5879" w14:textId="678DC55C" w:rsidR="003B09FB" w:rsidRPr="00EB0E9E" w:rsidRDefault="003B09FB" w:rsidP="00F72904">
      <w:r w:rsidRPr="2862D7C9">
        <w:t xml:space="preserve">The Commonwealth has exercised due care and skill in preparing and compiling the information and data in this publication. While reasonable efforts have been made to ensure that the contents of this publication are factually correct, the Commonwealth does not accept responsibility for the accuracy or completeness of its contents. </w:t>
      </w:r>
      <w:r w:rsidRPr="00A928AD">
        <w:t>This publication is intended to provide reference material for general information purposes only. It does not constitute legal or other professional advice.</w:t>
      </w:r>
    </w:p>
    <w:p w14:paraId="402A4682" w14:textId="585B42C3" w:rsidR="008123F4" w:rsidRDefault="003B09FB" w:rsidP="00F72904">
      <w:pPr>
        <w:rPr>
          <w:rFonts w:eastAsia="Times New Roman" w:cstheme="minorHAnsi"/>
          <w:shd w:val="clear" w:color="auto" w:fill="FFFFFF"/>
          <w:lang w:eastAsia="en-AU"/>
        </w:rPr>
      </w:pPr>
      <w:r w:rsidRPr="2862D7C9">
        <w:t>The department disclaims liability, to the extent permitted by law, for any liabilities, losses, damages and costs arising from any reliance on the information contained in this publication. You should seek legal or other professional advice in relation to your specific circumstances.</w:t>
      </w:r>
      <w:r w:rsidR="00EA5D9F">
        <w:t xml:space="preserve"> </w:t>
      </w:r>
      <w:r w:rsidR="008123F4" w:rsidRPr="00A928AD">
        <w:rPr>
          <w:rFonts w:eastAsia="Times New Roman" w:cstheme="minorHAnsi"/>
          <w:shd w:val="clear" w:color="auto" w:fill="FFFFFF"/>
          <w:lang w:eastAsia="en-AU"/>
        </w:rPr>
        <w:t>The views and opinions expressed in this publication are those of the Department of Climate Change, Energy, the Environment and Water.</w:t>
      </w:r>
    </w:p>
    <w:p w14:paraId="7003E156" w14:textId="6CF7A776" w:rsidR="005B6181" w:rsidRPr="00A928AD" w:rsidRDefault="005B6181" w:rsidP="00F72904">
      <w:pPr>
        <w:rPr>
          <w:rFonts w:eastAsia="Times New Roman" w:cstheme="minorHAnsi"/>
          <w:lang w:eastAsia="en-AU"/>
        </w:rPr>
      </w:pPr>
      <w:r>
        <w:rPr>
          <w:rFonts w:eastAsia="Times New Roman" w:cstheme="minorHAnsi"/>
          <w:shd w:val="clear" w:color="auto" w:fill="FFFFFF"/>
          <w:lang w:eastAsia="en-AU"/>
        </w:rPr>
        <w:t>Website addresses referenced in th</w:t>
      </w:r>
      <w:r w:rsidR="00D54A89">
        <w:rPr>
          <w:rFonts w:eastAsia="Times New Roman" w:cstheme="minorHAnsi"/>
          <w:shd w:val="clear" w:color="auto" w:fill="FFFFFF"/>
          <w:lang w:eastAsia="en-AU"/>
        </w:rPr>
        <w:t>is paper</w:t>
      </w:r>
      <w:r>
        <w:rPr>
          <w:rFonts w:eastAsia="Times New Roman" w:cstheme="minorHAnsi"/>
          <w:shd w:val="clear" w:color="auto" w:fill="FFFFFF"/>
          <w:lang w:eastAsia="en-AU"/>
        </w:rPr>
        <w:t xml:space="preserve"> are subject to change as websites and digital materials change over time.</w:t>
      </w:r>
    </w:p>
    <w:p w14:paraId="73A41A9D" w14:textId="77777777" w:rsidR="000372E5" w:rsidRPr="00C403A9" w:rsidRDefault="000372E5" w:rsidP="000372E5">
      <w:pPr>
        <w:rPr>
          <w:rFonts w:asciiTheme="minorHAnsi" w:hAnsiTheme="minorHAnsi" w:cstheme="minorBidi"/>
          <w:b/>
        </w:rPr>
      </w:pPr>
      <w:r w:rsidRPr="2862D7C9">
        <w:rPr>
          <w:rFonts w:asciiTheme="minorHAnsi" w:hAnsiTheme="minorHAnsi" w:cstheme="minorBidi"/>
          <w:b/>
        </w:rPr>
        <w:t>Acknowledgement of Country</w:t>
      </w:r>
    </w:p>
    <w:p w14:paraId="799DE5C1" w14:textId="77777777" w:rsidR="000372E5" w:rsidRPr="00C403A9" w:rsidRDefault="000372E5" w:rsidP="00F72904">
      <w:r w:rsidRPr="2862D7C9">
        <w:t>We acknowledge the Traditional Owners of Country throughout Australia and recognise their continuing connection to land, waters and culture. We pay our respects to their Elders past and present.</w:t>
      </w:r>
    </w:p>
    <w:p w14:paraId="73AC3B39" w14:textId="77777777" w:rsidR="00304ACA" w:rsidRPr="00C403A9" w:rsidRDefault="00304ACA" w:rsidP="00304ACA">
      <w:pPr>
        <w:rPr>
          <w:rFonts w:asciiTheme="minorHAnsi" w:hAnsiTheme="minorHAnsi" w:cstheme="minorBidi"/>
          <w:b/>
        </w:rPr>
      </w:pPr>
      <w:r w:rsidRPr="2862D7C9">
        <w:rPr>
          <w:rFonts w:asciiTheme="minorHAnsi" w:hAnsiTheme="minorHAnsi" w:cstheme="minorBidi"/>
          <w:b/>
        </w:rPr>
        <w:t>Using our logo</w:t>
      </w:r>
    </w:p>
    <w:p w14:paraId="0347A69C" w14:textId="712778C4" w:rsidR="00DE3991" w:rsidRPr="00A928AD" w:rsidRDefault="00304ACA" w:rsidP="00A928AD">
      <w:pPr>
        <w:rPr>
          <w:rFonts w:asciiTheme="minorHAnsi" w:hAnsiTheme="minorHAnsi" w:cstheme="minorBidi"/>
          <w:b/>
          <w:color w:val="FF0000"/>
        </w:rPr>
      </w:pPr>
      <w:r w:rsidRPr="00F72904">
        <w:t>The Department of Climate Change, Energy, the Environment and Water’s logo and the Commonwealth Coat of Arms must not be used without the prior, specific, written permission of the Commonwealth. If you wish to seek permission, please contract</w:t>
      </w:r>
      <w:r w:rsidRPr="2862D7C9">
        <w:rPr>
          <w:rFonts w:asciiTheme="minorHAnsi" w:hAnsiTheme="minorHAnsi" w:cstheme="minorBidi"/>
        </w:rPr>
        <w:t xml:space="preserve"> </w:t>
      </w:r>
      <w:hyperlink r:id="rId18" w:history="1">
        <w:r w:rsidRPr="2862D7C9">
          <w:rPr>
            <w:rStyle w:val="Hyperlink"/>
            <w:rFonts w:asciiTheme="minorHAnsi" w:hAnsiTheme="minorHAnsi" w:cstheme="minorBidi"/>
          </w:rPr>
          <w:t>copyright@dcceew.gov.au</w:t>
        </w:r>
      </w:hyperlink>
      <w:r w:rsidRPr="2862D7C9">
        <w:rPr>
          <w:rFonts w:asciiTheme="minorHAnsi" w:hAnsiTheme="minorHAnsi" w:cstheme="minorBidi"/>
        </w:rPr>
        <w:t xml:space="preserve">. </w:t>
      </w:r>
      <w:r w:rsidR="00DE3991" w:rsidRPr="2862D7C9">
        <w:rPr>
          <w:rFonts w:asciiTheme="minorHAnsi" w:hAnsiTheme="minorHAnsi" w:cstheme="minorBidi"/>
          <w:b/>
          <w:color w:val="FF0000"/>
        </w:rPr>
        <w:br w:type="page"/>
      </w:r>
    </w:p>
    <w:p w14:paraId="597F07CE" w14:textId="77777777" w:rsidR="00DE3991" w:rsidRPr="00DE3991" w:rsidRDefault="00DE3991" w:rsidP="00DE3991">
      <w:pPr>
        <w:spacing w:after="0" w:line="240" w:lineRule="auto"/>
        <w:jc w:val="center"/>
        <w:rPr>
          <w:b/>
          <w:bCs/>
          <w:color w:val="FF0000"/>
          <w:sz w:val="36"/>
          <w:szCs w:val="36"/>
        </w:rPr>
        <w:sectPr w:rsidR="00DE3991" w:rsidRPr="00DE3991" w:rsidSect="002351D4">
          <w:headerReference w:type="even" r:id="rId19"/>
          <w:headerReference w:type="default" r:id="rId20"/>
          <w:footerReference w:type="even" r:id="rId21"/>
          <w:footerReference w:type="default" r:id="rId22"/>
          <w:headerReference w:type="first" r:id="rId23"/>
          <w:footerReference w:type="first" r:id="rId24"/>
          <w:pgSz w:w="11906" w:h="16838" w:code="9"/>
          <w:pgMar w:top="1728" w:right="1138" w:bottom="1699" w:left="1138" w:header="576" w:footer="720" w:gutter="0"/>
          <w:pgNumType w:fmt="lowerRoman"/>
          <w:cols w:space="708"/>
          <w:titlePg/>
          <w:docGrid w:linePitch="360"/>
        </w:sectPr>
      </w:pPr>
    </w:p>
    <w:sdt>
      <w:sdtPr>
        <w:rPr>
          <w:rFonts w:eastAsiaTheme="minorEastAsia" w:cs="Times New Roman"/>
          <w:b w:val="0"/>
          <w:bCs w:val="0"/>
          <w:color w:val="auto"/>
          <w:sz w:val="22"/>
          <w:szCs w:val="22"/>
          <w:shd w:val="clear" w:color="auto" w:fill="E6E6E6"/>
        </w:rPr>
        <w:id w:val="-15475179"/>
        <w:docPartObj>
          <w:docPartGallery w:val="Table of Contents"/>
          <w:docPartUnique/>
        </w:docPartObj>
      </w:sdtPr>
      <w:sdtEndPr/>
      <w:sdtContent>
        <w:p w14:paraId="56E34596" w14:textId="179A8088" w:rsidR="00810C4D" w:rsidRPr="00A94043" w:rsidRDefault="00A0101E" w:rsidP="00C737DB">
          <w:pPr>
            <w:pStyle w:val="ContentsTitle"/>
            <w:pageBreakBefore w:val="0"/>
          </w:pPr>
          <w:r w:rsidRPr="00A94043">
            <w:t>Contents</w:t>
          </w:r>
        </w:p>
        <w:p w14:paraId="49BED4FD" w14:textId="27AD3C8B" w:rsidR="001D0DBD" w:rsidRDefault="00810C4D">
          <w:pPr>
            <w:pStyle w:val="TOC1"/>
            <w:rPr>
              <w:b w:val="0"/>
              <w:noProof/>
              <w:kern w:val="2"/>
              <w:sz w:val="24"/>
              <w:szCs w:val="24"/>
              <w:lang w:val="en-AU" w:eastAsia="en-AU"/>
              <w14:ligatures w14:val="standardContextual"/>
            </w:rPr>
          </w:pPr>
          <w:r w:rsidRPr="00A94043">
            <w:rPr>
              <w:color w:val="2B579A"/>
              <w:shd w:val="clear" w:color="auto" w:fill="E6E6E6"/>
              <w:lang w:val="en-AU"/>
            </w:rPr>
            <w:fldChar w:fldCharType="begin"/>
          </w:r>
          <w:r w:rsidRPr="00A94043">
            <w:rPr>
              <w:lang w:val="en-AU"/>
            </w:rPr>
            <w:instrText xml:space="preserve"> TOC \o "1-3" \h \z \u </w:instrText>
          </w:r>
          <w:r w:rsidRPr="00A94043">
            <w:rPr>
              <w:color w:val="2B579A"/>
              <w:shd w:val="clear" w:color="auto" w:fill="E6E6E6"/>
              <w:lang w:val="en-AU"/>
            </w:rPr>
            <w:fldChar w:fldCharType="separate"/>
          </w:r>
          <w:hyperlink w:anchor="_Toc175311894" w:history="1">
            <w:r w:rsidR="001D0DBD" w:rsidRPr="00B755E9">
              <w:rPr>
                <w:rStyle w:val="Hyperlink"/>
                <w:noProof/>
              </w:rPr>
              <w:t>Executive Summary</w:t>
            </w:r>
            <w:r w:rsidR="001D0DBD">
              <w:rPr>
                <w:noProof/>
                <w:webHidden/>
              </w:rPr>
              <w:tab/>
            </w:r>
            <w:r w:rsidR="001D0DBD">
              <w:rPr>
                <w:noProof/>
                <w:webHidden/>
              </w:rPr>
              <w:fldChar w:fldCharType="begin"/>
            </w:r>
            <w:r w:rsidR="001D0DBD">
              <w:rPr>
                <w:noProof/>
                <w:webHidden/>
              </w:rPr>
              <w:instrText xml:space="preserve"> PAGEREF _Toc175311894 \h </w:instrText>
            </w:r>
            <w:r w:rsidR="001D0DBD">
              <w:rPr>
                <w:noProof/>
                <w:webHidden/>
              </w:rPr>
            </w:r>
            <w:r w:rsidR="001D0DBD">
              <w:rPr>
                <w:noProof/>
                <w:webHidden/>
              </w:rPr>
              <w:fldChar w:fldCharType="separate"/>
            </w:r>
            <w:r w:rsidR="007068DD">
              <w:rPr>
                <w:noProof/>
                <w:webHidden/>
              </w:rPr>
              <w:t>1</w:t>
            </w:r>
            <w:r w:rsidR="001D0DBD">
              <w:rPr>
                <w:noProof/>
                <w:webHidden/>
              </w:rPr>
              <w:fldChar w:fldCharType="end"/>
            </w:r>
          </w:hyperlink>
        </w:p>
        <w:p w14:paraId="38FDDD1B" w14:textId="0B9656C0" w:rsidR="001D0DBD" w:rsidRDefault="00D73D08">
          <w:pPr>
            <w:pStyle w:val="TOC1"/>
            <w:rPr>
              <w:b w:val="0"/>
              <w:noProof/>
              <w:kern w:val="2"/>
              <w:sz w:val="24"/>
              <w:szCs w:val="24"/>
              <w:lang w:val="en-AU" w:eastAsia="en-AU"/>
              <w14:ligatures w14:val="standardContextual"/>
            </w:rPr>
          </w:pPr>
          <w:hyperlink w:anchor="_Toc175311895" w:history="1">
            <w:r w:rsidR="001D0DBD" w:rsidRPr="00B755E9">
              <w:rPr>
                <w:rStyle w:val="Hyperlink"/>
                <w:noProof/>
              </w:rPr>
              <w:t>Introduction</w:t>
            </w:r>
            <w:r w:rsidR="001D0DBD">
              <w:rPr>
                <w:noProof/>
                <w:webHidden/>
              </w:rPr>
              <w:tab/>
            </w:r>
            <w:r w:rsidR="001D0DBD">
              <w:rPr>
                <w:noProof/>
                <w:webHidden/>
              </w:rPr>
              <w:fldChar w:fldCharType="begin"/>
            </w:r>
            <w:r w:rsidR="001D0DBD">
              <w:rPr>
                <w:noProof/>
                <w:webHidden/>
              </w:rPr>
              <w:instrText xml:space="preserve"> PAGEREF _Toc175311895 \h </w:instrText>
            </w:r>
            <w:r w:rsidR="001D0DBD">
              <w:rPr>
                <w:noProof/>
                <w:webHidden/>
              </w:rPr>
            </w:r>
            <w:r w:rsidR="001D0DBD">
              <w:rPr>
                <w:noProof/>
                <w:webHidden/>
              </w:rPr>
              <w:fldChar w:fldCharType="separate"/>
            </w:r>
            <w:r w:rsidR="007068DD">
              <w:rPr>
                <w:noProof/>
                <w:webHidden/>
              </w:rPr>
              <w:t>3</w:t>
            </w:r>
            <w:r w:rsidR="001D0DBD">
              <w:rPr>
                <w:noProof/>
                <w:webHidden/>
              </w:rPr>
              <w:fldChar w:fldCharType="end"/>
            </w:r>
          </w:hyperlink>
        </w:p>
        <w:p w14:paraId="7E183490" w14:textId="63394B81" w:rsidR="001D0DBD" w:rsidRDefault="00D73D08">
          <w:pPr>
            <w:pStyle w:val="TOC2"/>
            <w:rPr>
              <w:noProof/>
              <w:kern w:val="2"/>
              <w:sz w:val="24"/>
              <w:szCs w:val="24"/>
              <w:lang w:val="en-AU" w:eastAsia="en-AU"/>
              <w14:ligatures w14:val="standardContextual"/>
            </w:rPr>
          </w:pPr>
          <w:hyperlink w:anchor="_Toc175311896" w:history="1">
            <w:r w:rsidR="001D0DBD" w:rsidRPr="00B755E9">
              <w:rPr>
                <w:rStyle w:val="Hyperlink"/>
                <w:noProof/>
              </w:rPr>
              <w:t>Purpose of this Consultation Document</w:t>
            </w:r>
            <w:r w:rsidR="001D0DBD">
              <w:rPr>
                <w:noProof/>
                <w:webHidden/>
              </w:rPr>
              <w:tab/>
            </w:r>
            <w:r w:rsidR="001D0DBD">
              <w:rPr>
                <w:noProof/>
                <w:webHidden/>
              </w:rPr>
              <w:fldChar w:fldCharType="begin"/>
            </w:r>
            <w:r w:rsidR="001D0DBD">
              <w:rPr>
                <w:noProof/>
                <w:webHidden/>
              </w:rPr>
              <w:instrText xml:space="preserve"> PAGEREF _Toc175311896 \h </w:instrText>
            </w:r>
            <w:r w:rsidR="001D0DBD">
              <w:rPr>
                <w:noProof/>
                <w:webHidden/>
              </w:rPr>
            </w:r>
            <w:r w:rsidR="001D0DBD">
              <w:rPr>
                <w:noProof/>
                <w:webHidden/>
              </w:rPr>
              <w:fldChar w:fldCharType="separate"/>
            </w:r>
            <w:r w:rsidR="007068DD">
              <w:rPr>
                <w:noProof/>
                <w:webHidden/>
              </w:rPr>
              <w:t>3</w:t>
            </w:r>
            <w:r w:rsidR="001D0DBD">
              <w:rPr>
                <w:noProof/>
                <w:webHidden/>
              </w:rPr>
              <w:fldChar w:fldCharType="end"/>
            </w:r>
          </w:hyperlink>
        </w:p>
        <w:p w14:paraId="01A57DC4" w14:textId="6ADE4C52" w:rsidR="001D0DBD" w:rsidRDefault="00D73D08">
          <w:pPr>
            <w:pStyle w:val="TOC2"/>
            <w:rPr>
              <w:noProof/>
              <w:kern w:val="2"/>
              <w:sz w:val="24"/>
              <w:szCs w:val="24"/>
              <w:lang w:val="en-AU" w:eastAsia="en-AU"/>
              <w14:ligatures w14:val="standardContextual"/>
            </w:rPr>
          </w:pPr>
          <w:hyperlink w:anchor="_Toc175311897" w:history="1">
            <w:r w:rsidR="001D0DBD" w:rsidRPr="00B755E9">
              <w:rPr>
                <w:rStyle w:val="Hyperlink"/>
                <w:noProof/>
              </w:rPr>
              <w:t>Purpose of the comparison methodology for space heaters</w:t>
            </w:r>
            <w:r w:rsidR="001D0DBD">
              <w:rPr>
                <w:noProof/>
                <w:webHidden/>
              </w:rPr>
              <w:tab/>
            </w:r>
            <w:r w:rsidR="001D0DBD">
              <w:rPr>
                <w:noProof/>
                <w:webHidden/>
              </w:rPr>
              <w:fldChar w:fldCharType="begin"/>
            </w:r>
            <w:r w:rsidR="001D0DBD">
              <w:rPr>
                <w:noProof/>
                <w:webHidden/>
              </w:rPr>
              <w:instrText xml:space="preserve"> PAGEREF _Toc175311897 \h </w:instrText>
            </w:r>
            <w:r w:rsidR="001D0DBD">
              <w:rPr>
                <w:noProof/>
                <w:webHidden/>
              </w:rPr>
            </w:r>
            <w:r w:rsidR="001D0DBD">
              <w:rPr>
                <w:noProof/>
                <w:webHidden/>
              </w:rPr>
              <w:fldChar w:fldCharType="separate"/>
            </w:r>
            <w:r w:rsidR="007068DD">
              <w:rPr>
                <w:noProof/>
                <w:webHidden/>
              </w:rPr>
              <w:t>3</w:t>
            </w:r>
            <w:r w:rsidR="001D0DBD">
              <w:rPr>
                <w:noProof/>
                <w:webHidden/>
              </w:rPr>
              <w:fldChar w:fldCharType="end"/>
            </w:r>
          </w:hyperlink>
        </w:p>
        <w:p w14:paraId="44D668A6" w14:textId="6D150781" w:rsidR="001D0DBD" w:rsidRDefault="00D73D08">
          <w:pPr>
            <w:pStyle w:val="TOC2"/>
            <w:rPr>
              <w:noProof/>
              <w:kern w:val="2"/>
              <w:sz w:val="24"/>
              <w:szCs w:val="24"/>
              <w:lang w:val="en-AU" w:eastAsia="en-AU"/>
              <w14:ligatures w14:val="standardContextual"/>
            </w:rPr>
          </w:pPr>
          <w:hyperlink w:anchor="_Toc175311898" w:history="1">
            <w:r w:rsidR="001D0DBD" w:rsidRPr="00B755E9">
              <w:rPr>
                <w:rStyle w:val="Hyperlink"/>
                <w:noProof/>
              </w:rPr>
              <w:t>Background on the space heating work program</w:t>
            </w:r>
            <w:r w:rsidR="001D0DBD">
              <w:rPr>
                <w:noProof/>
                <w:webHidden/>
              </w:rPr>
              <w:tab/>
            </w:r>
            <w:r w:rsidR="001D0DBD">
              <w:rPr>
                <w:noProof/>
                <w:webHidden/>
              </w:rPr>
              <w:fldChar w:fldCharType="begin"/>
            </w:r>
            <w:r w:rsidR="001D0DBD">
              <w:rPr>
                <w:noProof/>
                <w:webHidden/>
              </w:rPr>
              <w:instrText xml:space="preserve"> PAGEREF _Toc175311898 \h </w:instrText>
            </w:r>
            <w:r w:rsidR="001D0DBD">
              <w:rPr>
                <w:noProof/>
                <w:webHidden/>
              </w:rPr>
            </w:r>
            <w:r w:rsidR="001D0DBD">
              <w:rPr>
                <w:noProof/>
                <w:webHidden/>
              </w:rPr>
              <w:fldChar w:fldCharType="separate"/>
            </w:r>
            <w:r w:rsidR="007068DD">
              <w:rPr>
                <w:noProof/>
                <w:webHidden/>
              </w:rPr>
              <w:t>3</w:t>
            </w:r>
            <w:r w:rsidR="001D0DBD">
              <w:rPr>
                <w:noProof/>
                <w:webHidden/>
              </w:rPr>
              <w:fldChar w:fldCharType="end"/>
            </w:r>
          </w:hyperlink>
        </w:p>
        <w:p w14:paraId="707974BB" w14:textId="27813945" w:rsidR="001D0DBD" w:rsidRDefault="00D73D08">
          <w:pPr>
            <w:pStyle w:val="TOC2"/>
            <w:rPr>
              <w:noProof/>
              <w:kern w:val="2"/>
              <w:sz w:val="24"/>
              <w:szCs w:val="24"/>
              <w:lang w:val="en-AU" w:eastAsia="en-AU"/>
              <w14:ligatures w14:val="standardContextual"/>
            </w:rPr>
          </w:pPr>
          <w:hyperlink w:anchor="_Toc175311899" w:history="1">
            <w:r w:rsidR="001D0DBD" w:rsidRPr="00B755E9">
              <w:rPr>
                <w:rStyle w:val="Hyperlink"/>
                <w:noProof/>
              </w:rPr>
              <w:t>Scope of heaters considered: simple heaters and complex heaters</w:t>
            </w:r>
            <w:r w:rsidR="001D0DBD">
              <w:rPr>
                <w:noProof/>
                <w:webHidden/>
              </w:rPr>
              <w:tab/>
            </w:r>
            <w:r w:rsidR="001D0DBD">
              <w:rPr>
                <w:noProof/>
                <w:webHidden/>
              </w:rPr>
              <w:fldChar w:fldCharType="begin"/>
            </w:r>
            <w:r w:rsidR="001D0DBD">
              <w:rPr>
                <w:noProof/>
                <w:webHidden/>
              </w:rPr>
              <w:instrText xml:space="preserve"> PAGEREF _Toc175311899 \h </w:instrText>
            </w:r>
            <w:r w:rsidR="001D0DBD">
              <w:rPr>
                <w:noProof/>
                <w:webHidden/>
              </w:rPr>
            </w:r>
            <w:r w:rsidR="001D0DBD">
              <w:rPr>
                <w:noProof/>
                <w:webHidden/>
              </w:rPr>
              <w:fldChar w:fldCharType="separate"/>
            </w:r>
            <w:r w:rsidR="007068DD">
              <w:rPr>
                <w:noProof/>
                <w:webHidden/>
              </w:rPr>
              <w:t>4</w:t>
            </w:r>
            <w:r w:rsidR="001D0DBD">
              <w:rPr>
                <w:noProof/>
                <w:webHidden/>
              </w:rPr>
              <w:fldChar w:fldCharType="end"/>
            </w:r>
          </w:hyperlink>
        </w:p>
        <w:p w14:paraId="7E8019B9" w14:textId="5244951F" w:rsidR="001D0DBD" w:rsidRDefault="00D73D08">
          <w:pPr>
            <w:pStyle w:val="TOC2"/>
            <w:rPr>
              <w:noProof/>
              <w:kern w:val="2"/>
              <w:sz w:val="24"/>
              <w:szCs w:val="24"/>
              <w:lang w:val="en-AU" w:eastAsia="en-AU"/>
              <w14:ligatures w14:val="standardContextual"/>
            </w:rPr>
          </w:pPr>
          <w:hyperlink w:anchor="_Toc175311900" w:history="1">
            <w:r w:rsidR="001D0DBD" w:rsidRPr="00B755E9">
              <w:rPr>
                <w:rStyle w:val="Hyperlink"/>
                <w:noProof/>
              </w:rPr>
              <w:t>Basis of the comparison methodology</w:t>
            </w:r>
            <w:r w:rsidR="001D0DBD">
              <w:rPr>
                <w:noProof/>
                <w:webHidden/>
              </w:rPr>
              <w:tab/>
            </w:r>
            <w:r w:rsidR="001D0DBD">
              <w:rPr>
                <w:noProof/>
                <w:webHidden/>
              </w:rPr>
              <w:fldChar w:fldCharType="begin"/>
            </w:r>
            <w:r w:rsidR="001D0DBD">
              <w:rPr>
                <w:noProof/>
                <w:webHidden/>
              </w:rPr>
              <w:instrText xml:space="preserve"> PAGEREF _Toc175311900 \h </w:instrText>
            </w:r>
            <w:r w:rsidR="001D0DBD">
              <w:rPr>
                <w:noProof/>
                <w:webHidden/>
              </w:rPr>
            </w:r>
            <w:r w:rsidR="001D0DBD">
              <w:rPr>
                <w:noProof/>
                <w:webHidden/>
              </w:rPr>
              <w:fldChar w:fldCharType="separate"/>
            </w:r>
            <w:r w:rsidR="007068DD">
              <w:rPr>
                <w:noProof/>
                <w:webHidden/>
              </w:rPr>
              <w:t>4</w:t>
            </w:r>
            <w:r w:rsidR="001D0DBD">
              <w:rPr>
                <w:noProof/>
                <w:webHidden/>
              </w:rPr>
              <w:fldChar w:fldCharType="end"/>
            </w:r>
          </w:hyperlink>
        </w:p>
        <w:p w14:paraId="1367CEB6" w14:textId="701120BE" w:rsidR="001D0DBD" w:rsidRDefault="00D73D08">
          <w:pPr>
            <w:pStyle w:val="TOC2"/>
            <w:rPr>
              <w:noProof/>
              <w:kern w:val="2"/>
              <w:sz w:val="24"/>
              <w:szCs w:val="24"/>
              <w:lang w:val="en-AU" w:eastAsia="en-AU"/>
              <w14:ligatures w14:val="standardContextual"/>
            </w:rPr>
          </w:pPr>
          <w:hyperlink w:anchor="_Toc175311901" w:history="1">
            <w:r w:rsidR="001D0DBD" w:rsidRPr="00B755E9">
              <w:rPr>
                <w:rStyle w:val="Hyperlink"/>
                <w:noProof/>
              </w:rPr>
              <w:t>Space Heating Equipment Technical Working Group</w:t>
            </w:r>
            <w:r w:rsidR="001D0DBD">
              <w:rPr>
                <w:noProof/>
                <w:webHidden/>
              </w:rPr>
              <w:tab/>
            </w:r>
            <w:r w:rsidR="001D0DBD">
              <w:rPr>
                <w:noProof/>
                <w:webHidden/>
              </w:rPr>
              <w:fldChar w:fldCharType="begin"/>
            </w:r>
            <w:r w:rsidR="001D0DBD">
              <w:rPr>
                <w:noProof/>
                <w:webHidden/>
              </w:rPr>
              <w:instrText xml:space="preserve"> PAGEREF _Toc175311901 \h </w:instrText>
            </w:r>
            <w:r w:rsidR="001D0DBD">
              <w:rPr>
                <w:noProof/>
                <w:webHidden/>
              </w:rPr>
            </w:r>
            <w:r w:rsidR="001D0DBD">
              <w:rPr>
                <w:noProof/>
                <w:webHidden/>
              </w:rPr>
              <w:fldChar w:fldCharType="separate"/>
            </w:r>
            <w:r w:rsidR="007068DD">
              <w:rPr>
                <w:noProof/>
                <w:webHidden/>
              </w:rPr>
              <w:t>5</w:t>
            </w:r>
            <w:r w:rsidR="001D0DBD">
              <w:rPr>
                <w:noProof/>
                <w:webHidden/>
              </w:rPr>
              <w:fldChar w:fldCharType="end"/>
            </w:r>
          </w:hyperlink>
        </w:p>
        <w:p w14:paraId="1071E361" w14:textId="1FC1DF57" w:rsidR="001D0DBD" w:rsidRDefault="00D73D08">
          <w:pPr>
            <w:pStyle w:val="TOC2"/>
            <w:rPr>
              <w:noProof/>
              <w:kern w:val="2"/>
              <w:sz w:val="24"/>
              <w:szCs w:val="24"/>
              <w:lang w:val="en-AU" w:eastAsia="en-AU"/>
              <w14:ligatures w14:val="standardContextual"/>
            </w:rPr>
          </w:pPr>
          <w:hyperlink w:anchor="_Toc175311902" w:history="1">
            <w:r w:rsidR="001D0DBD" w:rsidRPr="00B755E9">
              <w:rPr>
                <w:rStyle w:val="Hyperlink"/>
                <w:noProof/>
              </w:rPr>
              <w:t>Making a submission</w:t>
            </w:r>
            <w:r w:rsidR="001D0DBD">
              <w:rPr>
                <w:noProof/>
                <w:webHidden/>
              </w:rPr>
              <w:tab/>
            </w:r>
            <w:r w:rsidR="001D0DBD">
              <w:rPr>
                <w:noProof/>
                <w:webHidden/>
              </w:rPr>
              <w:fldChar w:fldCharType="begin"/>
            </w:r>
            <w:r w:rsidR="001D0DBD">
              <w:rPr>
                <w:noProof/>
                <w:webHidden/>
              </w:rPr>
              <w:instrText xml:space="preserve"> PAGEREF _Toc175311902 \h </w:instrText>
            </w:r>
            <w:r w:rsidR="001D0DBD">
              <w:rPr>
                <w:noProof/>
                <w:webHidden/>
              </w:rPr>
            </w:r>
            <w:r w:rsidR="001D0DBD">
              <w:rPr>
                <w:noProof/>
                <w:webHidden/>
              </w:rPr>
              <w:fldChar w:fldCharType="separate"/>
            </w:r>
            <w:r w:rsidR="007068DD">
              <w:rPr>
                <w:noProof/>
                <w:webHidden/>
              </w:rPr>
              <w:t>5</w:t>
            </w:r>
            <w:r w:rsidR="001D0DBD">
              <w:rPr>
                <w:noProof/>
                <w:webHidden/>
              </w:rPr>
              <w:fldChar w:fldCharType="end"/>
            </w:r>
          </w:hyperlink>
        </w:p>
        <w:p w14:paraId="7C2CA9BF" w14:textId="37FC4FAC" w:rsidR="001D0DBD" w:rsidRDefault="00D73D08">
          <w:pPr>
            <w:pStyle w:val="TOC1"/>
            <w:rPr>
              <w:b w:val="0"/>
              <w:noProof/>
              <w:kern w:val="2"/>
              <w:sz w:val="24"/>
              <w:szCs w:val="24"/>
              <w:lang w:val="en-AU" w:eastAsia="en-AU"/>
              <w14:ligatures w14:val="standardContextual"/>
            </w:rPr>
          </w:pPr>
          <w:hyperlink w:anchor="_Toc175311903" w:history="1">
            <w:r w:rsidR="001D0DBD" w:rsidRPr="00B755E9">
              <w:rPr>
                <w:rStyle w:val="Hyperlink"/>
                <w:noProof/>
              </w:rPr>
              <w:t>Heater Types</w:t>
            </w:r>
            <w:r w:rsidR="001D0DBD">
              <w:rPr>
                <w:noProof/>
                <w:webHidden/>
              </w:rPr>
              <w:tab/>
            </w:r>
            <w:r w:rsidR="001D0DBD">
              <w:rPr>
                <w:noProof/>
                <w:webHidden/>
              </w:rPr>
              <w:fldChar w:fldCharType="begin"/>
            </w:r>
            <w:r w:rsidR="001D0DBD">
              <w:rPr>
                <w:noProof/>
                <w:webHidden/>
              </w:rPr>
              <w:instrText xml:space="preserve"> PAGEREF _Toc175311903 \h </w:instrText>
            </w:r>
            <w:r w:rsidR="001D0DBD">
              <w:rPr>
                <w:noProof/>
                <w:webHidden/>
              </w:rPr>
            </w:r>
            <w:r w:rsidR="001D0DBD">
              <w:rPr>
                <w:noProof/>
                <w:webHidden/>
              </w:rPr>
              <w:fldChar w:fldCharType="separate"/>
            </w:r>
            <w:r w:rsidR="007068DD">
              <w:rPr>
                <w:noProof/>
                <w:webHidden/>
              </w:rPr>
              <w:t>6</w:t>
            </w:r>
            <w:r w:rsidR="001D0DBD">
              <w:rPr>
                <w:noProof/>
                <w:webHidden/>
              </w:rPr>
              <w:fldChar w:fldCharType="end"/>
            </w:r>
          </w:hyperlink>
        </w:p>
        <w:p w14:paraId="5878F65A" w14:textId="5E4EBFD8" w:rsidR="001D0DBD" w:rsidRDefault="00D73D08">
          <w:pPr>
            <w:pStyle w:val="TOC2"/>
            <w:rPr>
              <w:noProof/>
              <w:kern w:val="2"/>
              <w:sz w:val="24"/>
              <w:szCs w:val="24"/>
              <w:lang w:val="en-AU" w:eastAsia="en-AU"/>
              <w14:ligatures w14:val="standardContextual"/>
            </w:rPr>
          </w:pPr>
          <w:hyperlink w:anchor="_Toc175311904" w:history="1">
            <w:r w:rsidR="001D0DBD" w:rsidRPr="00B755E9">
              <w:rPr>
                <w:rStyle w:val="Hyperlink"/>
                <w:noProof/>
              </w:rPr>
              <w:t>Simple heaters</w:t>
            </w:r>
            <w:r w:rsidR="001D0DBD">
              <w:rPr>
                <w:noProof/>
                <w:webHidden/>
              </w:rPr>
              <w:tab/>
            </w:r>
            <w:r w:rsidR="001D0DBD">
              <w:rPr>
                <w:noProof/>
                <w:webHidden/>
              </w:rPr>
              <w:fldChar w:fldCharType="begin"/>
            </w:r>
            <w:r w:rsidR="001D0DBD">
              <w:rPr>
                <w:noProof/>
                <w:webHidden/>
              </w:rPr>
              <w:instrText xml:space="preserve"> PAGEREF _Toc175311904 \h </w:instrText>
            </w:r>
            <w:r w:rsidR="001D0DBD">
              <w:rPr>
                <w:noProof/>
                <w:webHidden/>
              </w:rPr>
            </w:r>
            <w:r w:rsidR="001D0DBD">
              <w:rPr>
                <w:noProof/>
                <w:webHidden/>
              </w:rPr>
              <w:fldChar w:fldCharType="separate"/>
            </w:r>
            <w:r w:rsidR="007068DD">
              <w:rPr>
                <w:noProof/>
                <w:webHidden/>
              </w:rPr>
              <w:t>6</w:t>
            </w:r>
            <w:r w:rsidR="001D0DBD">
              <w:rPr>
                <w:noProof/>
                <w:webHidden/>
              </w:rPr>
              <w:fldChar w:fldCharType="end"/>
            </w:r>
          </w:hyperlink>
        </w:p>
        <w:p w14:paraId="338FBF2D" w14:textId="614DF021" w:rsidR="001D0DBD" w:rsidRDefault="00D73D08">
          <w:pPr>
            <w:pStyle w:val="TOC3"/>
            <w:rPr>
              <w:noProof/>
              <w:kern w:val="2"/>
              <w:sz w:val="24"/>
              <w:szCs w:val="24"/>
              <w:lang w:val="en-AU" w:eastAsia="en-AU"/>
              <w14:ligatures w14:val="standardContextual"/>
            </w:rPr>
          </w:pPr>
          <w:hyperlink w:anchor="_Toc175311905" w:history="1">
            <w:r w:rsidR="001D0DBD" w:rsidRPr="00B755E9">
              <w:rPr>
                <w:rStyle w:val="Hyperlink"/>
                <w:noProof/>
              </w:rPr>
              <w:t>Solid fuel combustion heaters:</w:t>
            </w:r>
            <w:r w:rsidR="001D0DBD">
              <w:rPr>
                <w:noProof/>
                <w:webHidden/>
              </w:rPr>
              <w:tab/>
            </w:r>
            <w:r w:rsidR="001D0DBD">
              <w:rPr>
                <w:noProof/>
                <w:webHidden/>
              </w:rPr>
              <w:fldChar w:fldCharType="begin"/>
            </w:r>
            <w:r w:rsidR="001D0DBD">
              <w:rPr>
                <w:noProof/>
                <w:webHidden/>
              </w:rPr>
              <w:instrText xml:space="preserve"> PAGEREF _Toc175311905 \h </w:instrText>
            </w:r>
            <w:r w:rsidR="001D0DBD">
              <w:rPr>
                <w:noProof/>
                <w:webHidden/>
              </w:rPr>
            </w:r>
            <w:r w:rsidR="001D0DBD">
              <w:rPr>
                <w:noProof/>
                <w:webHidden/>
              </w:rPr>
              <w:fldChar w:fldCharType="separate"/>
            </w:r>
            <w:r w:rsidR="007068DD">
              <w:rPr>
                <w:noProof/>
                <w:webHidden/>
              </w:rPr>
              <w:t>6</w:t>
            </w:r>
            <w:r w:rsidR="001D0DBD">
              <w:rPr>
                <w:noProof/>
                <w:webHidden/>
              </w:rPr>
              <w:fldChar w:fldCharType="end"/>
            </w:r>
          </w:hyperlink>
        </w:p>
        <w:p w14:paraId="2CA5EB14" w14:textId="14FE8780" w:rsidR="001D0DBD" w:rsidRDefault="00D73D08">
          <w:pPr>
            <w:pStyle w:val="TOC3"/>
            <w:rPr>
              <w:noProof/>
              <w:kern w:val="2"/>
              <w:sz w:val="24"/>
              <w:szCs w:val="24"/>
              <w:lang w:val="en-AU" w:eastAsia="en-AU"/>
              <w14:ligatures w14:val="standardContextual"/>
            </w:rPr>
          </w:pPr>
          <w:hyperlink w:anchor="_Toc175311906" w:history="1">
            <w:r w:rsidR="001D0DBD" w:rsidRPr="00B755E9">
              <w:rPr>
                <w:rStyle w:val="Hyperlink"/>
                <w:noProof/>
              </w:rPr>
              <w:t>Non-ducted gas heaters:</w:t>
            </w:r>
            <w:r w:rsidR="001D0DBD">
              <w:rPr>
                <w:noProof/>
                <w:webHidden/>
              </w:rPr>
              <w:tab/>
            </w:r>
            <w:r w:rsidR="001D0DBD">
              <w:rPr>
                <w:noProof/>
                <w:webHidden/>
              </w:rPr>
              <w:fldChar w:fldCharType="begin"/>
            </w:r>
            <w:r w:rsidR="001D0DBD">
              <w:rPr>
                <w:noProof/>
                <w:webHidden/>
              </w:rPr>
              <w:instrText xml:space="preserve"> PAGEREF _Toc175311906 \h </w:instrText>
            </w:r>
            <w:r w:rsidR="001D0DBD">
              <w:rPr>
                <w:noProof/>
                <w:webHidden/>
              </w:rPr>
            </w:r>
            <w:r w:rsidR="001D0DBD">
              <w:rPr>
                <w:noProof/>
                <w:webHidden/>
              </w:rPr>
              <w:fldChar w:fldCharType="separate"/>
            </w:r>
            <w:r w:rsidR="007068DD">
              <w:rPr>
                <w:noProof/>
                <w:webHidden/>
              </w:rPr>
              <w:t>6</w:t>
            </w:r>
            <w:r w:rsidR="001D0DBD">
              <w:rPr>
                <w:noProof/>
                <w:webHidden/>
              </w:rPr>
              <w:fldChar w:fldCharType="end"/>
            </w:r>
          </w:hyperlink>
        </w:p>
        <w:p w14:paraId="74382DE9" w14:textId="528463E7" w:rsidR="001D0DBD" w:rsidRDefault="00D73D08">
          <w:pPr>
            <w:pStyle w:val="TOC3"/>
            <w:rPr>
              <w:noProof/>
              <w:kern w:val="2"/>
              <w:sz w:val="24"/>
              <w:szCs w:val="24"/>
              <w:lang w:val="en-AU" w:eastAsia="en-AU"/>
              <w14:ligatures w14:val="standardContextual"/>
            </w:rPr>
          </w:pPr>
          <w:hyperlink w:anchor="_Toc175311907" w:history="1">
            <w:r w:rsidR="001D0DBD" w:rsidRPr="00B755E9">
              <w:rPr>
                <w:rStyle w:val="Hyperlink"/>
                <w:noProof/>
              </w:rPr>
              <w:t>Reverse cycle air conditioners (heat pumps), when being used for heating:</w:t>
            </w:r>
            <w:r w:rsidR="001D0DBD">
              <w:rPr>
                <w:noProof/>
                <w:webHidden/>
              </w:rPr>
              <w:tab/>
            </w:r>
            <w:r w:rsidR="001D0DBD">
              <w:rPr>
                <w:noProof/>
                <w:webHidden/>
              </w:rPr>
              <w:fldChar w:fldCharType="begin"/>
            </w:r>
            <w:r w:rsidR="001D0DBD">
              <w:rPr>
                <w:noProof/>
                <w:webHidden/>
              </w:rPr>
              <w:instrText xml:space="preserve"> PAGEREF _Toc175311907 \h </w:instrText>
            </w:r>
            <w:r w:rsidR="001D0DBD">
              <w:rPr>
                <w:noProof/>
                <w:webHidden/>
              </w:rPr>
            </w:r>
            <w:r w:rsidR="001D0DBD">
              <w:rPr>
                <w:noProof/>
                <w:webHidden/>
              </w:rPr>
              <w:fldChar w:fldCharType="separate"/>
            </w:r>
            <w:r w:rsidR="007068DD">
              <w:rPr>
                <w:noProof/>
                <w:webHidden/>
              </w:rPr>
              <w:t>6</w:t>
            </w:r>
            <w:r w:rsidR="001D0DBD">
              <w:rPr>
                <w:noProof/>
                <w:webHidden/>
              </w:rPr>
              <w:fldChar w:fldCharType="end"/>
            </w:r>
          </w:hyperlink>
        </w:p>
        <w:p w14:paraId="2A464712" w14:textId="6AA21F94" w:rsidR="001D0DBD" w:rsidRDefault="00D73D08">
          <w:pPr>
            <w:pStyle w:val="TOC3"/>
            <w:rPr>
              <w:noProof/>
              <w:kern w:val="2"/>
              <w:sz w:val="24"/>
              <w:szCs w:val="24"/>
              <w:lang w:val="en-AU" w:eastAsia="en-AU"/>
              <w14:ligatures w14:val="standardContextual"/>
            </w:rPr>
          </w:pPr>
          <w:hyperlink w:anchor="_Toc175311908" w:history="1">
            <w:r w:rsidR="001D0DBD" w:rsidRPr="00B755E9">
              <w:rPr>
                <w:rStyle w:val="Hyperlink"/>
                <w:noProof/>
              </w:rPr>
              <w:t>Electric resistance heaters (portable and fixed):</w:t>
            </w:r>
            <w:r w:rsidR="001D0DBD">
              <w:rPr>
                <w:noProof/>
                <w:webHidden/>
              </w:rPr>
              <w:tab/>
            </w:r>
            <w:r w:rsidR="001D0DBD">
              <w:rPr>
                <w:noProof/>
                <w:webHidden/>
              </w:rPr>
              <w:fldChar w:fldCharType="begin"/>
            </w:r>
            <w:r w:rsidR="001D0DBD">
              <w:rPr>
                <w:noProof/>
                <w:webHidden/>
              </w:rPr>
              <w:instrText xml:space="preserve"> PAGEREF _Toc175311908 \h </w:instrText>
            </w:r>
            <w:r w:rsidR="001D0DBD">
              <w:rPr>
                <w:noProof/>
                <w:webHidden/>
              </w:rPr>
            </w:r>
            <w:r w:rsidR="001D0DBD">
              <w:rPr>
                <w:noProof/>
                <w:webHidden/>
              </w:rPr>
              <w:fldChar w:fldCharType="separate"/>
            </w:r>
            <w:r w:rsidR="007068DD">
              <w:rPr>
                <w:noProof/>
                <w:webHidden/>
              </w:rPr>
              <w:t>7</w:t>
            </w:r>
            <w:r w:rsidR="001D0DBD">
              <w:rPr>
                <w:noProof/>
                <w:webHidden/>
              </w:rPr>
              <w:fldChar w:fldCharType="end"/>
            </w:r>
          </w:hyperlink>
        </w:p>
        <w:p w14:paraId="65214817" w14:textId="37F4CCE0" w:rsidR="001D0DBD" w:rsidRDefault="00D73D08">
          <w:pPr>
            <w:pStyle w:val="TOC3"/>
            <w:rPr>
              <w:noProof/>
              <w:kern w:val="2"/>
              <w:sz w:val="24"/>
              <w:szCs w:val="24"/>
              <w:lang w:val="en-AU" w:eastAsia="en-AU"/>
              <w14:ligatures w14:val="standardContextual"/>
            </w:rPr>
          </w:pPr>
          <w:hyperlink w:anchor="_Toc175311909" w:history="1">
            <w:r w:rsidR="001D0DBD" w:rsidRPr="00B755E9">
              <w:rPr>
                <w:rStyle w:val="Hyperlink"/>
                <w:noProof/>
              </w:rPr>
              <w:t>Gas decorative appliances:</w:t>
            </w:r>
            <w:r w:rsidR="001D0DBD">
              <w:rPr>
                <w:noProof/>
                <w:webHidden/>
              </w:rPr>
              <w:tab/>
            </w:r>
            <w:r w:rsidR="001D0DBD">
              <w:rPr>
                <w:noProof/>
                <w:webHidden/>
              </w:rPr>
              <w:fldChar w:fldCharType="begin"/>
            </w:r>
            <w:r w:rsidR="001D0DBD">
              <w:rPr>
                <w:noProof/>
                <w:webHidden/>
              </w:rPr>
              <w:instrText xml:space="preserve"> PAGEREF _Toc175311909 \h </w:instrText>
            </w:r>
            <w:r w:rsidR="001D0DBD">
              <w:rPr>
                <w:noProof/>
                <w:webHidden/>
              </w:rPr>
            </w:r>
            <w:r w:rsidR="001D0DBD">
              <w:rPr>
                <w:noProof/>
                <w:webHidden/>
              </w:rPr>
              <w:fldChar w:fldCharType="separate"/>
            </w:r>
            <w:r w:rsidR="007068DD">
              <w:rPr>
                <w:noProof/>
                <w:webHidden/>
              </w:rPr>
              <w:t>7</w:t>
            </w:r>
            <w:r w:rsidR="001D0DBD">
              <w:rPr>
                <w:noProof/>
                <w:webHidden/>
              </w:rPr>
              <w:fldChar w:fldCharType="end"/>
            </w:r>
          </w:hyperlink>
        </w:p>
        <w:p w14:paraId="48D7904B" w14:textId="39B2FC89" w:rsidR="001D0DBD" w:rsidRDefault="00D73D08">
          <w:pPr>
            <w:pStyle w:val="TOC3"/>
            <w:rPr>
              <w:noProof/>
              <w:kern w:val="2"/>
              <w:sz w:val="24"/>
              <w:szCs w:val="24"/>
              <w:lang w:val="en-AU" w:eastAsia="en-AU"/>
              <w14:ligatures w14:val="standardContextual"/>
            </w:rPr>
          </w:pPr>
          <w:hyperlink w:anchor="_Toc175311910" w:history="1">
            <w:r w:rsidR="001D0DBD" w:rsidRPr="00B755E9">
              <w:rPr>
                <w:rStyle w:val="Hyperlink"/>
                <w:noProof/>
              </w:rPr>
              <w:t>Ducted gas heaters:</w:t>
            </w:r>
            <w:r w:rsidR="001D0DBD">
              <w:rPr>
                <w:noProof/>
                <w:webHidden/>
              </w:rPr>
              <w:tab/>
            </w:r>
            <w:r w:rsidR="001D0DBD">
              <w:rPr>
                <w:noProof/>
                <w:webHidden/>
              </w:rPr>
              <w:fldChar w:fldCharType="begin"/>
            </w:r>
            <w:r w:rsidR="001D0DBD">
              <w:rPr>
                <w:noProof/>
                <w:webHidden/>
              </w:rPr>
              <w:instrText xml:space="preserve"> PAGEREF _Toc175311910 \h </w:instrText>
            </w:r>
            <w:r w:rsidR="001D0DBD">
              <w:rPr>
                <w:noProof/>
                <w:webHidden/>
              </w:rPr>
            </w:r>
            <w:r w:rsidR="001D0DBD">
              <w:rPr>
                <w:noProof/>
                <w:webHidden/>
              </w:rPr>
              <w:fldChar w:fldCharType="separate"/>
            </w:r>
            <w:r w:rsidR="007068DD">
              <w:rPr>
                <w:noProof/>
                <w:webHidden/>
              </w:rPr>
              <w:t>7</w:t>
            </w:r>
            <w:r w:rsidR="001D0DBD">
              <w:rPr>
                <w:noProof/>
                <w:webHidden/>
              </w:rPr>
              <w:fldChar w:fldCharType="end"/>
            </w:r>
          </w:hyperlink>
        </w:p>
        <w:p w14:paraId="10C76358" w14:textId="6101C28C" w:rsidR="001D0DBD" w:rsidRDefault="00D73D08">
          <w:pPr>
            <w:pStyle w:val="TOC3"/>
            <w:rPr>
              <w:noProof/>
              <w:kern w:val="2"/>
              <w:sz w:val="24"/>
              <w:szCs w:val="24"/>
              <w:lang w:val="en-AU" w:eastAsia="en-AU"/>
              <w14:ligatures w14:val="standardContextual"/>
            </w:rPr>
          </w:pPr>
          <w:hyperlink w:anchor="_Toc175311911" w:history="1">
            <w:r w:rsidR="001D0DBD" w:rsidRPr="00B755E9">
              <w:rPr>
                <w:rStyle w:val="Hyperlink"/>
                <w:noProof/>
              </w:rPr>
              <w:t>Ducted reverse cycle air conditioners (heat pumps) when being used for heating:</w:t>
            </w:r>
            <w:r w:rsidR="001D0DBD">
              <w:rPr>
                <w:noProof/>
                <w:webHidden/>
              </w:rPr>
              <w:tab/>
            </w:r>
            <w:r w:rsidR="001D0DBD">
              <w:rPr>
                <w:noProof/>
                <w:webHidden/>
              </w:rPr>
              <w:fldChar w:fldCharType="begin"/>
            </w:r>
            <w:r w:rsidR="001D0DBD">
              <w:rPr>
                <w:noProof/>
                <w:webHidden/>
              </w:rPr>
              <w:instrText xml:space="preserve"> PAGEREF _Toc175311911 \h </w:instrText>
            </w:r>
            <w:r w:rsidR="001D0DBD">
              <w:rPr>
                <w:noProof/>
                <w:webHidden/>
              </w:rPr>
            </w:r>
            <w:r w:rsidR="001D0DBD">
              <w:rPr>
                <w:noProof/>
                <w:webHidden/>
              </w:rPr>
              <w:fldChar w:fldCharType="separate"/>
            </w:r>
            <w:r w:rsidR="007068DD">
              <w:rPr>
                <w:noProof/>
                <w:webHidden/>
              </w:rPr>
              <w:t>7</w:t>
            </w:r>
            <w:r w:rsidR="001D0DBD">
              <w:rPr>
                <w:noProof/>
                <w:webHidden/>
              </w:rPr>
              <w:fldChar w:fldCharType="end"/>
            </w:r>
          </w:hyperlink>
        </w:p>
        <w:p w14:paraId="4C3ACF21" w14:textId="34730D70" w:rsidR="001D0DBD" w:rsidRDefault="00D73D08">
          <w:pPr>
            <w:pStyle w:val="TOC2"/>
            <w:rPr>
              <w:noProof/>
              <w:kern w:val="2"/>
              <w:sz w:val="24"/>
              <w:szCs w:val="24"/>
              <w:lang w:val="en-AU" w:eastAsia="en-AU"/>
              <w14:ligatures w14:val="standardContextual"/>
            </w:rPr>
          </w:pPr>
          <w:hyperlink w:anchor="_Toc175311912" w:history="1">
            <w:r w:rsidR="001D0DBD" w:rsidRPr="00B755E9">
              <w:rPr>
                <w:rStyle w:val="Hyperlink"/>
                <w:noProof/>
              </w:rPr>
              <w:t>Complex heaters</w:t>
            </w:r>
            <w:r w:rsidR="001D0DBD">
              <w:rPr>
                <w:noProof/>
                <w:webHidden/>
              </w:rPr>
              <w:tab/>
            </w:r>
            <w:r w:rsidR="001D0DBD">
              <w:rPr>
                <w:noProof/>
                <w:webHidden/>
              </w:rPr>
              <w:fldChar w:fldCharType="begin"/>
            </w:r>
            <w:r w:rsidR="001D0DBD">
              <w:rPr>
                <w:noProof/>
                <w:webHidden/>
              </w:rPr>
              <w:instrText xml:space="preserve"> PAGEREF _Toc175311912 \h </w:instrText>
            </w:r>
            <w:r w:rsidR="001D0DBD">
              <w:rPr>
                <w:noProof/>
                <w:webHidden/>
              </w:rPr>
            </w:r>
            <w:r w:rsidR="001D0DBD">
              <w:rPr>
                <w:noProof/>
                <w:webHidden/>
              </w:rPr>
              <w:fldChar w:fldCharType="separate"/>
            </w:r>
            <w:r w:rsidR="007068DD">
              <w:rPr>
                <w:noProof/>
                <w:webHidden/>
              </w:rPr>
              <w:t>8</w:t>
            </w:r>
            <w:r w:rsidR="001D0DBD">
              <w:rPr>
                <w:noProof/>
                <w:webHidden/>
              </w:rPr>
              <w:fldChar w:fldCharType="end"/>
            </w:r>
          </w:hyperlink>
        </w:p>
        <w:p w14:paraId="07290C9E" w14:textId="295E4411" w:rsidR="001D0DBD" w:rsidRDefault="00D73D08">
          <w:pPr>
            <w:pStyle w:val="TOC3"/>
            <w:rPr>
              <w:noProof/>
              <w:kern w:val="2"/>
              <w:sz w:val="24"/>
              <w:szCs w:val="24"/>
              <w:lang w:val="en-AU" w:eastAsia="en-AU"/>
              <w14:ligatures w14:val="standardContextual"/>
            </w:rPr>
          </w:pPr>
          <w:hyperlink w:anchor="_Toc175311913" w:history="1">
            <w:r w:rsidR="001D0DBD" w:rsidRPr="00B755E9">
              <w:rPr>
                <w:rStyle w:val="Hyperlink"/>
                <w:noProof/>
              </w:rPr>
              <w:t>Electric resistance underfloor heaters:</w:t>
            </w:r>
            <w:r w:rsidR="001D0DBD">
              <w:rPr>
                <w:noProof/>
                <w:webHidden/>
              </w:rPr>
              <w:tab/>
            </w:r>
            <w:r w:rsidR="001D0DBD">
              <w:rPr>
                <w:noProof/>
                <w:webHidden/>
              </w:rPr>
              <w:fldChar w:fldCharType="begin"/>
            </w:r>
            <w:r w:rsidR="001D0DBD">
              <w:rPr>
                <w:noProof/>
                <w:webHidden/>
              </w:rPr>
              <w:instrText xml:space="preserve"> PAGEREF _Toc175311913 \h </w:instrText>
            </w:r>
            <w:r w:rsidR="001D0DBD">
              <w:rPr>
                <w:noProof/>
                <w:webHidden/>
              </w:rPr>
            </w:r>
            <w:r w:rsidR="001D0DBD">
              <w:rPr>
                <w:noProof/>
                <w:webHidden/>
              </w:rPr>
              <w:fldChar w:fldCharType="separate"/>
            </w:r>
            <w:r w:rsidR="007068DD">
              <w:rPr>
                <w:noProof/>
                <w:webHidden/>
              </w:rPr>
              <w:t>8</w:t>
            </w:r>
            <w:r w:rsidR="001D0DBD">
              <w:rPr>
                <w:noProof/>
                <w:webHidden/>
              </w:rPr>
              <w:fldChar w:fldCharType="end"/>
            </w:r>
          </w:hyperlink>
        </w:p>
        <w:p w14:paraId="4CD5C4E4" w14:textId="0526BDFA" w:rsidR="001D0DBD" w:rsidRDefault="00D73D08">
          <w:pPr>
            <w:pStyle w:val="TOC3"/>
            <w:rPr>
              <w:noProof/>
              <w:kern w:val="2"/>
              <w:sz w:val="24"/>
              <w:szCs w:val="24"/>
              <w:lang w:val="en-AU" w:eastAsia="en-AU"/>
              <w14:ligatures w14:val="standardContextual"/>
            </w:rPr>
          </w:pPr>
          <w:hyperlink w:anchor="_Toc175311914" w:history="1">
            <w:r w:rsidR="001D0DBD" w:rsidRPr="00B755E9">
              <w:rPr>
                <w:rStyle w:val="Hyperlink"/>
                <w:noProof/>
              </w:rPr>
              <w:t>Hydronic heaters:</w:t>
            </w:r>
            <w:r w:rsidR="001D0DBD">
              <w:rPr>
                <w:noProof/>
                <w:webHidden/>
              </w:rPr>
              <w:tab/>
            </w:r>
            <w:r w:rsidR="001D0DBD">
              <w:rPr>
                <w:noProof/>
                <w:webHidden/>
              </w:rPr>
              <w:fldChar w:fldCharType="begin"/>
            </w:r>
            <w:r w:rsidR="001D0DBD">
              <w:rPr>
                <w:noProof/>
                <w:webHidden/>
              </w:rPr>
              <w:instrText xml:space="preserve"> PAGEREF _Toc175311914 \h </w:instrText>
            </w:r>
            <w:r w:rsidR="001D0DBD">
              <w:rPr>
                <w:noProof/>
                <w:webHidden/>
              </w:rPr>
            </w:r>
            <w:r w:rsidR="001D0DBD">
              <w:rPr>
                <w:noProof/>
                <w:webHidden/>
              </w:rPr>
              <w:fldChar w:fldCharType="separate"/>
            </w:r>
            <w:r w:rsidR="007068DD">
              <w:rPr>
                <w:noProof/>
                <w:webHidden/>
              </w:rPr>
              <w:t>8</w:t>
            </w:r>
            <w:r w:rsidR="001D0DBD">
              <w:rPr>
                <w:noProof/>
                <w:webHidden/>
              </w:rPr>
              <w:fldChar w:fldCharType="end"/>
            </w:r>
          </w:hyperlink>
        </w:p>
        <w:p w14:paraId="3FEF4136" w14:textId="18134A2E" w:rsidR="001D0DBD" w:rsidRDefault="00D73D08">
          <w:pPr>
            <w:pStyle w:val="TOC1"/>
            <w:rPr>
              <w:b w:val="0"/>
              <w:noProof/>
              <w:kern w:val="2"/>
              <w:sz w:val="24"/>
              <w:szCs w:val="24"/>
              <w:lang w:val="en-AU" w:eastAsia="en-AU"/>
              <w14:ligatures w14:val="standardContextual"/>
            </w:rPr>
          </w:pPr>
          <w:hyperlink w:anchor="_Toc175311915" w:history="1">
            <w:r w:rsidR="001D0DBD" w:rsidRPr="00B755E9">
              <w:rPr>
                <w:rStyle w:val="Hyperlink"/>
                <w:noProof/>
              </w:rPr>
              <w:t>Discussion of the methodology</w:t>
            </w:r>
            <w:r w:rsidR="001D0DBD">
              <w:rPr>
                <w:noProof/>
                <w:webHidden/>
              </w:rPr>
              <w:tab/>
            </w:r>
            <w:r w:rsidR="001D0DBD">
              <w:rPr>
                <w:noProof/>
                <w:webHidden/>
              </w:rPr>
              <w:fldChar w:fldCharType="begin"/>
            </w:r>
            <w:r w:rsidR="001D0DBD">
              <w:rPr>
                <w:noProof/>
                <w:webHidden/>
              </w:rPr>
              <w:instrText xml:space="preserve"> PAGEREF _Toc175311915 \h </w:instrText>
            </w:r>
            <w:r w:rsidR="001D0DBD">
              <w:rPr>
                <w:noProof/>
                <w:webHidden/>
              </w:rPr>
            </w:r>
            <w:r w:rsidR="001D0DBD">
              <w:rPr>
                <w:noProof/>
                <w:webHidden/>
              </w:rPr>
              <w:fldChar w:fldCharType="separate"/>
            </w:r>
            <w:r w:rsidR="007068DD">
              <w:rPr>
                <w:noProof/>
                <w:webHidden/>
              </w:rPr>
              <w:t>9</w:t>
            </w:r>
            <w:r w:rsidR="001D0DBD">
              <w:rPr>
                <w:noProof/>
                <w:webHidden/>
              </w:rPr>
              <w:fldChar w:fldCharType="end"/>
            </w:r>
          </w:hyperlink>
        </w:p>
        <w:p w14:paraId="58A57B0C" w14:textId="343E9879" w:rsidR="001D0DBD" w:rsidRDefault="00D73D08">
          <w:pPr>
            <w:pStyle w:val="TOC2"/>
            <w:rPr>
              <w:noProof/>
              <w:kern w:val="2"/>
              <w:sz w:val="24"/>
              <w:szCs w:val="24"/>
              <w:lang w:val="en-AU" w:eastAsia="en-AU"/>
              <w14:ligatures w14:val="standardContextual"/>
            </w:rPr>
          </w:pPr>
          <w:hyperlink w:anchor="_Toc175311916" w:history="1">
            <w:r w:rsidR="001D0DBD" w:rsidRPr="00B755E9">
              <w:rPr>
                <w:rStyle w:val="Hyperlink"/>
                <w:noProof/>
              </w:rPr>
              <w:t>Basis of the methodology</w:t>
            </w:r>
            <w:r w:rsidR="001D0DBD">
              <w:rPr>
                <w:noProof/>
                <w:webHidden/>
              </w:rPr>
              <w:tab/>
            </w:r>
            <w:r w:rsidR="001D0DBD">
              <w:rPr>
                <w:noProof/>
                <w:webHidden/>
              </w:rPr>
              <w:fldChar w:fldCharType="begin"/>
            </w:r>
            <w:r w:rsidR="001D0DBD">
              <w:rPr>
                <w:noProof/>
                <w:webHidden/>
              </w:rPr>
              <w:instrText xml:space="preserve"> PAGEREF _Toc175311916 \h </w:instrText>
            </w:r>
            <w:r w:rsidR="001D0DBD">
              <w:rPr>
                <w:noProof/>
                <w:webHidden/>
              </w:rPr>
            </w:r>
            <w:r w:rsidR="001D0DBD">
              <w:rPr>
                <w:noProof/>
                <w:webHidden/>
              </w:rPr>
              <w:fldChar w:fldCharType="separate"/>
            </w:r>
            <w:r w:rsidR="007068DD">
              <w:rPr>
                <w:noProof/>
                <w:webHidden/>
              </w:rPr>
              <w:t>9</w:t>
            </w:r>
            <w:r w:rsidR="001D0DBD">
              <w:rPr>
                <w:noProof/>
                <w:webHidden/>
              </w:rPr>
              <w:fldChar w:fldCharType="end"/>
            </w:r>
          </w:hyperlink>
        </w:p>
        <w:p w14:paraId="5F6E71AB" w14:textId="30C9F944" w:rsidR="001D0DBD" w:rsidRDefault="00D73D08">
          <w:pPr>
            <w:pStyle w:val="TOC2"/>
            <w:rPr>
              <w:noProof/>
              <w:kern w:val="2"/>
              <w:sz w:val="24"/>
              <w:szCs w:val="24"/>
              <w:lang w:val="en-AU" w:eastAsia="en-AU"/>
              <w14:ligatures w14:val="standardContextual"/>
            </w:rPr>
          </w:pPr>
          <w:hyperlink w:anchor="_Toc175311917" w:history="1">
            <w:r w:rsidR="001D0DBD" w:rsidRPr="00B755E9">
              <w:rPr>
                <w:rStyle w:val="Hyperlink"/>
                <w:noProof/>
              </w:rPr>
              <w:t>Methodology overview</w:t>
            </w:r>
            <w:r w:rsidR="001D0DBD">
              <w:rPr>
                <w:noProof/>
                <w:webHidden/>
              </w:rPr>
              <w:tab/>
            </w:r>
            <w:r w:rsidR="001D0DBD">
              <w:rPr>
                <w:noProof/>
                <w:webHidden/>
              </w:rPr>
              <w:fldChar w:fldCharType="begin"/>
            </w:r>
            <w:r w:rsidR="001D0DBD">
              <w:rPr>
                <w:noProof/>
                <w:webHidden/>
              </w:rPr>
              <w:instrText xml:space="preserve"> PAGEREF _Toc175311917 \h </w:instrText>
            </w:r>
            <w:r w:rsidR="001D0DBD">
              <w:rPr>
                <w:noProof/>
                <w:webHidden/>
              </w:rPr>
            </w:r>
            <w:r w:rsidR="001D0DBD">
              <w:rPr>
                <w:noProof/>
                <w:webHidden/>
              </w:rPr>
              <w:fldChar w:fldCharType="separate"/>
            </w:r>
            <w:r w:rsidR="007068DD">
              <w:rPr>
                <w:noProof/>
                <w:webHidden/>
              </w:rPr>
              <w:t>10</w:t>
            </w:r>
            <w:r w:rsidR="001D0DBD">
              <w:rPr>
                <w:noProof/>
                <w:webHidden/>
              </w:rPr>
              <w:fldChar w:fldCharType="end"/>
            </w:r>
          </w:hyperlink>
        </w:p>
        <w:p w14:paraId="2B0BA60F" w14:textId="108287E1" w:rsidR="001D0DBD" w:rsidRDefault="00D73D08">
          <w:pPr>
            <w:pStyle w:val="TOC2"/>
            <w:rPr>
              <w:noProof/>
              <w:kern w:val="2"/>
              <w:sz w:val="24"/>
              <w:szCs w:val="24"/>
              <w:lang w:val="en-AU" w:eastAsia="en-AU"/>
              <w14:ligatures w14:val="standardContextual"/>
            </w:rPr>
          </w:pPr>
          <w:hyperlink w:anchor="_Toc175311918" w:history="1">
            <w:r w:rsidR="001D0DBD" w:rsidRPr="00B755E9">
              <w:rPr>
                <w:rStyle w:val="Hyperlink"/>
                <w:noProof/>
              </w:rPr>
              <w:t>Definition of Nominal Capacity</w:t>
            </w:r>
            <w:r w:rsidR="001D0DBD">
              <w:rPr>
                <w:noProof/>
                <w:webHidden/>
              </w:rPr>
              <w:tab/>
            </w:r>
            <w:r w:rsidR="001D0DBD">
              <w:rPr>
                <w:noProof/>
                <w:webHidden/>
              </w:rPr>
              <w:fldChar w:fldCharType="begin"/>
            </w:r>
            <w:r w:rsidR="001D0DBD">
              <w:rPr>
                <w:noProof/>
                <w:webHidden/>
              </w:rPr>
              <w:instrText xml:space="preserve"> PAGEREF _Toc175311918 \h </w:instrText>
            </w:r>
            <w:r w:rsidR="001D0DBD">
              <w:rPr>
                <w:noProof/>
                <w:webHidden/>
              </w:rPr>
            </w:r>
            <w:r w:rsidR="001D0DBD">
              <w:rPr>
                <w:noProof/>
                <w:webHidden/>
              </w:rPr>
              <w:fldChar w:fldCharType="separate"/>
            </w:r>
            <w:r w:rsidR="007068DD">
              <w:rPr>
                <w:noProof/>
                <w:webHidden/>
              </w:rPr>
              <w:t>12</w:t>
            </w:r>
            <w:r w:rsidR="001D0DBD">
              <w:rPr>
                <w:noProof/>
                <w:webHidden/>
              </w:rPr>
              <w:fldChar w:fldCharType="end"/>
            </w:r>
          </w:hyperlink>
        </w:p>
        <w:p w14:paraId="78EE475E" w14:textId="6B7C7357" w:rsidR="001D0DBD" w:rsidRDefault="00D73D08">
          <w:pPr>
            <w:pStyle w:val="TOC2"/>
            <w:rPr>
              <w:noProof/>
              <w:kern w:val="2"/>
              <w:sz w:val="24"/>
              <w:szCs w:val="24"/>
              <w:lang w:val="en-AU" w:eastAsia="en-AU"/>
              <w14:ligatures w14:val="standardContextual"/>
            </w:rPr>
          </w:pPr>
          <w:hyperlink w:anchor="_Toc175311919" w:history="1">
            <w:r w:rsidR="001D0DBD" w:rsidRPr="00B755E9">
              <w:rPr>
                <w:rStyle w:val="Hyperlink"/>
                <w:noProof/>
              </w:rPr>
              <w:t>Definition of Load</w:t>
            </w:r>
            <w:r w:rsidR="001D0DBD">
              <w:rPr>
                <w:noProof/>
                <w:webHidden/>
              </w:rPr>
              <w:tab/>
            </w:r>
            <w:r w:rsidR="001D0DBD">
              <w:rPr>
                <w:noProof/>
                <w:webHidden/>
              </w:rPr>
              <w:fldChar w:fldCharType="begin"/>
            </w:r>
            <w:r w:rsidR="001D0DBD">
              <w:rPr>
                <w:noProof/>
                <w:webHidden/>
              </w:rPr>
              <w:instrText xml:space="preserve"> PAGEREF _Toc175311919 \h </w:instrText>
            </w:r>
            <w:r w:rsidR="001D0DBD">
              <w:rPr>
                <w:noProof/>
                <w:webHidden/>
              </w:rPr>
            </w:r>
            <w:r w:rsidR="001D0DBD">
              <w:rPr>
                <w:noProof/>
                <w:webHidden/>
              </w:rPr>
              <w:fldChar w:fldCharType="separate"/>
            </w:r>
            <w:r w:rsidR="007068DD">
              <w:rPr>
                <w:noProof/>
                <w:webHidden/>
              </w:rPr>
              <w:t>14</w:t>
            </w:r>
            <w:r w:rsidR="001D0DBD">
              <w:rPr>
                <w:noProof/>
                <w:webHidden/>
              </w:rPr>
              <w:fldChar w:fldCharType="end"/>
            </w:r>
          </w:hyperlink>
        </w:p>
        <w:p w14:paraId="6834CAA5" w14:textId="61F67991" w:rsidR="001D0DBD" w:rsidRDefault="00D73D08">
          <w:pPr>
            <w:pStyle w:val="TOC2"/>
            <w:rPr>
              <w:noProof/>
              <w:kern w:val="2"/>
              <w:sz w:val="24"/>
              <w:szCs w:val="24"/>
              <w:lang w:val="en-AU" w:eastAsia="en-AU"/>
              <w14:ligatures w14:val="standardContextual"/>
            </w:rPr>
          </w:pPr>
          <w:hyperlink w:anchor="_Toc175311920" w:history="1">
            <w:r w:rsidR="001D0DBD" w:rsidRPr="00B755E9">
              <w:rPr>
                <w:rStyle w:val="Hyperlink"/>
                <w:noProof/>
              </w:rPr>
              <w:t>Make-up heat</w:t>
            </w:r>
            <w:r w:rsidR="001D0DBD">
              <w:rPr>
                <w:noProof/>
                <w:webHidden/>
              </w:rPr>
              <w:tab/>
            </w:r>
            <w:r w:rsidR="001D0DBD">
              <w:rPr>
                <w:noProof/>
                <w:webHidden/>
              </w:rPr>
              <w:fldChar w:fldCharType="begin"/>
            </w:r>
            <w:r w:rsidR="001D0DBD">
              <w:rPr>
                <w:noProof/>
                <w:webHidden/>
              </w:rPr>
              <w:instrText xml:space="preserve"> PAGEREF _Toc175311920 \h </w:instrText>
            </w:r>
            <w:r w:rsidR="001D0DBD">
              <w:rPr>
                <w:noProof/>
                <w:webHidden/>
              </w:rPr>
            </w:r>
            <w:r w:rsidR="001D0DBD">
              <w:rPr>
                <w:noProof/>
                <w:webHidden/>
              </w:rPr>
              <w:fldChar w:fldCharType="separate"/>
            </w:r>
            <w:r w:rsidR="007068DD">
              <w:rPr>
                <w:noProof/>
                <w:webHidden/>
              </w:rPr>
              <w:t>16</w:t>
            </w:r>
            <w:r w:rsidR="001D0DBD">
              <w:rPr>
                <w:noProof/>
                <w:webHidden/>
              </w:rPr>
              <w:fldChar w:fldCharType="end"/>
            </w:r>
          </w:hyperlink>
        </w:p>
        <w:p w14:paraId="4C4F128D" w14:textId="452E5456" w:rsidR="001D0DBD" w:rsidRDefault="00D73D08">
          <w:pPr>
            <w:pStyle w:val="TOC2"/>
            <w:rPr>
              <w:noProof/>
              <w:kern w:val="2"/>
              <w:sz w:val="24"/>
              <w:szCs w:val="24"/>
              <w:lang w:val="en-AU" w:eastAsia="en-AU"/>
              <w14:ligatures w14:val="standardContextual"/>
            </w:rPr>
          </w:pPr>
          <w:hyperlink w:anchor="_Toc175311921" w:history="1">
            <w:r w:rsidR="001D0DBD" w:rsidRPr="00B755E9">
              <w:rPr>
                <w:rStyle w:val="Hyperlink"/>
                <w:noProof/>
              </w:rPr>
              <w:t>Heating Seasonal Energy Consumption</w:t>
            </w:r>
            <w:r w:rsidR="001D0DBD">
              <w:rPr>
                <w:noProof/>
                <w:webHidden/>
              </w:rPr>
              <w:tab/>
            </w:r>
            <w:r w:rsidR="001D0DBD">
              <w:rPr>
                <w:noProof/>
                <w:webHidden/>
              </w:rPr>
              <w:fldChar w:fldCharType="begin"/>
            </w:r>
            <w:r w:rsidR="001D0DBD">
              <w:rPr>
                <w:noProof/>
                <w:webHidden/>
              </w:rPr>
              <w:instrText xml:space="preserve"> PAGEREF _Toc175311921 \h </w:instrText>
            </w:r>
            <w:r w:rsidR="001D0DBD">
              <w:rPr>
                <w:noProof/>
                <w:webHidden/>
              </w:rPr>
            </w:r>
            <w:r w:rsidR="001D0DBD">
              <w:rPr>
                <w:noProof/>
                <w:webHidden/>
              </w:rPr>
              <w:fldChar w:fldCharType="separate"/>
            </w:r>
            <w:r w:rsidR="007068DD">
              <w:rPr>
                <w:noProof/>
                <w:webHidden/>
              </w:rPr>
              <w:t>16</w:t>
            </w:r>
            <w:r w:rsidR="001D0DBD">
              <w:rPr>
                <w:noProof/>
                <w:webHidden/>
              </w:rPr>
              <w:fldChar w:fldCharType="end"/>
            </w:r>
          </w:hyperlink>
        </w:p>
        <w:p w14:paraId="108799AC" w14:textId="760F7D7B" w:rsidR="001D0DBD" w:rsidRDefault="00D73D08">
          <w:pPr>
            <w:pStyle w:val="TOC2"/>
            <w:rPr>
              <w:noProof/>
              <w:kern w:val="2"/>
              <w:sz w:val="24"/>
              <w:szCs w:val="24"/>
              <w:lang w:val="en-AU" w:eastAsia="en-AU"/>
              <w14:ligatures w14:val="standardContextual"/>
            </w:rPr>
          </w:pPr>
          <w:hyperlink w:anchor="_Toc175311922" w:history="1">
            <w:r w:rsidR="001D0DBD" w:rsidRPr="00B755E9">
              <w:rPr>
                <w:rStyle w:val="Hyperlink"/>
                <w:noProof/>
              </w:rPr>
              <w:t>Annual Inactive Energy Consumption</w:t>
            </w:r>
            <w:r w:rsidR="001D0DBD">
              <w:rPr>
                <w:noProof/>
                <w:webHidden/>
              </w:rPr>
              <w:tab/>
            </w:r>
            <w:r w:rsidR="001D0DBD">
              <w:rPr>
                <w:noProof/>
                <w:webHidden/>
              </w:rPr>
              <w:fldChar w:fldCharType="begin"/>
            </w:r>
            <w:r w:rsidR="001D0DBD">
              <w:rPr>
                <w:noProof/>
                <w:webHidden/>
              </w:rPr>
              <w:instrText xml:space="preserve"> PAGEREF _Toc175311922 \h </w:instrText>
            </w:r>
            <w:r w:rsidR="001D0DBD">
              <w:rPr>
                <w:noProof/>
                <w:webHidden/>
              </w:rPr>
            </w:r>
            <w:r w:rsidR="001D0DBD">
              <w:rPr>
                <w:noProof/>
                <w:webHidden/>
              </w:rPr>
              <w:fldChar w:fldCharType="separate"/>
            </w:r>
            <w:r w:rsidR="007068DD">
              <w:rPr>
                <w:noProof/>
                <w:webHidden/>
              </w:rPr>
              <w:t>19</w:t>
            </w:r>
            <w:r w:rsidR="001D0DBD">
              <w:rPr>
                <w:noProof/>
                <w:webHidden/>
              </w:rPr>
              <w:fldChar w:fldCharType="end"/>
            </w:r>
          </w:hyperlink>
        </w:p>
        <w:p w14:paraId="3D1F04EC" w14:textId="0229AAC5" w:rsidR="001D0DBD" w:rsidRDefault="00D73D08">
          <w:pPr>
            <w:pStyle w:val="TOC2"/>
            <w:rPr>
              <w:noProof/>
              <w:kern w:val="2"/>
              <w:sz w:val="24"/>
              <w:szCs w:val="24"/>
              <w:lang w:val="en-AU" w:eastAsia="en-AU"/>
              <w14:ligatures w14:val="standardContextual"/>
            </w:rPr>
          </w:pPr>
          <w:hyperlink w:anchor="_Toc175311923" w:history="1">
            <w:r w:rsidR="001D0DBD" w:rsidRPr="00B755E9">
              <w:rPr>
                <w:rStyle w:val="Hyperlink"/>
                <w:noProof/>
              </w:rPr>
              <w:t>Heating Annual Energy Use</w:t>
            </w:r>
            <w:r w:rsidR="001D0DBD">
              <w:rPr>
                <w:noProof/>
                <w:webHidden/>
              </w:rPr>
              <w:tab/>
            </w:r>
            <w:r w:rsidR="001D0DBD">
              <w:rPr>
                <w:noProof/>
                <w:webHidden/>
              </w:rPr>
              <w:fldChar w:fldCharType="begin"/>
            </w:r>
            <w:r w:rsidR="001D0DBD">
              <w:rPr>
                <w:noProof/>
                <w:webHidden/>
              </w:rPr>
              <w:instrText xml:space="preserve"> PAGEREF _Toc175311923 \h </w:instrText>
            </w:r>
            <w:r w:rsidR="001D0DBD">
              <w:rPr>
                <w:noProof/>
                <w:webHidden/>
              </w:rPr>
            </w:r>
            <w:r w:rsidR="001D0DBD">
              <w:rPr>
                <w:noProof/>
                <w:webHidden/>
              </w:rPr>
              <w:fldChar w:fldCharType="separate"/>
            </w:r>
            <w:r w:rsidR="007068DD">
              <w:rPr>
                <w:noProof/>
                <w:webHidden/>
              </w:rPr>
              <w:t>22</w:t>
            </w:r>
            <w:r w:rsidR="001D0DBD">
              <w:rPr>
                <w:noProof/>
                <w:webHidden/>
              </w:rPr>
              <w:fldChar w:fldCharType="end"/>
            </w:r>
          </w:hyperlink>
        </w:p>
        <w:p w14:paraId="6A0C965E" w14:textId="0647E6E0" w:rsidR="001D0DBD" w:rsidRDefault="00D73D08">
          <w:pPr>
            <w:pStyle w:val="TOC2"/>
            <w:rPr>
              <w:noProof/>
              <w:kern w:val="2"/>
              <w:sz w:val="24"/>
              <w:szCs w:val="24"/>
              <w:lang w:val="en-AU" w:eastAsia="en-AU"/>
              <w14:ligatures w14:val="standardContextual"/>
            </w:rPr>
          </w:pPr>
          <w:hyperlink w:anchor="_Toc175311924" w:history="1">
            <w:r w:rsidR="001D0DBD" w:rsidRPr="00B755E9">
              <w:rPr>
                <w:rStyle w:val="Hyperlink"/>
                <w:noProof/>
              </w:rPr>
              <w:t>Heating Seasonal Performance Factor</w:t>
            </w:r>
            <w:r w:rsidR="001D0DBD">
              <w:rPr>
                <w:noProof/>
                <w:webHidden/>
              </w:rPr>
              <w:tab/>
            </w:r>
            <w:r w:rsidR="001D0DBD">
              <w:rPr>
                <w:noProof/>
                <w:webHidden/>
              </w:rPr>
              <w:fldChar w:fldCharType="begin"/>
            </w:r>
            <w:r w:rsidR="001D0DBD">
              <w:rPr>
                <w:noProof/>
                <w:webHidden/>
              </w:rPr>
              <w:instrText xml:space="preserve"> PAGEREF _Toc175311924 \h </w:instrText>
            </w:r>
            <w:r w:rsidR="001D0DBD">
              <w:rPr>
                <w:noProof/>
                <w:webHidden/>
              </w:rPr>
            </w:r>
            <w:r w:rsidR="001D0DBD">
              <w:rPr>
                <w:noProof/>
                <w:webHidden/>
              </w:rPr>
              <w:fldChar w:fldCharType="separate"/>
            </w:r>
            <w:r w:rsidR="007068DD">
              <w:rPr>
                <w:noProof/>
                <w:webHidden/>
              </w:rPr>
              <w:t>22</w:t>
            </w:r>
            <w:r w:rsidR="001D0DBD">
              <w:rPr>
                <w:noProof/>
                <w:webHidden/>
              </w:rPr>
              <w:fldChar w:fldCharType="end"/>
            </w:r>
          </w:hyperlink>
        </w:p>
        <w:p w14:paraId="7FF17CAB" w14:textId="7844309F" w:rsidR="001D0DBD" w:rsidRDefault="00D73D08">
          <w:pPr>
            <w:pStyle w:val="TOC2"/>
            <w:rPr>
              <w:noProof/>
              <w:kern w:val="2"/>
              <w:sz w:val="24"/>
              <w:szCs w:val="24"/>
              <w:lang w:val="en-AU" w:eastAsia="en-AU"/>
              <w14:ligatures w14:val="standardContextual"/>
            </w:rPr>
          </w:pPr>
          <w:hyperlink w:anchor="_Toc175311925" w:history="1">
            <w:r w:rsidR="001D0DBD" w:rsidRPr="00B755E9">
              <w:rPr>
                <w:rStyle w:val="Hyperlink"/>
                <w:noProof/>
              </w:rPr>
              <w:t>Distribution losses</w:t>
            </w:r>
            <w:r w:rsidR="001D0DBD">
              <w:rPr>
                <w:noProof/>
                <w:webHidden/>
              </w:rPr>
              <w:tab/>
            </w:r>
            <w:r w:rsidR="001D0DBD">
              <w:rPr>
                <w:noProof/>
                <w:webHidden/>
              </w:rPr>
              <w:fldChar w:fldCharType="begin"/>
            </w:r>
            <w:r w:rsidR="001D0DBD">
              <w:rPr>
                <w:noProof/>
                <w:webHidden/>
              </w:rPr>
              <w:instrText xml:space="preserve"> PAGEREF _Toc175311925 \h </w:instrText>
            </w:r>
            <w:r w:rsidR="001D0DBD">
              <w:rPr>
                <w:noProof/>
                <w:webHidden/>
              </w:rPr>
            </w:r>
            <w:r w:rsidR="001D0DBD">
              <w:rPr>
                <w:noProof/>
                <w:webHidden/>
              </w:rPr>
              <w:fldChar w:fldCharType="separate"/>
            </w:r>
            <w:r w:rsidR="007068DD">
              <w:rPr>
                <w:noProof/>
                <w:webHidden/>
              </w:rPr>
              <w:t>23</w:t>
            </w:r>
            <w:r w:rsidR="001D0DBD">
              <w:rPr>
                <w:noProof/>
                <w:webHidden/>
              </w:rPr>
              <w:fldChar w:fldCharType="end"/>
            </w:r>
          </w:hyperlink>
        </w:p>
        <w:p w14:paraId="6E48BB3B" w14:textId="010F8CD0" w:rsidR="001D0DBD" w:rsidRDefault="00D73D08">
          <w:pPr>
            <w:pStyle w:val="TOC1"/>
            <w:rPr>
              <w:b w:val="0"/>
              <w:noProof/>
              <w:kern w:val="2"/>
              <w:sz w:val="24"/>
              <w:szCs w:val="24"/>
              <w:lang w:val="en-AU" w:eastAsia="en-AU"/>
              <w14:ligatures w14:val="standardContextual"/>
            </w:rPr>
          </w:pPr>
          <w:hyperlink w:anchor="_Toc175311926" w:history="1">
            <w:r w:rsidR="001D0DBD" w:rsidRPr="00B755E9">
              <w:rPr>
                <w:rStyle w:val="Hyperlink"/>
                <w:noProof/>
              </w:rPr>
              <w:t>Results of the methodology</w:t>
            </w:r>
            <w:r w:rsidR="001D0DBD">
              <w:rPr>
                <w:noProof/>
                <w:webHidden/>
              </w:rPr>
              <w:tab/>
            </w:r>
            <w:r w:rsidR="001D0DBD">
              <w:rPr>
                <w:noProof/>
                <w:webHidden/>
              </w:rPr>
              <w:fldChar w:fldCharType="begin"/>
            </w:r>
            <w:r w:rsidR="001D0DBD">
              <w:rPr>
                <w:noProof/>
                <w:webHidden/>
              </w:rPr>
              <w:instrText xml:space="preserve"> PAGEREF _Toc175311926 \h </w:instrText>
            </w:r>
            <w:r w:rsidR="001D0DBD">
              <w:rPr>
                <w:noProof/>
                <w:webHidden/>
              </w:rPr>
            </w:r>
            <w:r w:rsidR="001D0DBD">
              <w:rPr>
                <w:noProof/>
                <w:webHidden/>
              </w:rPr>
              <w:fldChar w:fldCharType="separate"/>
            </w:r>
            <w:r w:rsidR="007068DD">
              <w:rPr>
                <w:noProof/>
                <w:webHidden/>
              </w:rPr>
              <w:t>25</w:t>
            </w:r>
            <w:r w:rsidR="001D0DBD">
              <w:rPr>
                <w:noProof/>
                <w:webHidden/>
              </w:rPr>
              <w:fldChar w:fldCharType="end"/>
            </w:r>
          </w:hyperlink>
        </w:p>
        <w:p w14:paraId="7743C43C" w14:textId="40D17E7F" w:rsidR="001D0DBD" w:rsidRDefault="00D73D08">
          <w:pPr>
            <w:pStyle w:val="TOC1"/>
            <w:rPr>
              <w:b w:val="0"/>
              <w:noProof/>
              <w:kern w:val="2"/>
              <w:sz w:val="24"/>
              <w:szCs w:val="24"/>
              <w:lang w:val="en-AU" w:eastAsia="en-AU"/>
              <w14:ligatures w14:val="standardContextual"/>
            </w:rPr>
          </w:pPr>
          <w:hyperlink w:anchor="_Toc175311927" w:history="1">
            <w:r w:rsidR="001D0DBD" w:rsidRPr="00B755E9">
              <w:rPr>
                <w:rStyle w:val="Hyperlink"/>
                <w:noProof/>
              </w:rPr>
              <w:t>Conclusion</w:t>
            </w:r>
            <w:r w:rsidR="001D0DBD">
              <w:rPr>
                <w:noProof/>
                <w:webHidden/>
              </w:rPr>
              <w:tab/>
            </w:r>
            <w:r w:rsidR="001D0DBD">
              <w:rPr>
                <w:noProof/>
                <w:webHidden/>
              </w:rPr>
              <w:fldChar w:fldCharType="begin"/>
            </w:r>
            <w:r w:rsidR="001D0DBD">
              <w:rPr>
                <w:noProof/>
                <w:webHidden/>
              </w:rPr>
              <w:instrText xml:space="preserve"> PAGEREF _Toc175311927 \h </w:instrText>
            </w:r>
            <w:r w:rsidR="001D0DBD">
              <w:rPr>
                <w:noProof/>
                <w:webHidden/>
              </w:rPr>
            </w:r>
            <w:r w:rsidR="001D0DBD">
              <w:rPr>
                <w:noProof/>
                <w:webHidden/>
              </w:rPr>
              <w:fldChar w:fldCharType="separate"/>
            </w:r>
            <w:r w:rsidR="007068DD">
              <w:rPr>
                <w:noProof/>
                <w:webHidden/>
              </w:rPr>
              <w:t>31</w:t>
            </w:r>
            <w:r w:rsidR="001D0DBD">
              <w:rPr>
                <w:noProof/>
                <w:webHidden/>
              </w:rPr>
              <w:fldChar w:fldCharType="end"/>
            </w:r>
          </w:hyperlink>
        </w:p>
        <w:p w14:paraId="7DCC3119" w14:textId="406FE1D9" w:rsidR="001D0DBD" w:rsidRDefault="00D73D08">
          <w:pPr>
            <w:pStyle w:val="TOC1"/>
            <w:rPr>
              <w:b w:val="0"/>
              <w:noProof/>
              <w:kern w:val="2"/>
              <w:sz w:val="24"/>
              <w:szCs w:val="24"/>
              <w:lang w:val="en-AU" w:eastAsia="en-AU"/>
              <w14:ligatures w14:val="standardContextual"/>
            </w:rPr>
          </w:pPr>
          <w:hyperlink w:anchor="_Toc175311928" w:history="1">
            <w:r w:rsidR="001D0DBD" w:rsidRPr="00B755E9">
              <w:rPr>
                <w:rStyle w:val="Hyperlink"/>
                <w:noProof/>
              </w:rPr>
              <w:t>References</w:t>
            </w:r>
            <w:r w:rsidR="001D0DBD">
              <w:rPr>
                <w:noProof/>
                <w:webHidden/>
              </w:rPr>
              <w:tab/>
            </w:r>
            <w:r w:rsidR="001D0DBD">
              <w:rPr>
                <w:noProof/>
                <w:webHidden/>
              </w:rPr>
              <w:fldChar w:fldCharType="begin"/>
            </w:r>
            <w:r w:rsidR="001D0DBD">
              <w:rPr>
                <w:noProof/>
                <w:webHidden/>
              </w:rPr>
              <w:instrText xml:space="preserve"> PAGEREF _Toc175311928 \h </w:instrText>
            </w:r>
            <w:r w:rsidR="001D0DBD">
              <w:rPr>
                <w:noProof/>
                <w:webHidden/>
              </w:rPr>
            </w:r>
            <w:r w:rsidR="001D0DBD">
              <w:rPr>
                <w:noProof/>
                <w:webHidden/>
              </w:rPr>
              <w:fldChar w:fldCharType="separate"/>
            </w:r>
            <w:r w:rsidR="007068DD">
              <w:rPr>
                <w:noProof/>
                <w:webHidden/>
              </w:rPr>
              <w:t>32</w:t>
            </w:r>
            <w:r w:rsidR="001D0DBD">
              <w:rPr>
                <w:noProof/>
                <w:webHidden/>
              </w:rPr>
              <w:fldChar w:fldCharType="end"/>
            </w:r>
          </w:hyperlink>
        </w:p>
        <w:p w14:paraId="1D847D4D" w14:textId="46090CFA" w:rsidR="001D0DBD" w:rsidRDefault="00D73D08">
          <w:pPr>
            <w:pStyle w:val="TOC1"/>
            <w:rPr>
              <w:b w:val="0"/>
              <w:noProof/>
              <w:kern w:val="2"/>
              <w:sz w:val="24"/>
              <w:szCs w:val="24"/>
              <w:lang w:val="en-AU" w:eastAsia="en-AU"/>
              <w14:ligatures w14:val="standardContextual"/>
            </w:rPr>
          </w:pPr>
          <w:hyperlink w:anchor="_Toc175311929" w:history="1">
            <w:r w:rsidR="001D0DBD" w:rsidRPr="00B755E9">
              <w:rPr>
                <w:rStyle w:val="Hyperlink"/>
                <w:noProof/>
              </w:rPr>
              <w:t>Appendix 1: Glossary of Terms</w:t>
            </w:r>
            <w:r w:rsidR="001D0DBD">
              <w:rPr>
                <w:noProof/>
                <w:webHidden/>
              </w:rPr>
              <w:tab/>
            </w:r>
            <w:r w:rsidR="001D0DBD">
              <w:rPr>
                <w:noProof/>
                <w:webHidden/>
              </w:rPr>
              <w:fldChar w:fldCharType="begin"/>
            </w:r>
            <w:r w:rsidR="001D0DBD">
              <w:rPr>
                <w:noProof/>
                <w:webHidden/>
              </w:rPr>
              <w:instrText xml:space="preserve"> PAGEREF _Toc175311929 \h </w:instrText>
            </w:r>
            <w:r w:rsidR="001D0DBD">
              <w:rPr>
                <w:noProof/>
                <w:webHidden/>
              </w:rPr>
            </w:r>
            <w:r w:rsidR="001D0DBD">
              <w:rPr>
                <w:noProof/>
                <w:webHidden/>
              </w:rPr>
              <w:fldChar w:fldCharType="separate"/>
            </w:r>
            <w:r w:rsidR="007068DD">
              <w:rPr>
                <w:noProof/>
                <w:webHidden/>
              </w:rPr>
              <w:t>33</w:t>
            </w:r>
            <w:r w:rsidR="001D0DBD">
              <w:rPr>
                <w:noProof/>
                <w:webHidden/>
              </w:rPr>
              <w:fldChar w:fldCharType="end"/>
            </w:r>
          </w:hyperlink>
        </w:p>
        <w:p w14:paraId="7EC7B821" w14:textId="123E0CD7" w:rsidR="001D0DBD" w:rsidRDefault="00D73D08">
          <w:pPr>
            <w:pStyle w:val="TOC1"/>
            <w:rPr>
              <w:b w:val="0"/>
              <w:noProof/>
              <w:kern w:val="2"/>
              <w:sz w:val="24"/>
              <w:szCs w:val="24"/>
              <w:lang w:val="en-AU" w:eastAsia="en-AU"/>
              <w14:ligatures w14:val="standardContextual"/>
            </w:rPr>
          </w:pPr>
          <w:hyperlink w:anchor="_Toc175311930" w:history="1">
            <w:r w:rsidR="001D0DBD" w:rsidRPr="00B755E9">
              <w:rPr>
                <w:rStyle w:val="Hyperlink"/>
                <w:noProof/>
              </w:rPr>
              <w:t>Appendix 2:  Key Characteristics for Each Heater Type</w:t>
            </w:r>
            <w:r w:rsidR="001D0DBD">
              <w:rPr>
                <w:noProof/>
                <w:webHidden/>
              </w:rPr>
              <w:tab/>
            </w:r>
            <w:r w:rsidR="001D0DBD">
              <w:rPr>
                <w:noProof/>
                <w:webHidden/>
              </w:rPr>
              <w:fldChar w:fldCharType="begin"/>
            </w:r>
            <w:r w:rsidR="001D0DBD">
              <w:rPr>
                <w:noProof/>
                <w:webHidden/>
              </w:rPr>
              <w:instrText xml:space="preserve"> PAGEREF _Toc175311930 \h </w:instrText>
            </w:r>
            <w:r w:rsidR="001D0DBD">
              <w:rPr>
                <w:noProof/>
                <w:webHidden/>
              </w:rPr>
            </w:r>
            <w:r w:rsidR="001D0DBD">
              <w:rPr>
                <w:noProof/>
                <w:webHidden/>
              </w:rPr>
              <w:fldChar w:fldCharType="separate"/>
            </w:r>
            <w:r w:rsidR="007068DD">
              <w:rPr>
                <w:noProof/>
                <w:webHidden/>
              </w:rPr>
              <w:t>38</w:t>
            </w:r>
            <w:r w:rsidR="001D0DBD">
              <w:rPr>
                <w:noProof/>
                <w:webHidden/>
              </w:rPr>
              <w:fldChar w:fldCharType="end"/>
            </w:r>
          </w:hyperlink>
        </w:p>
        <w:p w14:paraId="4EEFBCED" w14:textId="398E2073" w:rsidR="001D0DBD" w:rsidRDefault="00D73D08">
          <w:pPr>
            <w:pStyle w:val="TOC3"/>
            <w:rPr>
              <w:noProof/>
              <w:kern w:val="2"/>
              <w:sz w:val="24"/>
              <w:szCs w:val="24"/>
              <w:lang w:val="en-AU" w:eastAsia="en-AU"/>
              <w14:ligatures w14:val="standardContextual"/>
            </w:rPr>
          </w:pPr>
          <w:hyperlink w:anchor="_Toc175311931" w:history="1">
            <w:r w:rsidR="001D0DBD" w:rsidRPr="00B755E9">
              <w:rPr>
                <w:rStyle w:val="Hyperlink"/>
                <w:noProof/>
              </w:rPr>
              <w:t>Gas space heaters (non-ducted) and gas decorative appliances</w:t>
            </w:r>
            <w:r w:rsidR="001D0DBD">
              <w:rPr>
                <w:noProof/>
                <w:webHidden/>
              </w:rPr>
              <w:tab/>
            </w:r>
            <w:r w:rsidR="001D0DBD">
              <w:rPr>
                <w:noProof/>
                <w:webHidden/>
              </w:rPr>
              <w:fldChar w:fldCharType="begin"/>
            </w:r>
            <w:r w:rsidR="001D0DBD">
              <w:rPr>
                <w:noProof/>
                <w:webHidden/>
              </w:rPr>
              <w:instrText xml:space="preserve"> PAGEREF _Toc175311931 \h </w:instrText>
            </w:r>
            <w:r w:rsidR="001D0DBD">
              <w:rPr>
                <w:noProof/>
                <w:webHidden/>
              </w:rPr>
            </w:r>
            <w:r w:rsidR="001D0DBD">
              <w:rPr>
                <w:noProof/>
                <w:webHidden/>
              </w:rPr>
              <w:fldChar w:fldCharType="separate"/>
            </w:r>
            <w:r w:rsidR="007068DD">
              <w:rPr>
                <w:noProof/>
                <w:webHidden/>
              </w:rPr>
              <w:t>38</w:t>
            </w:r>
            <w:r w:rsidR="001D0DBD">
              <w:rPr>
                <w:noProof/>
                <w:webHidden/>
              </w:rPr>
              <w:fldChar w:fldCharType="end"/>
            </w:r>
          </w:hyperlink>
        </w:p>
        <w:p w14:paraId="5E2FC283" w14:textId="6A5600D8" w:rsidR="001D0DBD" w:rsidRDefault="00D73D08">
          <w:pPr>
            <w:pStyle w:val="TOC3"/>
            <w:rPr>
              <w:noProof/>
              <w:kern w:val="2"/>
              <w:sz w:val="24"/>
              <w:szCs w:val="24"/>
              <w:lang w:val="en-AU" w:eastAsia="en-AU"/>
              <w14:ligatures w14:val="standardContextual"/>
            </w:rPr>
          </w:pPr>
          <w:hyperlink w:anchor="_Toc175311932" w:history="1">
            <w:r w:rsidR="001D0DBD" w:rsidRPr="00B755E9">
              <w:rPr>
                <w:rStyle w:val="Hyperlink"/>
                <w:noProof/>
              </w:rPr>
              <w:t>Reverse cycle air conditioners (heat pumps), both non-ducted and ducted</w:t>
            </w:r>
            <w:r w:rsidR="001D0DBD">
              <w:rPr>
                <w:noProof/>
                <w:webHidden/>
              </w:rPr>
              <w:tab/>
            </w:r>
            <w:r w:rsidR="001D0DBD">
              <w:rPr>
                <w:noProof/>
                <w:webHidden/>
              </w:rPr>
              <w:fldChar w:fldCharType="begin"/>
            </w:r>
            <w:r w:rsidR="001D0DBD">
              <w:rPr>
                <w:noProof/>
                <w:webHidden/>
              </w:rPr>
              <w:instrText xml:space="preserve"> PAGEREF _Toc175311932 \h </w:instrText>
            </w:r>
            <w:r w:rsidR="001D0DBD">
              <w:rPr>
                <w:noProof/>
                <w:webHidden/>
              </w:rPr>
            </w:r>
            <w:r w:rsidR="001D0DBD">
              <w:rPr>
                <w:noProof/>
                <w:webHidden/>
              </w:rPr>
              <w:fldChar w:fldCharType="separate"/>
            </w:r>
            <w:r w:rsidR="007068DD">
              <w:rPr>
                <w:noProof/>
                <w:webHidden/>
              </w:rPr>
              <w:t>38</w:t>
            </w:r>
            <w:r w:rsidR="001D0DBD">
              <w:rPr>
                <w:noProof/>
                <w:webHidden/>
              </w:rPr>
              <w:fldChar w:fldCharType="end"/>
            </w:r>
          </w:hyperlink>
        </w:p>
        <w:p w14:paraId="69460370" w14:textId="2FFF5679" w:rsidR="001D0DBD" w:rsidRDefault="00D73D08">
          <w:pPr>
            <w:pStyle w:val="TOC3"/>
            <w:rPr>
              <w:noProof/>
              <w:kern w:val="2"/>
              <w:sz w:val="24"/>
              <w:szCs w:val="24"/>
              <w:lang w:val="en-AU" w:eastAsia="en-AU"/>
              <w14:ligatures w14:val="standardContextual"/>
            </w:rPr>
          </w:pPr>
          <w:hyperlink w:anchor="_Toc175311933" w:history="1">
            <w:r w:rsidR="001D0DBD" w:rsidRPr="00B755E9">
              <w:rPr>
                <w:rStyle w:val="Hyperlink"/>
                <w:noProof/>
              </w:rPr>
              <w:t>Electric resistance heaters (portable and fixed)</w:t>
            </w:r>
            <w:r w:rsidR="001D0DBD">
              <w:rPr>
                <w:noProof/>
                <w:webHidden/>
              </w:rPr>
              <w:tab/>
            </w:r>
            <w:r w:rsidR="001D0DBD">
              <w:rPr>
                <w:noProof/>
                <w:webHidden/>
              </w:rPr>
              <w:fldChar w:fldCharType="begin"/>
            </w:r>
            <w:r w:rsidR="001D0DBD">
              <w:rPr>
                <w:noProof/>
                <w:webHidden/>
              </w:rPr>
              <w:instrText xml:space="preserve"> PAGEREF _Toc175311933 \h </w:instrText>
            </w:r>
            <w:r w:rsidR="001D0DBD">
              <w:rPr>
                <w:noProof/>
                <w:webHidden/>
              </w:rPr>
            </w:r>
            <w:r w:rsidR="001D0DBD">
              <w:rPr>
                <w:noProof/>
                <w:webHidden/>
              </w:rPr>
              <w:fldChar w:fldCharType="separate"/>
            </w:r>
            <w:r w:rsidR="007068DD">
              <w:rPr>
                <w:noProof/>
                <w:webHidden/>
              </w:rPr>
              <w:t>39</w:t>
            </w:r>
            <w:r w:rsidR="001D0DBD">
              <w:rPr>
                <w:noProof/>
                <w:webHidden/>
              </w:rPr>
              <w:fldChar w:fldCharType="end"/>
            </w:r>
          </w:hyperlink>
        </w:p>
        <w:p w14:paraId="3DFED673" w14:textId="65F59A57" w:rsidR="001D0DBD" w:rsidRDefault="00D73D08">
          <w:pPr>
            <w:pStyle w:val="TOC3"/>
            <w:rPr>
              <w:noProof/>
              <w:kern w:val="2"/>
              <w:sz w:val="24"/>
              <w:szCs w:val="24"/>
              <w:lang w:val="en-AU" w:eastAsia="en-AU"/>
              <w14:ligatures w14:val="standardContextual"/>
            </w:rPr>
          </w:pPr>
          <w:hyperlink w:anchor="_Toc175311934" w:history="1">
            <w:r w:rsidR="001D0DBD" w:rsidRPr="00B755E9">
              <w:rPr>
                <w:rStyle w:val="Hyperlink"/>
                <w:noProof/>
              </w:rPr>
              <w:t>Solid fuel combustion heaters</w:t>
            </w:r>
            <w:r w:rsidR="001D0DBD">
              <w:rPr>
                <w:noProof/>
                <w:webHidden/>
              </w:rPr>
              <w:tab/>
            </w:r>
            <w:r w:rsidR="001D0DBD">
              <w:rPr>
                <w:noProof/>
                <w:webHidden/>
              </w:rPr>
              <w:fldChar w:fldCharType="begin"/>
            </w:r>
            <w:r w:rsidR="001D0DBD">
              <w:rPr>
                <w:noProof/>
                <w:webHidden/>
              </w:rPr>
              <w:instrText xml:space="preserve"> PAGEREF _Toc175311934 \h </w:instrText>
            </w:r>
            <w:r w:rsidR="001D0DBD">
              <w:rPr>
                <w:noProof/>
                <w:webHidden/>
              </w:rPr>
            </w:r>
            <w:r w:rsidR="001D0DBD">
              <w:rPr>
                <w:noProof/>
                <w:webHidden/>
              </w:rPr>
              <w:fldChar w:fldCharType="separate"/>
            </w:r>
            <w:r w:rsidR="007068DD">
              <w:rPr>
                <w:noProof/>
                <w:webHidden/>
              </w:rPr>
              <w:t>39</w:t>
            </w:r>
            <w:r w:rsidR="001D0DBD">
              <w:rPr>
                <w:noProof/>
                <w:webHidden/>
              </w:rPr>
              <w:fldChar w:fldCharType="end"/>
            </w:r>
          </w:hyperlink>
        </w:p>
        <w:p w14:paraId="7475CFCB" w14:textId="1351B5FC" w:rsidR="001D0DBD" w:rsidRDefault="00D73D08">
          <w:pPr>
            <w:pStyle w:val="TOC3"/>
            <w:rPr>
              <w:noProof/>
              <w:kern w:val="2"/>
              <w:sz w:val="24"/>
              <w:szCs w:val="24"/>
              <w:lang w:val="en-AU" w:eastAsia="en-AU"/>
              <w14:ligatures w14:val="standardContextual"/>
            </w:rPr>
          </w:pPr>
          <w:hyperlink w:anchor="_Toc175311935" w:history="1">
            <w:r w:rsidR="001D0DBD" w:rsidRPr="00B755E9">
              <w:rPr>
                <w:rStyle w:val="Hyperlink"/>
                <w:noProof/>
              </w:rPr>
              <w:t>Ducted gas heaters</w:t>
            </w:r>
            <w:r w:rsidR="001D0DBD">
              <w:rPr>
                <w:noProof/>
                <w:webHidden/>
              </w:rPr>
              <w:tab/>
            </w:r>
            <w:r w:rsidR="001D0DBD">
              <w:rPr>
                <w:noProof/>
                <w:webHidden/>
              </w:rPr>
              <w:fldChar w:fldCharType="begin"/>
            </w:r>
            <w:r w:rsidR="001D0DBD">
              <w:rPr>
                <w:noProof/>
                <w:webHidden/>
              </w:rPr>
              <w:instrText xml:space="preserve"> PAGEREF _Toc175311935 \h </w:instrText>
            </w:r>
            <w:r w:rsidR="001D0DBD">
              <w:rPr>
                <w:noProof/>
                <w:webHidden/>
              </w:rPr>
            </w:r>
            <w:r w:rsidR="001D0DBD">
              <w:rPr>
                <w:noProof/>
                <w:webHidden/>
              </w:rPr>
              <w:fldChar w:fldCharType="separate"/>
            </w:r>
            <w:r w:rsidR="007068DD">
              <w:rPr>
                <w:noProof/>
                <w:webHidden/>
              </w:rPr>
              <w:t>40</w:t>
            </w:r>
            <w:r w:rsidR="001D0DBD">
              <w:rPr>
                <w:noProof/>
                <w:webHidden/>
              </w:rPr>
              <w:fldChar w:fldCharType="end"/>
            </w:r>
          </w:hyperlink>
        </w:p>
        <w:p w14:paraId="66B18CAA" w14:textId="028A5338" w:rsidR="001D0DBD" w:rsidRDefault="00D73D08">
          <w:pPr>
            <w:pStyle w:val="TOC1"/>
            <w:rPr>
              <w:b w:val="0"/>
              <w:noProof/>
              <w:kern w:val="2"/>
              <w:sz w:val="24"/>
              <w:szCs w:val="24"/>
              <w:lang w:val="en-AU" w:eastAsia="en-AU"/>
              <w14:ligatures w14:val="standardContextual"/>
            </w:rPr>
          </w:pPr>
          <w:hyperlink w:anchor="_Toc175311936" w:history="1">
            <w:r w:rsidR="001D0DBD" w:rsidRPr="00B755E9">
              <w:rPr>
                <w:rStyle w:val="Hyperlink"/>
                <w:noProof/>
              </w:rPr>
              <w:t>Appendix 3:  HSEC Calculation Equations</w:t>
            </w:r>
            <w:r w:rsidR="001D0DBD">
              <w:rPr>
                <w:noProof/>
                <w:webHidden/>
              </w:rPr>
              <w:tab/>
            </w:r>
            <w:r w:rsidR="001D0DBD">
              <w:rPr>
                <w:noProof/>
                <w:webHidden/>
              </w:rPr>
              <w:fldChar w:fldCharType="begin"/>
            </w:r>
            <w:r w:rsidR="001D0DBD">
              <w:rPr>
                <w:noProof/>
                <w:webHidden/>
              </w:rPr>
              <w:instrText xml:space="preserve"> PAGEREF _Toc175311936 \h </w:instrText>
            </w:r>
            <w:r w:rsidR="001D0DBD">
              <w:rPr>
                <w:noProof/>
                <w:webHidden/>
              </w:rPr>
            </w:r>
            <w:r w:rsidR="001D0DBD">
              <w:rPr>
                <w:noProof/>
                <w:webHidden/>
              </w:rPr>
              <w:fldChar w:fldCharType="separate"/>
            </w:r>
            <w:r w:rsidR="007068DD">
              <w:rPr>
                <w:noProof/>
                <w:webHidden/>
              </w:rPr>
              <w:t>41</w:t>
            </w:r>
            <w:r w:rsidR="001D0DBD">
              <w:rPr>
                <w:noProof/>
                <w:webHidden/>
              </w:rPr>
              <w:fldChar w:fldCharType="end"/>
            </w:r>
          </w:hyperlink>
        </w:p>
        <w:p w14:paraId="446E4194" w14:textId="1CDFDE73" w:rsidR="001D0DBD" w:rsidRDefault="00D73D08">
          <w:pPr>
            <w:pStyle w:val="TOC1"/>
            <w:rPr>
              <w:b w:val="0"/>
              <w:noProof/>
              <w:kern w:val="2"/>
              <w:sz w:val="24"/>
              <w:szCs w:val="24"/>
              <w:lang w:val="en-AU" w:eastAsia="en-AU"/>
              <w14:ligatures w14:val="standardContextual"/>
            </w:rPr>
          </w:pPr>
          <w:hyperlink w:anchor="_Toc175311937" w:history="1">
            <w:r w:rsidR="001D0DBD" w:rsidRPr="00B755E9">
              <w:rPr>
                <w:rStyle w:val="Hyperlink"/>
                <w:noProof/>
              </w:rPr>
              <w:t>Appendix 4:  Example data and results</w:t>
            </w:r>
            <w:r w:rsidR="001D0DBD">
              <w:rPr>
                <w:noProof/>
                <w:webHidden/>
              </w:rPr>
              <w:tab/>
            </w:r>
            <w:r w:rsidR="001D0DBD">
              <w:rPr>
                <w:noProof/>
                <w:webHidden/>
              </w:rPr>
              <w:fldChar w:fldCharType="begin"/>
            </w:r>
            <w:r w:rsidR="001D0DBD">
              <w:rPr>
                <w:noProof/>
                <w:webHidden/>
              </w:rPr>
              <w:instrText xml:space="preserve"> PAGEREF _Toc175311937 \h </w:instrText>
            </w:r>
            <w:r w:rsidR="001D0DBD">
              <w:rPr>
                <w:noProof/>
                <w:webHidden/>
              </w:rPr>
            </w:r>
            <w:r w:rsidR="001D0DBD">
              <w:rPr>
                <w:noProof/>
                <w:webHidden/>
              </w:rPr>
              <w:fldChar w:fldCharType="separate"/>
            </w:r>
            <w:r w:rsidR="007068DD">
              <w:rPr>
                <w:noProof/>
                <w:webHidden/>
              </w:rPr>
              <w:t>46</w:t>
            </w:r>
            <w:r w:rsidR="001D0DBD">
              <w:rPr>
                <w:noProof/>
                <w:webHidden/>
              </w:rPr>
              <w:fldChar w:fldCharType="end"/>
            </w:r>
          </w:hyperlink>
        </w:p>
        <w:p w14:paraId="54D6B337" w14:textId="7EAAE749" w:rsidR="001D0DBD" w:rsidRDefault="00D73D08">
          <w:pPr>
            <w:pStyle w:val="TOC3"/>
            <w:rPr>
              <w:noProof/>
              <w:kern w:val="2"/>
              <w:sz w:val="24"/>
              <w:szCs w:val="24"/>
              <w:lang w:val="en-AU" w:eastAsia="en-AU"/>
              <w14:ligatures w14:val="standardContextual"/>
            </w:rPr>
          </w:pPr>
          <w:hyperlink w:anchor="_Toc175311938" w:history="1">
            <w:r w:rsidR="001D0DBD" w:rsidRPr="00B755E9">
              <w:rPr>
                <w:rStyle w:val="Hyperlink"/>
                <w:noProof/>
              </w:rPr>
              <w:t>Gas space heaters (non-ducted) and gas decorative appliances</w:t>
            </w:r>
            <w:r w:rsidR="001D0DBD">
              <w:rPr>
                <w:noProof/>
                <w:webHidden/>
              </w:rPr>
              <w:tab/>
            </w:r>
            <w:r w:rsidR="001D0DBD">
              <w:rPr>
                <w:noProof/>
                <w:webHidden/>
              </w:rPr>
              <w:fldChar w:fldCharType="begin"/>
            </w:r>
            <w:r w:rsidR="001D0DBD">
              <w:rPr>
                <w:noProof/>
                <w:webHidden/>
              </w:rPr>
              <w:instrText xml:space="preserve"> PAGEREF _Toc175311938 \h </w:instrText>
            </w:r>
            <w:r w:rsidR="001D0DBD">
              <w:rPr>
                <w:noProof/>
                <w:webHidden/>
              </w:rPr>
            </w:r>
            <w:r w:rsidR="001D0DBD">
              <w:rPr>
                <w:noProof/>
                <w:webHidden/>
              </w:rPr>
              <w:fldChar w:fldCharType="separate"/>
            </w:r>
            <w:r w:rsidR="007068DD">
              <w:rPr>
                <w:noProof/>
                <w:webHidden/>
              </w:rPr>
              <w:t>46</w:t>
            </w:r>
            <w:r w:rsidR="001D0DBD">
              <w:rPr>
                <w:noProof/>
                <w:webHidden/>
              </w:rPr>
              <w:fldChar w:fldCharType="end"/>
            </w:r>
          </w:hyperlink>
        </w:p>
        <w:p w14:paraId="4BA626C3" w14:textId="79D63E4B" w:rsidR="001D0DBD" w:rsidRDefault="00D73D08">
          <w:pPr>
            <w:pStyle w:val="TOC3"/>
            <w:rPr>
              <w:noProof/>
              <w:kern w:val="2"/>
              <w:sz w:val="24"/>
              <w:szCs w:val="24"/>
              <w:lang w:val="en-AU" w:eastAsia="en-AU"/>
              <w14:ligatures w14:val="standardContextual"/>
            </w:rPr>
          </w:pPr>
          <w:hyperlink w:anchor="_Toc175311939" w:history="1">
            <w:r w:rsidR="001D0DBD" w:rsidRPr="00B755E9">
              <w:rPr>
                <w:rStyle w:val="Hyperlink"/>
                <w:noProof/>
              </w:rPr>
              <w:t>Reverse cycle air conditioners (heat pumps), both non-ducted and ducted</w:t>
            </w:r>
            <w:r w:rsidR="001D0DBD">
              <w:rPr>
                <w:noProof/>
                <w:webHidden/>
              </w:rPr>
              <w:tab/>
            </w:r>
            <w:r w:rsidR="001D0DBD">
              <w:rPr>
                <w:noProof/>
                <w:webHidden/>
              </w:rPr>
              <w:fldChar w:fldCharType="begin"/>
            </w:r>
            <w:r w:rsidR="001D0DBD">
              <w:rPr>
                <w:noProof/>
                <w:webHidden/>
              </w:rPr>
              <w:instrText xml:space="preserve"> PAGEREF _Toc175311939 \h </w:instrText>
            </w:r>
            <w:r w:rsidR="001D0DBD">
              <w:rPr>
                <w:noProof/>
                <w:webHidden/>
              </w:rPr>
            </w:r>
            <w:r w:rsidR="001D0DBD">
              <w:rPr>
                <w:noProof/>
                <w:webHidden/>
              </w:rPr>
              <w:fldChar w:fldCharType="separate"/>
            </w:r>
            <w:r w:rsidR="007068DD">
              <w:rPr>
                <w:noProof/>
                <w:webHidden/>
              </w:rPr>
              <w:t>47</w:t>
            </w:r>
            <w:r w:rsidR="001D0DBD">
              <w:rPr>
                <w:noProof/>
                <w:webHidden/>
              </w:rPr>
              <w:fldChar w:fldCharType="end"/>
            </w:r>
          </w:hyperlink>
        </w:p>
        <w:p w14:paraId="4029E241" w14:textId="22616B40" w:rsidR="001D0DBD" w:rsidRDefault="00D73D08">
          <w:pPr>
            <w:pStyle w:val="TOC3"/>
            <w:rPr>
              <w:noProof/>
              <w:kern w:val="2"/>
              <w:sz w:val="24"/>
              <w:szCs w:val="24"/>
              <w:lang w:val="en-AU" w:eastAsia="en-AU"/>
              <w14:ligatures w14:val="standardContextual"/>
            </w:rPr>
          </w:pPr>
          <w:hyperlink w:anchor="_Toc175311940" w:history="1">
            <w:r w:rsidR="001D0DBD" w:rsidRPr="00B755E9">
              <w:rPr>
                <w:rStyle w:val="Hyperlink"/>
                <w:noProof/>
              </w:rPr>
              <w:t>Electric resistance heaters (portable and fixed)</w:t>
            </w:r>
            <w:r w:rsidR="001D0DBD">
              <w:rPr>
                <w:noProof/>
                <w:webHidden/>
              </w:rPr>
              <w:tab/>
            </w:r>
            <w:r w:rsidR="001D0DBD">
              <w:rPr>
                <w:noProof/>
                <w:webHidden/>
              </w:rPr>
              <w:fldChar w:fldCharType="begin"/>
            </w:r>
            <w:r w:rsidR="001D0DBD">
              <w:rPr>
                <w:noProof/>
                <w:webHidden/>
              </w:rPr>
              <w:instrText xml:space="preserve"> PAGEREF _Toc175311940 \h </w:instrText>
            </w:r>
            <w:r w:rsidR="001D0DBD">
              <w:rPr>
                <w:noProof/>
                <w:webHidden/>
              </w:rPr>
            </w:r>
            <w:r w:rsidR="001D0DBD">
              <w:rPr>
                <w:noProof/>
                <w:webHidden/>
              </w:rPr>
              <w:fldChar w:fldCharType="separate"/>
            </w:r>
            <w:r w:rsidR="007068DD">
              <w:rPr>
                <w:noProof/>
                <w:webHidden/>
              </w:rPr>
              <w:t>48</w:t>
            </w:r>
            <w:r w:rsidR="001D0DBD">
              <w:rPr>
                <w:noProof/>
                <w:webHidden/>
              </w:rPr>
              <w:fldChar w:fldCharType="end"/>
            </w:r>
          </w:hyperlink>
        </w:p>
        <w:p w14:paraId="21D9A22B" w14:textId="05120432" w:rsidR="001D0DBD" w:rsidRDefault="00D73D08">
          <w:pPr>
            <w:pStyle w:val="TOC3"/>
            <w:rPr>
              <w:noProof/>
              <w:kern w:val="2"/>
              <w:sz w:val="24"/>
              <w:szCs w:val="24"/>
              <w:lang w:val="en-AU" w:eastAsia="en-AU"/>
              <w14:ligatures w14:val="standardContextual"/>
            </w:rPr>
          </w:pPr>
          <w:hyperlink w:anchor="_Toc175311941" w:history="1">
            <w:r w:rsidR="001D0DBD" w:rsidRPr="00B755E9">
              <w:rPr>
                <w:rStyle w:val="Hyperlink"/>
                <w:noProof/>
              </w:rPr>
              <w:t>Solid fuel combustion heaters</w:t>
            </w:r>
            <w:r w:rsidR="001D0DBD">
              <w:rPr>
                <w:noProof/>
                <w:webHidden/>
              </w:rPr>
              <w:tab/>
            </w:r>
            <w:r w:rsidR="001D0DBD">
              <w:rPr>
                <w:noProof/>
                <w:webHidden/>
              </w:rPr>
              <w:fldChar w:fldCharType="begin"/>
            </w:r>
            <w:r w:rsidR="001D0DBD">
              <w:rPr>
                <w:noProof/>
                <w:webHidden/>
              </w:rPr>
              <w:instrText xml:space="preserve"> PAGEREF _Toc175311941 \h </w:instrText>
            </w:r>
            <w:r w:rsidR="001D0DBD">
              <w:rPr>
                <w:noProof/>
                <w:webHidden/>
              </w:rPr>
            </w:r>
            <w:r w:rsidR="001D0DBD">
              <w:rPr>
                <w:noProof/>
                <w:webHidden/>
              </w:rPr>
              <w:fldChar w:fldCharType="separate"/>
            </w:r>
            <w:r w:rsidR="007068DD">
              <w:rPr>
                <w:noProof/>
                <w:webHidden/>
              </w:rPr>
              <w:t>49</w:t>
            </w:r>
            <w:r w:rsidR="001D0DBD">
              <w:rPr>
                <w:noProof/>
                <w:webHidden/>
              </w:rPr>
              <w:fldChar w:fldCharType="end"/>
            </w:r>
          </w:hyperlink>
        </w:p>
        <w:p w14:paraId="352F1B32" w14:textId="373E9AB4" w:rsidR="001D0DBD" w:rsidRDefault="00D73D08">
          <w:pPr>
            <w:pStyle w:val="TOC3"/>
            <w:rPr>
              <w:noProof/>
              <w:kern w:val="2"/>
              <w:sz w:val="24"/>
              <w:szCs w:val="24"/>
              <w:lang w:val="en-AU" w:eastAsia="en-AU"/>
              <w14:ligatures w14:val="standardContextual"/>
            </w:rPr>
          </w:pPr>
          <w:hyperlink w:anchor="_Toc175311942" w:history="1">
            <w:r w:rsidR="001D0DBD" w:rsidRPr="00B755E9">
              <w:rPr>
                <w:rStyle w:val="Hyperlink"/>
                <w:noProof/>
              </w:rPr>
              <w:t>Ducted gas heaters</w:t>
            </w:r>
            <w:r w:rsidR="001D0DBD">
              <w:rPr>
                <w:noProof/>
                <w:webHidden/>
              </w:rPr>
              <w:tab/>
            </w:r>
            <w:r w:rsidR="001D0DBD">
              <w:rPr>
                <w:noProof/>
                <w:webHidden/>
              </w:rPr>
              <w:fldChar w:fldCharType="begin"/>
            </w:r>
            <w:r w:rsidR="001D0DBD">
              <w:rPr>
                <w:noProof/>
                <w:webHidden/>
              </w:rPr>
              <w:instrText xml:space="preserve"> PAGEREF _Toc175311942 \h </w:instrText>
            </w:r>
            <w:r w:rsidR="001D0DBD">
              <w:rPr>
                <w:noProof/>
                <w:webHidden/>
              </w:rPr>
            </w:r>
            <w:r w:rsidR="001D0DBD">
              <w:rPr>
                <w:noProof/>
                <w:webHidden/>
              </w:rPr>
              <w:fldChar w:fldCharType="separate"/>
            </w:r>
            <w:r w:rsidR="007068DD">
              <w:rPr>
                <w:noProof/>
                <w:webHidden/>
              </w:rPr>
              <w:t>50</w:t>
            </w:r>
            <w:r w:rsidR="001D0DBD">
              <w:rPr>
                <w:noProof/>
                <w:webHidden/>
              </w:rPr>
              <w:fldChar w:fldCharType="end"/>
            </w:r>
          </w:hyperlink>
        </w:p>
        <w:p w14:paraId="6B332341" w14:textId="605652FE" w:rsidR="001D0DBD" w:rsidRDefault="00D73D08">
          <w:pPr>
            <w:pStyle w:val="TOC1"/>
            <w:rPr>
              <w:b w:val="0"/>
              <w:noProof/>
              <w:kern w:val="2"/>
              <w:sz w:val="24"/>
              <w:szCs w:val="24"/>
              <w:lang w:val="en-AU" w:eastAsia="en-AU"/>
              <w14:ligatures w14:val="standardContextual"/>
            </w:rPr>
          </w:pPr>
          <w:hyperlink w:anchor="_Toc175311943" w:history="1">
            <w:r w:rsidR="001D0DBD" w:rsidRPr="00B755E9">
              <w:rPr>
                <w:rStyle w:val="Hyperlink"/>
                <w:noProof/>
              </w:rPr>
              <w:t>Appendix 5:  Relevant AU/NZ Standards</w:t>
            </w:r>
            <w:r w:rsidR="001D0DBD">
              <w:rPr>
                <w:noProof/>
                <w:webHidden/>
              </w:rPr>
              <w:tab/>
            </w:r>
            <w:r w:rsidR="001D0DBD">
              <w:rPr>
                <w:noProof/>
                <w:webHidden/>
              </w:rPr>
              <w:fldChar w:fldCharType="begin"/>
            </w:r>
            <w:r w:rsidR="001D0DBD">
              <w:rPr>
                <w:noProof/>
                <w:webHidden/>
              </w:rPr>
              <w:instrText xml:space="preserve"> PAGEREF _Toc175311943 \h </w:instrText>
            </w:r>
            <w:r w:rsidR="001D0DBD">
              <w:rPr>
                <w:noProof/>
                <w:webHidden/>
              </w:rPr>
            </w:r>
            <w:r w:rsidR="001D0DBD">
              <w:rPr>
                <w:noProof/>
                <w:webHidden/>
              </w:rPr>
              <w:fldChar w:fldCharType="separate"/>
            </w:r>
            <w:r w:rsidR="007068DD">
              <w:rPr>
                <w:noProof/>
                <w:webHidden/>
              </w:rPr>
              <w:t>54</w:t>
            </w:r>
            <w:r w:rsidR="001D0DBD">
              <w:rPr>
                <w:noProof/>
                <w:webHidden/>
              </w:rPr>
              <w:fldChar w:fldCharType="end"/>
            </w:r>
          </w:hyperlink>
        </w:p>
        <w:p w14:paraId="67F1693A" w14:textId="23DC6981" w:rsidR="00810C4D" w:rsidRPr="00A94043" w:rsidRDefault="00810C4D">
          <w:r w:rsidRPr="00A94043">
            <w:rPr>
              <w:b/>
              <w:bCs/>
              <w:color w:val="2B579A"/>
              <w:shd w:val="clear" w:color="auto" w:fill="E6E6E6"/>
            </w:rPr>
            <w:fldChar w:fldCharType="end"/>
          </w:r>
        </w:p>
      </w:sdtContent>
    </w:sdt>
    <w:p w14:paraId="49E320EC" w14:textId="77777777" w:rsidR="00BE666F" w:rsidRDefault="00BE666F">
      <w:pPr>
        <w:spacing w:after="0" w:line="240" w:lineRule="auto"/>
        <w:rPr>
          <w:b/>
          <w:sz w:val="24"/>
          <w:lang w:eastAsia="ja-JP"/>
        </w:rPr>
      </w:pPr>
      <w:bookmarkStart w:id="3" w:name="_Toc94200240"/>
      <w:r>
        <w:rPr>
          <w:lang w:eastAsia="ja-JP"/>
        </w:rPr>
        <w:br w:type="page"/>
      </w:r>
    </w:p>
    <w:p w14:paraId="357C99CB" w14:textId="3FC0289F" w:rsidR="004B6F71" w:rsidRPr="00A94043" w:rsidRDefault="004B6F71" w:rsidP="00C737DB">
      <w:pPr>
        <w:pStyle w:val="Heading4"/>
        <w:rPr>
          <w:lang w:eastAsia="ja-JP"/>
        </w:rPr>
      </w:pPr>
      <w:r w:rsidRPr="00A94043">
        <w:rPr>
          <w:lang w:eastAsia="ja-JP"/>
        </w:rPr>
        <w:lastRenderedPageBreak/>
        <w:t>List of Figures</w:t>
      </w:r>
      <w:bookmarkEnd w:id="3"/>
      <w:r w:rsidR="0067477E" w:rsidRPr="00A94043">
        <w:rPr>
          <w:lang w:eastAsia="ja-JP"/>
        </w:rPr>
        <w:t xml:space="preserve"> </w:t>
      </w:r>
    </w:p>
    <w:p w14:paraId="6D2D1738" w14:textId="303CB9C1" w:rsidR="003772B8" w:rsidRDefault="004B6F71">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r w:rsidRPr="00A94043">
        <w:rPr>
          <w:color w:val="2B579A"/>
          <w:shd w:val="clear" w:color="auto" w:fill="E6E6E6"/>
          <w:lang w:eastAsia="ja-JP"/>
        </w:rPr>
        <w:fldChar w:fldCharType="begin"/>
      </w:r>
      <w:r w:rsidRPr="00A94043">
        <w:rPr>
          <w:lang w:eastAsia="ja-JP"/>
        </w:rPr>
        <w:instrText xml:space="preserve"> TOC \h \z \c "Figure" </w:instrText>
      </w:r>
      <w:r w:rsidRPr="00A94043">
        <w:rPr>
          <w:color w:val="2B579A"/>
          <w:shd w:val="clear" w:color="auto" w:fill="E6E6E6"/>
          <w:lang w:eastAsia="ja-JP"/>
        </w:rPr>
        <w:fldChar w:fldCharType="separate"/>
      </w:r>
      <w:hyperlink w:anchor="_Toc175309963" w:history="1">
        <w:r w:rsidR="003772B8" w:rsidRPr="002E157C">
          <w:rPr>
            <w:rStyle w:val="Hyperlink"/>
            <w:noProof/>
          </w:rPr>
          <w:t>Figure 1: Methodology stages and key aspects</w:t>
        </w:r>
        <w:r w:rsidR="003772B8">
          <w:rPr>
            <w:noProof/>
            <w:webHidden/>
          </w:rPr>
          <w:tab/>
        </w:r>
        <w:r w:rsidR="003772B8">
          <w:rPr>
            <w:noProof/>
            <w:webHidden/>
          </w:rPr>
          <w:fldChar w:fldCharType="begin"/>
        </w:r>
        <w:r w:rsidR="003772B8">
          <w:rPr>
            <w:noProof/>
            <w:webHidden/>
          </w:rPr>
          <w:instrText xml:space="preserve"> PAGEREF _Toc175309963 \h </w:instrText>
        </w:r>
        <w:r w:rsidR="003772B8">
          <w:rPr>
            <w:noProof/>
            <w:webHidden/>
          </w:rPr>
        </w:r>
        <w:r w:rsidR="003772B8">
          <w:rPr>
            <w:noProof/>
            <w:webHidden/>
          </w:rPr>
          <w:fldChar w:fldCharType="separate"/>
        </w:r>
        <w:r w:rsidR="007068DD">
          <w:rPr>
            <w:noProof/>
            <w:webHidden/>
          </w:rPr>
          <w:t>11</w:t>
        </w:r>
        <w:r w:rsidR="003772B8">
          <w:rPr>
            <w:noProof/>
            <w:webHidden/>
          </w:rPr>
          <w:fldChar w:fldCharType="end"/>
        </w:r>
      </w:hyperlink>
    </w:p>
    <w:p w14:paraId="75E0AF82" w14:textId="661AE89D" w:rsidR="003772B8" w:rsidRDefault="00D73D08">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hyperlink w:anchor="_Toc175309964" w:history="1">
        <w:r w:rsidR="003772B8" w:rsidRPr="002E157C">
          <w:rPr>
            <w:rStyle w:val="Hyperlink"/>
            <w:noProof/>
          </w:rPr>
          <w:t>Figure 2: Comparison of Air Conditioner Capacity, Weather Independent Heater Capacity and Residential Load</w:t>
        </w:r>
        <w:r w:rsidR="003772B8">
          <w:rPr>
            <w:noProof/>
            <w:webHidden/>
          </w:rPr>
          <w:tab/>
        </w:r>
        <w:r w:rsidR="003772B8">
          <w:rPr>
            <w:noProof/>
            <w:webHidden/>
          </w:rPr>
          <w:fldChar w:fldCharType="begin"/>
        </w:r>
        <w:r w:rsidR="003772B8">
          <w:rPr>
            <w:noProof/>
            <w:webHidden/>
          </w:rPr>
          <w:instrText xml:space="preserve"> PAGEREF _Toc175309964 \h </w:instrText>
        </w:r>
        <w:r w:rsidR="003772B8">
          <w:rPr>
            <w:noProof/>
            <w:webHidden/>
          </w:rPr>
        </w:r>
        <w:r w:rsidR="003772B8">
          <w:rPr>
            <w:noProof/>
            <w:webHidden/>
          </w:rPr>
          <w:fldChar w:fldCharType="separate"/>
        </w:r>
        <w:r w:rsidR="007068DD">
          <w:rPr>
            <w:noProof/>
            <w:webHidden/>
          </w:rPr>
          <w:t>14</w:t>
        </w:r>
        <w:r w:rsidR="003772B8">
          <w:rPr>
            <w:noProof/>
            <w:webHidden/>
          </w:rPr>
          <w:fldChar w:fldCharType="end"/>
        </w:r>
      </w:hyperlink>
    </w:p>
    <w:p w14:paraId="47BA0B48" w14:textId="02F59289" w:rsidR="003772B8" w:rsidRDefault="00D73D08">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hyperlink w:anchor="_Toc175309965" w:history="1">
        <w:r w:rsidR="003772B8" w:rsidRPr="002E157C">
          <w:rPr>
            <w:rStyle w:val="Hyperlink"/>
            <w:noProof/>
          </w:rPr>
          <w:t>Figure 3: Summary of HSEC calculation path based on product sub-type and controls</w:t>
        </w:r>
        <w:r w:rsidR="003772B8">
          <w:rPr>
            <w:noProof/>
            <w:webHidden/>
          </w:rPr>
          <w:tab/>
        </w:r>
        <w:r w:rsidR="003772B8">
          <w:rPr>
            <w:noProof/>
            <w:webHidden/>
          </w:rPr>
          <w:fldChar w:fldCharType="begin"/>
        </w:r>
        <w:r w:rsidR="003772B8">
          <w:rPr>
            <w:noProof/>
            <w:webHidden/>
          </w:rPr>
          <w:instrText xml:space="preserve"> PAGEREF _Toc175309965 \h </w:instrText>
        </w:r>
        <w:r w:rsidR="003772B8">
          <w:rPr>
            <w:noProof/>
            <w:webHidden/>
          </w:rPr>
        </w:r>
        <w:r w:rsidR="003772B8">
          <w:rPr>
            <w:noProof/>
            <w:webHidden/>
          </w:rPr>
          <w:fldChar w:fldCharType="separate"/>
        </w:r>
        <w:r w:rsidR="007068DD">
          <w:rPr>
            <w:noProof/>
            <w:webHidden/>
          </w:rPr>
          <w:t>18</w:t>
        </w:r>
        <w:r w:rsidR="003772B8">
          <w:rPr>
            <w:noProof/>
            <w:webHidden/>
          </w:rPr>
          <w:fldChar w:fldCharType="end"/>
        </w:r>
      </w:hyperlink>
    </w:p>
    <w:p w14:paraId="39577115" w14:textId="474FA924" w:rsidR="004B6F71" w:rsidRPr="00A94043" w:rsidRDefault="004B6F71" w:rsidP="004B6F71">
      <w:pPr>
        <w:rPr>
          <w:lang w:eastAsia="ja-JP"/>
        </w:rPr>
      </w:pPr>
      <w:r w:rsidRPr="00A94043">
        <w:rPr>
          <w:color w:val="2B579A"/>
          <w:shd w:val="clear" w:color="auto" w:fill="E6E6E6"/>
          <w:lang w:eastAsia="ja-JP"/>
        </w:rPr>
        <w:fldChar w:fldCharType="end"/>
      </w:r>
    </w:p>
    <w:p w14:paraId="6A99F397" w14:textId="418CFD4B" w:rsidR="004B6F71" w:rsidRPr="00A94043" w:rsidRDefault="004B6F71" w:rsidP="00C737DB">
      <w:pPr>
        <w:pStyle w:val="Heading4"/>
        <w:rPr>
          <w:lang w:eastAsia="ja-JP"/>
        </w:rPr>
      </w:pPr>
      <w:bookmarkStart w:id="4" w:name="_Toc94200241"/>
      <w:r w:rsidRPr="00A94043">
        <w:rPr>
          <w:lang w:eastAsia="ja-JP"/>
        </w:rPr>
        <w:t>List of Tables</w:t>
      </w:r>
      <w:bookmarkEnd w:id="4"/>
      <w:r w:rsidR="0067477E" w:rsidRPr="00A94043">
        <w:rPr>
          <w:lang w:eastAsia="ja-JP"/>
        </w:rPr>
        <w:t xml:space="preserve"> </w:t>
      </w:r>
    </w:p>
    <w:p w14:paraId="66C0D014" w14:textId="72C67095" w:rsidR="001D0DBD" w:rsidRDefault="004B6F71">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r w:rsidRPr="00A94043">
        <w:rPr>
          <w:color w:val="2B579A"/>
          <w:shd w:val="clear" w:color="auto" w:fill="E6E6E6"/>
          <w:lang w:eastAsia="ja-JP"/>
        </w:rPr>
        <w:fldChar w:fldCharType="begin"/>
      </w:r>
      <w:r w:rsidRPr="00A94043">
        <w:rPr>
          <w:lang w:eastAsia="ja-JP"/>
        </w:rPr>
        <w:instrText xml:space="preserve"> TOC \h \z \c "Table" </w:instrText>
      </w:r>
      <w:r w:rsidRPr="00A94043">
        <w:rPr>
          <w:color w:val="2B579A"/>
          <w:shd w:val="clear" w:color="auto" w:fill="E6E6E6"/>
          <w:lang w:eastAsia="ja-JP"/>
        </w:rPr>
        <w:fldChar w:fldCharType="separate"/>
      </w:r>
      <w:hyperlink w:anchor="_Toc175311867" w:history="1">
        <w:r w:rsidR="001D0DBD" w:rsidRPr="002337B6">
          <w:rPr>
            <w:rStyle w:val="Hyperlink"/>
            <w:noProof/>
          </w:rPr>
          <w:t>Table 1: Heating Seasonal Total Load per Capacity, by Climate Zone, according to the Comparison Methodology</w:t>
        </w:r>
        <w:r w:rsidR="001D0DBD">
          <w:rPr>
            <w:noProof/>
            <w:webHidden/>
          </w:rPr>
          <w:tab/>
        </w:r>
        <w:r w:rsidR="001D0DBD">
          <w:rPr>
            <w:noProof/>
            <w:webHidden/>
          </w:rPr>
          <w:fldChar w:fldCharType="begin"/>
        </w:r>
        <w:r w:rsidR="001D0DBD">
          <w:rPr>
            <w:noProof/>
            <w:webHidden/>
          </w:rPr>
          <w:instrText xml:space="preserve"> PAGEREF _Toc175311867 \h </w:instrText>
        </w:r>
        <w:r w:rsidR="001D0DBD">
          <w:rPr>
            <w:noProof/>
            <w:webHidden/>
          </w:rPr>
        </w:r>
        <w:r w:rsidR="001D0DBD">
          <w:rPr>
            <w:noProof/>
            <w:webHidden/>
          </w:rPr>
          <w:fldChar w:fldCharType="separate"/>
        </w:r>
        <w:r w:rsidR="007068DD">
          <w:rPr>
            <w:noProof/>
            <w:webHidden/>
          </w:rPr>
          <w:t>15</w:t>
        </w:r>
        <w:r w:rsidR="001D0DBD">
          <w:rPr>
            <w:noProof/>
            <w:webHidden/>
          </w:rPr>
          <w:fldChar w:fldCharType="end"/>
        </w:r>
      </w:hyperlink>
    </w:p>
    <w:p w14:paraId="0DFB78D8" w14:textId="64917ADD" w:rsidR="001D0DBD" w:rsidRDefault="00D73D08">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hyperlink w:anchor="_Toc175311868" w:history="1">
        <w:r w:rsidR="001D0DBD" w:rsidRPr="002337B6">
          <w:rPr>
            <w:rStyle w:val="Hyperlink"/>
            <w:noProof/>
          </w:rPr>
          <w:t>Table 2: Air Conditioner Cooling, Heating and Inactive Mode Hours by Climate Zone</w:t>
        </w:r>
        <w:r w:rsidR="001D0DBD">
          <w:rPr>
            <w:noProof/>
            <w:webHidden/>
          </w:rPr>
          <w:tab/>
        </w:r>
        <w:r w:rsidR="001D0DBD">
          <w:rPr>
            <w:noProof/>
            <w:webHidden/>
          </w:rPr>
          <w:fldChar w:fldCharType="begin"/>
        </w:r>
        <w:r w:rsidR="001D0DBD">
          <w:rPr>
            <w:noProof/>
            <w:webHidden/>
          </w:rPr>
          <w:instrText xml:space="preserve"> PAGEREF _Toc175311868 \h </w:instrText>
        </w:r>
        <w:r w:rsidR="001D0DBD">
          <w:rPr>
            <w:noProof/>
            <w:webHidden/>
          </w:rPr>
        </w:r>
        <w:r w:rsidR="001D0DBD">
          <w:rPr>
            <w:noProof/>
            <w:webHidden/>
          </w:rPr>
          <w:fldChar w:fldCharType="separate"/>
        </w:r>
        <w:r w:rsidR="007068DD">
          <w:rPr>
            <w:noProof/>
            <w:webHidden/>
          </w:rPr>
          <w:t>20</w:t>
        </w:r>
        <w:r w:rsidR="001D0DBD">
          <w:rPr>
            <w:noProof/>
            <w:webHidden/>
          </w:rPr>
          <w:fldChar w:fldCharType="end"/>
        </w:r>
      </w:hyperlink>
    </w:p>
    <w:p w14:paraId="0357A753" w14:textId="3509EF51" w:rsidR="001D0DBD" w:rsidRDefault="00D73D08">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hyperlink w:anchor="_Toc175311869" w:history="1">
        <w:r w:rsidR="001D0DBD" w:rsidRPr="002337B6">
          <w:rPr>
            <w:rStyle w:val="Hyperlink"/>
            <w:noProof/>
          </w:rPr>
          <w:t>Table 3: Heating and Cooling Season Hours and Inactive Hours</w:t>
        </w:r>
        <w:r w:rsidR="001D0DBD">
          <w:rPr>
            <w:noProof/>
            <w:webHidden/>
          </w:rPr>
          <w:tab/>
        </w:r>
        <w:r w:rsidR="001D0DBD">
          <w:rPr>
            <w:noProof/>
            <w:webHidden/>
          </w:rPr>
          <w:fldChar w:fldCharType="begin"/>
        </w:r>
        <w:r w:rsidR="001D0DBD">
          <w:rPr>
            <w:noProof/>
            <w:webHidden/>
          </w:rPr>
          <w:instrText xml:space="preserve"> PAGEREF _Toc175311869 \h </w:instrText>
        </w:r>
        <w:r w:rsidR="001D0DBD">
          <w:rPr>
            <w:noProof/>
            <w:webHidden/>
          </w:rPr>
        </w:r>
        <w:r w:rsidR="001D0DBD">
          <w:rPr>
            <w:noProof/>
            <w:webHidden/>
          </w:rPr>
          <w:fldChar w:fldCharType="separate"/>
        </w:r>
        <w:r w:rsidR="007068DD">
          <w:rPr>
            <w:noProof/>
            <w:webHidden/>
          </w:rPr>
          <w:t>20</w:t>
        </w:r>
        <w:r w:rsidR="001D0DBD">
          <w:rPr>
            <w:noProof/>
            <w:webHidden/>
          </w:rPr>
          <w:fldChar w:fldCharType="end"/>
        </w:r>
      </w:hyperlink>
    </w:p>
    <w:p w14:paraId="54BADF1D" w14:textId="74BEE973" w:rsidR="001D0DBD" w:rsidRDefault="00D73D08">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hyperlink w:anchor="_Toc175311870" w:history="1">
        <w:r w:rsidR="001D0DBD" w:rsidRPr="002337B6">
          <w:rPr>
            <w:rStyle w:val="Hyperlink"/>
            <w:noProof/>
          </w:rPr>
          <w:t>Table 4: Heating Standby Hours, by Climate Zone, according to the Comparison Methodology</w:t>
        </w:r>
        <w:r w:rsidR="001D0DBD">
          <w:rPr>
            <w:noProof/>
            <w:webHidden/>
          </w:rPr>
          <w:tab/>
        </w:r>
        <w:r w:rsidR="001D0DBD">
          <w:rPr>
            <w:noProof/>
            <w:webHidden/>
          </w:rPr>
          <w:fldChar w:fldCharType="begin"/>
        </w:r>
        <w:r w:rsidR="001D0DBD">
          <w:rPr>
            <w:noProof/>
            <w:webHidden/>
          </w:rPr>
          <w:instrText xml:space="preserve"> PAGEREF _Toc175311870 \h </w:instrText>
        </w:r>
        <w:r w:rsidR="001D0DBD">
          <w:rPr>
            <w:noProof/>
            <w:webHidden/>
          </w:rPr>
        </w:r>
        <w:r w:rsidR="001D0DBD">
          <w:rPr>
            <w:noProof/>
            <w:webHidden/>
          </w:rPr>
          <w:fldChar w:fldCharType="separate"/>
        </w:r>
        <w:r w:rsidR="007068DD">
          <w:rPr>
            <w:noProof/>
            <w:webHidden/>
          </w:rPr>
          <w:t>22</w:t>
        </w:r>
        <w:r w:rsidR="001D0DBD">
          <w:rPr>
            <w:noProof/>
            <w:webHidden/>
          </w:rPr>
          <w:fldChar w:fldCharType="end"/>
        </w:r>
      </w:hyperlink>
    </w:p>
    <w:p w14:paraId="200E2BB6" w14:textId="626A0B11" w:rsidR="001D0DBD" w:rsidRDefault="00D73D08">
      <w:pPr>
        <w:pStyle w:val="TableofFigures"/>
        <w:tabs>
          <w:tab w:val="right" w:leader="dot" w:pos="9620"/>
        </w:tabs>
        <w:rPr>
          <w:rFonts w:asciiTheme="minorHAnsi" w:eastAsiaTheme="minorEastAsia" w:hAnsiTheme="minorHAnsi" w:cstheme="minorBidi"/>
          <w:noProof/>
          <w:kern w:val="2"/>
          <w:sz w:val="24"/>
          <w:szCs w:val="24"/>
          <w:lang w:eastAsia="en-AU"/>
          <w14:ligatures w14:val="standardContextual"/>
        </w:rPr>
      </w:pPr>
      <w:hyperlink w:anchor="_Toc175311871" w:history="1">
        <w:r w:rsidR="001D0DBD" w:rsidRPr="002337B6">
          <w:rPr>
            <w:rStyle w:val="Hyperlink"/>
            <w:noProof/>
          </w:rPr>
          <w:t>Table 5: Summary of example space heating comparison methodology outputs, by product size, technology type and climate zone</w:t>
        </w:r>
        <w:r w:rsidR="001D0DBD">
          <w:rPr>
            <w:noProof/>
            <w:webHidden/>
          </w:rPr>
          <w:tab/>
        </w:r>
        <w:r w:rsidR="001D0DBD">
          <w:rPr>
            <w:noProof/>
            <w:webHidden/>
          </w:rPr>
          <w:fldChar w:fldCharType="begin"/>
        </w:r>
        <w:r w:rsidR="001D0DBD">
          <w:rPr>
            <w:noProof/>
            <w:webHidden/>
          </w:rPr>
          <w:instrText xml:space="preserve"> PAGEREF _Toc175311871 \h </w:instrText>
        </w:r>
        <w:r w:rsidR="001D0DBD">
          <w:rPr>
            <w:noProof/>
            <w:webHidden/>
          </w:rPr>
        </w:r>
        <w:r w:rsidR="001D0DBD">
          <w:rPr>
            <w:noProof/>
            <w:webHidden/>
          </w:rPr>
          <w:fldChar w:fldCharType="separate"/>
        </w:r>
        <w:r w:rsidR="007068DD">
          <w:rPr>
            <w:noProof/>
            <w:webHidden/>
          </w:rPr>
          <w:t>27</w:t>
        </w:r>
        <w:r w:rsidR="001D0DBD">
          <w:rPr>
            <w:noProof/>
            <w:webHidden/>
          </w:rPr>
          <w:fldChar w:fldCharType="end"/>
        </w:r>
      </w:hyperlink>
    </w:p>
    <w:p w14:paraId="34F78F8E" w14:textId="5AAFA63B" w:rsidR="00D537CF" w:rsidRPr="00A94043" w:rsidRDefault="004B6F71" w:rsidP="00E2265F">
      <w:r w:rsidRPr="00A94043">
        <w:rPr>
          <w:color w:val="2B579A"/>
          <w:shd w:val="clear" w:color="auto" w:fill="E6E6E6"/>
          <w:lang w:eastAsia="ja-JP"/>
        </w:rPr>
        <w:fldChar w:fldCharType="end"/>
      </w:r>
    </w:p>
    <w:p w14:paraId="7C46BEB9" w14:textId="77777777" w:rsidR="00620351" w:rsidRPr="00A94043" w:rsidRDefault="00620351" w:rsidP="00FD791E">
      <w:pPr>
        <w:sectPr w:rsidR="00620351" w:rsidRPr="00A94043" w:rsidSect="002351D4">
          <w:headerReference w:type="even" r:id="rId25"/>
          <w:headerReference w:type="default" r:id="rId26"/>
          <w:footerReference w:type="even" r:id="rId27"/>
          <w:footerReference w:type="default" r:id="rId28"/>
          <w:headerReference w:type="first" r:id="rId29"/>
          <w:footerReference w:type="first" r:id="rId30"/>
          <w:pgSz w:w="11906" w:h="16838" w:code="9"/>
          <w:pgMar w:top="1728" w:right="1138" w:bottom="1699" w:left="1138" w:header="576" w:footer="720" w:gutter="0"/>
          <w:pgNumType w:fmt="lowerRoman"/>
          <w:cols w:space="708"/>
          <w:docGrid w:linePitch="360"/>
        </w:sectPr>
      </w:pPr>
    </w:p>
    <w:p w14:paraId="7FF0CC80" w14:textId="2467220D" w:rsidR="00B85A72" w:rsidRPr="004F5C1E" w:rsidRDefault="00B85A72" w:rsidP="004F5C1E">
      <w:pPr>
        <w:pStyle w:val="Heading1"/>
      </w:pPr>
      <w:bookmarkStart w:id="5" w:name="_Toc175311894"/>
      <w:bookmarkStart w:id="6" w:name="_Toc41903318"/>
      <w:bookmarkStart w:id="7" w:name="_Toc99633198"/>
      <w:r w:rsidRPr="004F5C1E">
        <w:lastRenderedPageBreak/>
        <w:t>Executive Summary</w:t>
      </w:r>
      <w:bookmarkEnd w:id="5"/>
    </w:p>
    <w:p w14:paraId="054EE471" w14:textId="77777777" w:rsidR="00B17774" w:rsidRPr="002E63C1" w:rsidRDefault="00B17774" w:rsidP="00B17774">
      <w:pPr>
        <w:rPr>
          <w:rFonts w:cs="Calibri"/>
        </w:rPr>
      </w:pPr>
      <w:r w:rsidRPr="002E63C1">
        <w:rPr>
          <w:rFonts w:cs="Calibri"/>
        </w:rPr>
        <w:t>Space heating accounts for around a third of residential energy use in Australia and New Zealand. In colder climates, where the need for heating is greatest, the use of space heaters is a major driver of household costs. Households with energy efficient space heating have lower energy bills and contribute fewer greenhouse gas emissions.</w:t>
      </w:r>
    </w:p>
    <w:p w14:paraId="3E9E79D3" w14:textId="50FA0AFD" w:rsidR="00B17774" w:rsidRPr="002E63C1" w:rsidRDefault="00B17774" w:rsidP="00B17774">
      <w:pPr>
        <w:rPr>
          <w:rFonts w:cs="Calibri"/>
        </w:rPr>
      </w:pPr>
      <w:r w:rsidRPr="002E63C1">
        <w:rPr>
          <w:rFonts w:cs="Calibri"/>
        </w:rPr>
        <w:t xml:space="preserve">There is </w:t>
      </w:r>
      <w:r>
        <w:rPr>
          <w:rFonts w:cs="Calibri"/>
        </w:rPr>
        <w:t xml:space="preserve">currently </w:t>
      </w:r>
      <w:r w:rsidRPr="002E63C1">
        <w:rPr>
          <w:rFonts w:cs="Calibri"/>
        </w:rPr>
        <w:t>no easy way for consumers to compare the energy use, energy efficiency, running cost or greenhouse gas emissions of different heater types</w:t>
      </w:r>
      <w:r w:rsidR="008A6F70">
        <w:rPr>
          <w:rFonts w:cs="Calibri"/>
        </w:rPr>
        <w:t>, e.g. air conditioners</w:t>
      </w:r>
      <w:r w:rsidR="00746EED">
        <w:rPr>
          <w:rFonts w:cs="Calibri"/>
        </w:rPr>
        <w:t xml:space="preserve"> (heat pumps), gas </w:t>
      </w:r>
      <w:r w:rsidR="004F6CFB">
        <w:rPr>
          <w:rFonts w:cs="Calibri"/>
        </w:rPr>
        <w:t xml:space="preserve">space </w:t>
      </w:r>
      <w:r w:rsidR="00746EED">
        <w:rPr>
          <w:rFonts w:cs="Calibri"/>
        </w:rPr>
        <w:t>heaters, and electric resistance heaters</w:t>
      </w:r>
      <w:r w:rsidRPr="002E63C1">
        <w:rPr>
          <w:rFonts w:cs="Calibri"/>
        </w:rPr>
        <w:t>.</w:t>
      </w:r>
    </w:p>
    <w:p w14:paraId="03947B10" w14:textId="1A49D3E5" w:rsidR="00B17774" w:rsidRPr="002E63C1" w:rsidRDefault="00B17774" w:rsidP="00B17774">
      <w:pPr>
        <w:rPr>
          <w:rFonts w:cs="Calibri"/>
        </w:rPr>
      </w:pPr>
      <w:r w:rsidRPr="002E63C1">
        <w:rPr>
          <w:rFonts w:cs="Calibri"/>
        </w:rPr>
        <w:t xml:space="preserve">The Department of Climate Change, Energy, the Environment and Water </w:t>
      </w:r>
      <w:r>
        <w:rPr>
          <w:rFonts w:cs="Calibri"/>
        </w:rPr>
        <w:t xml:space="preserve">(DCCEEW) </w:t>
      </w:r>
      <w:r w:rsidRPr="002E63C1">
        <w:rPr>
          <w:rFonts w:cs="Calibri"/>
        </w:rPr>
        <w:t xml:space="preserve">is </w:t>
      </w:r>
      <w:r w:rsidR="00333EE1">
        <w:rPr>
          <w:rFonts w:cs="Calibri"/>
        </w:rPr>
        <w:t>exploring options that would support consumers to make easy comparisons of residential space heaters</w:t>
      </w:r>
      <w:r w:rsidRPr="002E63C1">
        <w:rPr>
          <w:rFonts w:cs="Calibri"/>
        </w:rPr>
        <w:t>.</w:t>
      </w:r>
      <w:r w:rsidR="0064302E">
        <w:rPr>
          <w:rFonts w:cs="Calibri"/>
        </w:rPr>
        <w:t xml:space="preserve"> </w:t>
      </w:r>
      <w:r w:rsidRPr="002E63C1">
        <w:rPr>
          <w:rFonts w:cs="Calibri"/>
        </w:rPr>
        <w:t xml:space="preserve">The comparison methodology </w:t>
      </w:r>
      <w:r>
        <w:rPr>
          <w:rFonts w:cs="Calibri"/>
        </w:rPr>
        <w:t xml:space="preserve">outlined in this document </w:t>
      </w:r>
      <w:r w:rsidRPr="002E63C1">
        <w:rPr>
          <w:rFonts w:cs="Calibri"/>
        </w:rPr>
        <w:t>is a technical foundation from which space heater</w:t>
      </w:r>
      <w:r w:rsidR="0064302E">
        <w:rPr>
          <w:rFonts w:cs="Calibri"/>
        </w:rPr>
        <w:t>s</w:t>
      </w:r>
      <w:r w:rsidRPr="002E63C1">
        <w:rPr>
          <w:rFonts w:cs="Calibri"/>
        </w:rPr>
        <w:t xml:space="preserve"> </w:t>
      </w:r>
      <w:r w:rsidR="00D14113">
        <w:rPr>
          <w:rFonts w:cs="Calibri"/>
        </w:rPr>
        <w:t>of different types can be compared for efficiency and running costs</w:t>
      </w:r>
      <w:r w:rsidRPr="002E63C1">
        <w:rPr>
          <w:rFonts w:cs="Calibri"/>
        </w:rPr>
        <w:t>.</w:t>
      </w:r>
      <w:r>
        <w:rPr>
          <w:rFonts w:cs="Calibri"/>
        </w:rPr>
        <w:t xml:space="preserve">  </w:t>
      </w:r>
      <w:r>
        <w:t>The comparison methodology could underpin the development of accessible information resources to inform consumers and help them to choose the most suitable heating systems for their needs.</w:t>
      </w:r>
    </w:p>
    <w:p w14:paraId="7241CD28" w14:textId="36AC8187" w:rsidR="00B17774" w:rsidRPr="002E63C1" w:rsidRDefault="00B17774" w:rsidP="00B17774">
      <w:pPr>
        <w:rPr>
          <w:rFonts w:cs="Calibri"/>
        </w:rPr>
      </w:pPr>
      <w:r w:rsidRPr="002E63C1">
        <w:rPr>
          <w:rFonts w:cs="Calibri"/>
        </w:rPr>
        <w:t xml:space="preserve">This work is being delivered through the Equipment Energy Efficiency (E3) Program. The E3 Program is a cross jurisdictional program through which the Australian Government, states and territories and the New Zealand Government collaborate to deliver a single, integrated program on energy efficiency standards and energy labelling for equipment and appliances. The E3 Program </w:t>
      </w:r>
      <w:r w:rsidR="00AE000F" w:rsidRPr="7A595668">
        <w:rPr>
          <w:rFonts w:cs="Calibri"/>
        </w:rPr>
        <w:t>undertakes</w:t>
      </w:r>
      <w:r w:rsidRPr="002E63C1">
        <w:rPr>
          <w:rFonts w:cs="Calibri"/>
        </w:rPr>
        <w:t xml:space="preserve"> a range of activities to improve the energy efficiency of appliances and equipment sold in Australia and New Zealand. These include energy rating labelling, setting minimum energy performance standards (MEPS), and providing public information.</w:t>
      </w:r>
    </w:p>
    <w:p w14:paraId="28ED9F67" w14:textId="72F4AD31" w:rsidR="004B2CEB" w:rsidRPr="007E0563" w:rsidRDefault="00236F00" w:rsidP="00E70FD9">
      <w:pPr>
        <w:rPr>
          <w:rFonts w:cs="Calibri"/>
        </w:rPr>
      </w:pPr>
      <w:r w:rsidRPr="00E70FD9">
        <w:rPr>
          <w:rFonts w:cs="Calibri"/>
        </w:rPr>
        <w:t>The </w:t>
      </w:r>
      <w:hyperlink r:id="rId31" w:history="1">
        <w:r w:rsidRPr="00E70FD9">
          <w:rPr>
            <w:rFonts w:cs="Calibri"/>
          </w:rPr>
          <w:t>Greenhouse and Energy Minimum Standards Act 2012</w:t>
        </w:r>
      </w:hyperlink>
      <w:r w:rsidRPr="00E70FD9">
        <w:rPr>
          <w:rFonts w:cs="Calibri"/>
        </w:rPr>
        <w:t> (GEMS Act) is the underpinning legislation for the E3 Program in Australia.</w:t>
      </w:r>
      <w:r w:rsidR="009773E1" w:rsidRPr="00E70FD9">
        <w:rPr>
          <w:rFonts w:cs="Calibri"/>
        </w:rPr>
        <w:t xml:space="preserve"> Its</w:t>
      </w:r>
      <w:r w:rsidR="004B2CEB" w:rsidRPr="00E70FD9">
        <w:rPr>
          <w:rFonts w:cs="Calibri"/>
        </w:rPr>
        <w:t xml:space="preserve"> </w:t>
      </w:r>
      <w:r w:rsidR="004B2CEB" w:rsidRPr="007E0563">
        <w:rPr>
          <w:rFonts w:cs="Calibri"/>
        </w:rPr>
        <w:t xml:space="preserve">objectives include promoting the development and adoption of products that use less energy or produce fewer greenhouse gases. In New Zealand, </w:t>
      </w:r>
      <w:r w:rsidR="00312CD8" w:rsidRPr="007E0563">
        <w:rPr>
          <w:rFonts w:cs="Calibri"/>
        </w:rPr>
        <w:t>the</w:t>
      </w:r>
      <w:r w:rsidR="00FC0857" w:rsidRPr="007E0563">
        <w:rPr>
          <w:rFonts w:cs="Calibri"/>
        </w:rPr>
        <w:t xml:space="preserve"> </w:t>
      </w:r>
      <w:hyperlink r:id="rId32" w:history="1">
        <w:r w:rsidR="00312CD8" w:rsidRPr="00E70FD9">
          <w:rPr>
            <w:rFonts w:cs="Calibri"/>
          </w:rPr>
          <w:t>Energy Efficiency (Energy Using Products) Regulations 2002</w:t>
        </w:r>
      </w:hyperlink>
      <w:r w:rsidR="00312CD8" w:rsidRPr="00E70FD9">
        <w:rPr>
          <w:rFonts w:cs="Calibri"/>
        </w:rPr>
        <w:t> </w:t>
      </w:r>
      <w:r w:rsidR="00782E23" w:rsidRPr="007E0563">
        <w:rPr>
          <w:rFonts w:cs="Calibri"/>
        </w:rPr>
        <w:t>(EUP</w:t>
      </w:r>
      <w:r w:rsidR="00B27529">
        <w:rPr>
          <w:rFonts w:cs="Calibri"/>
        </w:rPr>
        <w:t xml:space="preserve"> Regulation</w:t>
      </w:r>
      <w:r w:rsidR="00782E23" w:rsidRPr="007E0563">
        <w:rPr>
          <w:rFonts w:cs="Calibri"/>
        </w:rPr>
        <w:t xml:space="preserve">s) </w:t>
      </w:r>
      <w:r w:rsidR="003E3B78">
        <w:rPr>
          <w:rFonts w:cs="Calibri"/>
        </w:rPr>
        <w:t>underpin</w:t>
      </w:r>
      <w:r w:rsidR="004B2CEB">
        <w:rPr>
          <w:rFonts w:cs="Calibri"/>
        </w:rPr>
        <w:t xml:space="preserve"> the </w:t>
      </w:r>
      <w:r w:rsidR="003E3B78">
        <w:rPr>
          <w:rFonts w:cs="Calibri"/>
        </w:rPr>
        <w:t>E3 Program</w:t>
      </w:r>
      <w:r w:rsidR="004B2CEB">
        <w:rPr>
          <w:rFonts w:cs="Calibri"/>
        </w:rPr>
        <w:t>.</w:t>
      </w:r>
    </w:p>
    <w:p w14:paraId="61686826" w14:textId="77777777" w:rsidR="00B17774" w:rsidRPr="002E63C1" w:rsidRDefault="00B17774" w:rsidP="00B17774">
      <w:pPr>
        <w:rPr>
          <w:rFonts w:cs="Calibri"/>
        </w:rPr>
      </w:pPr>
      <w:r w:rsidRPr="002E63C1">
        <w:rPr>
          <w:rFonts w:cs="Calibri"/>
        </w:rPr>
        <w:t xml:space="preserve">This consultation seeks to </w:t>
      </w:r>
      <w:r>
        <w:rPr>
          <w:rFonts w:cs="Calibri"/>
        </w:rPr>
        <w:t>obtains feedback from industry and other stakeholders on the proposed methodology.</w:t>
      </w:r>
    </w:p>
    <w:p w14:paraId="7D7053F1" w14:textId="77777777" w:rsidR="00B17774" w:rsidRPr="002E63C1" w:rsidRDefault="00B17774" w:rsidP="00B17774">
      <w:pPr>
        <w:rPr>
          <w:rFonts w:cs="Calibri"/>
        </w:rPr>
      </w:pPr>
      <w:r w:rsidRPr="002E63C1">
        <w:rPr>
          <w:rFonts w:cs="Calibri"/>
        </w:rPr>
        <w:t xml:space="preserve">This consultation document outlines a proposed comparison methodology for residential space heaters. The comparison methodology identifies how to define and calculate the performance of different heater types on a consistent and fair basis. It is a technical approach for generating energy consumption and efficiency performance information on heaters. </w:t>
      </w:r>
    </w:p>
    <w:p w14:paraId="59513218" w14:textId="69973CB0" w:rsidR="00B17774" w:rsidRPr="002E63C1" w:rsidRDefault="00B17774" w:rsidP="00B17774">
      <w:pPr>
        <w:rPr>
          <w:rFonts w:cs="Calibri"/>
        </w:rPr>
      </w:pPr>
      <w:r w:rsidRPr="00A5097F">
        <w:rPr>
          <w:rFonts w:cs="Calibri"/>
        </w:rPr>
        <w:t>The residential space heating work program commenced in 2019. Work on the comparison</w:t>
      </w:r>
      <w:r w:rsidRPr="002E63C1">
        <w:rPr>
          <w:rFonts w:cs="Calibri"/>
        </w:rPr>
        <w:t xml:space="preserve"> methodology to date has focussed on what have been described as simple heaters.  These include:</w:t>
      </w:r>
    </w:p>
    <w:p w14:paraId="1AFBB224" w14:textId="690B6ED4" w:rsidR="00B17774" w:rsidRPr="002E63C1" w:rsidRDefault="00B17774" w:rsidP="00D90977">
      <w:pPr>
        <w:pStyle w:val="ListParagraph"/>
        <w:numPr>
          <w:ilvl w:val="0"/>
          <w:numId w:val="15"/>
        </w:numPr>
        <w:rPr>
          <w:rFonts w:cs="Calibri"/>
        </w:rPr>
      </w:pPr>
      <w:r w:rsidRPr="002E63C1">
        <w:rPr>
          <w:rFonts w:cs="Calibri"/>
        </w:rPr>
        <w:t>reverse cycle air conditioners (heat pumps)</w:t>
      </w:r>
    </w:p>
    <w:p w14:paraId="44EDC660" w14:textId="79C9D17D" w:rsidR="00B17774" w:rsidRPr="002E63C1" w:rsidRDefault="00B17774" w:rsidP="00D90977">
      <w:pPr>
        <w:pStyle w:val="ListParagraph"/>
        <w:numPr>
          <w:ilvl w:val="0"/>
          <w:numId w:val="15"/>
        </w:numPr>
        <w:rPr>
          <w:rFonts w:cs="Calibri"/>
        </w:rPr>
      </w:pPr>
      <w:r w:rsidRPr="002E63C1">
        <w:rPr>
          <w:rFonts w:cs="Calibri"/>
        </w:rPr>
        <w:t>gas space heaters</w:t>
      </w:r>
    </w:p>
    <w:p w14:paraId="70E02CA9" w14:textId="5F285EFA" w:rsidR="00B17774" w:rsidRPr="002E63C1" w:rsidRDefault="00B17774" w:rsidP="00D90977">
      <w:pPr>
        <w:pStyle w:val="ListParagraph"/>
        <w:numPr>
          <w:ilvl w:val="0"/>
          <w:numId w:val="15"/>
        </w:numPr>
        <w:rPr>
          <w:rFonts w:cs="Calibri"/>
        </w:rPr>
      </w:pPr>
      <w:r w:rsidRPr="002E63C1">
        <w:rPr>
          <w:rFonts w:cs="Calibri"/>
        </w:rPr>
        <w:t>electric resistance heaters</w:t>
      </w:r>
    </w:p>
    <w:p w14:paraId="631E3CCA" w14:textId="77777777" w:rsidR="00B17774" w:rsidRPr="002E63C1" w:rsidRDefault="00B17774" w:rsidP="00D90977">
      <w:pPr>
        <w:pStyle w:val="ListParagraph"/>
        <w:numPr>
          <w:ilvl w:val="0"/>
          <w:numId w:val="15"/>
        </w:numPr>
        <w:rPr>
          <w:rFonts w:cs="Calibri"/>
        </w:rPr>
      </w:pPr>
      <w:r w:rsidRPr="002E63C1">
        <w:rPr>
          <w:rFonts w:cs="Calibri"/>
        </w:rPr>
        <w:t>gas decorative appliances</w:t>
      </w:r>
    </w:p>
    <w:p w14:paraId="1A0EF2B8" w14:textId="77777777" w:rsidR="00B17774" w:rsidRPr="002E63C1" w:rsidRDefault="00B17774" w:rsidP="00D90977">
      <w:pPr>
        <w:pStyle w:val="ListParagraph"/>
        <w:numPr>
          <w:ilvl w:val="0"/>
          <w:numId w:val="15"/>
        </w:numPr>
        <w:rPr>
          <w:rFonts w:cs="Calibri"/>
        </w:rPr>
      </w:pPr>
      <w:r w:rsidRPr="002E63C1">
        <w:rPr>
          <w:rFonts w:cs="Calibri"/>
        </w:rPr>
        <w:lastRenderedPageBreak/>
        <w:t>solid fuel combustion heaters</w:t>
      </w:r>
    </w:p>
    <w:p w14:paraId="4A822E72" w14:textId="77777777" w:rsidR="00B17774" w:rsidRPr="002E63C1" w:rsidRDefault="00B17774" w:rsidP="00D90977">
      <w:pPr>
        <w:pStyle w:val="ListParagraph"/>
        <w:numPr>
          <w:ilvl w:val="0"/>
          <w:numId w:val="15"/>
        </w:numPr>
        <w:rPr>
          <w:rFonts w:cs="Calibri"/>
        </w:rPr>
      </w:pPr>
      <w:r w:rsidRPr="002E63C1">
        <w:rPr>
          <w:rFonts w:cs="Calibri"/>
        </w:rPr>
        <w:t>ducted gas heaters</w:t>
      </w:r>
    </w:p>
    <w:p w14:paraId="7F3CAEB1" w14:textId="77777777" w:rsidR="00B17774" w:rsidRPr="002E63C1" w:rsidRDefault="00B17774" w:rsidP="00D90977">
      <w:pPr>
        <w:pStyle w:val="ListParagraph"/>
        <w:numPr>
          <w:ilvl w:val="0"/>
          <w:numId w:val="15"/>
        </w:numPr>
        <w:rPr>
          <w:rFonts w:cs="Calibri"/>
        </w:rPr>
      </w:pPr>
      <w:r w:rsidRPr="002E63C1">
        <w:rPr>
          <w:rFonts w:cs="Calibri"/>
        </w:rPr>
        <w:t>ducted reverse cycle air conditioners (heat pumps).</w:t>
      </w:r>
    </w:p>
    <w:p w14:paraId="5606AFFD" w14:textId="77777777" w:rsidR="00B17774" w:rsidRPr="002E63C1" w:rsidRDefault="00B17774" w:rsidP="00B17774">
      <w:pPr>
        <w:rPr>
          <w:rFonts w:cs="Calibri"/>
        </w:rPr>
      </w:pPr>
      <w:r w:rsidRPr="002E63C1">
        <w:rPr>
          <w:rFonts w:cs="Calibri"/>
        </w:rPr>
        <w:t>Proposed methods have been developed for all these heater types.</w:t>
      </w:r>
    </w:p>
    <w:p w14:paraId="599A6822" w14:textId="74049B7A" w:rsidR="00B17774" w:rsidRPr="002E63C1" w:rsidRDefault="00B17774" w:rsidP="00B17774">
      <w:pPr>
        <w:rPr>
          <w:rFonts w:cs="Calibri"/>
        </w:rPr>
      </w:pPr>
      <w:r w:rsidRPr="002E63C1">
        <w:rPr>
          <w:rFonts w:cs="Calibri"/>
        </w:rPr>
        <w:t>Some work has been done, and is continuing, to develop methods for the more complex heater types such as</w:t>
      </w:r>
      <w:r w:rsidR="00643B62">
        <w:rPr>
          <w:rFonts w:cs="Calibri"/>
        </w:rPr>
        <w:t xml:space="preserve"> electric resistance underfloor heating systems (including directly under flooring, in-screed and in-slab)</w:t>
      </w:r>
      <w:r w:rsidRPr="002E63C1">
        <w:rPr>
          <w:rFonts w:cs="Calibri"/>
        </w:rPr>
        <w:t xml:space="preserve"> and hydronic (gas, electric resistance, solar or heat pump) heating systems. This paper focuses on describing a comparison methodology that initially applies to the more common simple heater types.</w:t>
      </w:r>
    </w:p>
    <w:p w14:paraId="1399B76C" w14:textId="77777777" w:rsidR="00B17774" w:rsidRDefault="00B17774" w:rsidP="00B17774">
      <w:pPr>
        <w:rPr>
          <w:rFonts w:cs="Calibri"/>
        </w:rPr>
      </w:pPr>
      <w:r w:rsidRPr="002E63C1">
        <w:rPr>
          <w:rFonts w:cs="Calibri"/>
        </w:rPr>
        <w:t xml:space="preserve">The aim in developing the space heater comparison methodology was to identify methods for calculating the comparative energy performance of different space heaters that use a common set of performance evaluation methods, based on existing space heater test standard and performance data, where possible. </w:t>
      </w:r>
    </w:p>
    <w:p w14:paraId="0B1E6043" w14:textId="5BBE357B" w:rsidR="00B17774" w:rsidRPr="002E63C1" w:rsidRDefault="00B17774" w:rsidP="00B17774">
      <w:pPr>
        <w:rPr>
          <w:rFonts w:cs="Calibri"/>
        </w:rPr>
      </w:pPr>
      <w:r w:rsidRPr="00A94043">
        <w:t>This methodology is based on the GEMS Determination for air conditioners</w:t>
      </w:r>
      <w:r w:rsidR="00280785">
        <w:t xml:space="preserve"> and</w:t>
      </w:r>
      <w:r w:rsidRPr="00A94043">
        <w:t xml:space="preserve"> utilises existing individual space heater test methods to define the key performance characteristics of a heater</w:t>
      </w:r>
      <w:r w:rsidR="00280785">
        <w:t>.</w:t>
      </w:r>
      <w:r w:rsidRPr="00A94043">
        <w:t xml:space="preserve"> </w:t>
      </w:r>
      <w:r w:rsidR="00ED34BE">
        <w:t>T</w:t>
      </w:r>
      <w:r w:rsidR="009D4B5A">
        <w:t xml:space="preserve">he data inputs </w:t>
      </w:r>
      <w:r w:rsidR="005E5FD9">
        <w:t>that are used</w:t>
      </w:r>
      <w:r w:rsidR="009D4B5A">
        <w:t xml:space="preserve"> to </w:t>
      </w:r>
      <w:r w:rsidR="00AA076D">
        <w:t xml:space="preserve">calculate the energy performance of </w:t>
      </w:r>
      <w:r w:rsidR="00EF6A83">
        <w:t xml:space="preserve">the </w:t>
      </w:r>
      <w:r w:rsidR="009B2F12">
        <w:t>various</w:t>
      </w:r>
      <w:r w:rsidR="00AA076D">
        <w:t xml:space="preserve"> heater types</w:t>
      </w:r>
      <w:r w:rsidR="009D4B5A">
        <w:t xml:space="preserve"> </w:t>
      </w:r>
      <w:r w:rsidR="00ED34BE">
        <w:t xml:space="preserve">under the comparison methodology </w:t>
      </w:r>
      <w:r w:rsidR="00BB0E85">
        <w:t>are</w:t>
      </w:r>
      <w:r w:rsidR="009D4B5A">
        <w:t xml:space="preserve"> derived from</w:t>
      </w:r>
      <w:r w:rsidR="003A6D55">
        <w:t>:</w:t>
      </w:r>
      <w:r w:rsidR="009D4B5A">
        <w:t xml:space="preserve"> </w:t>
      </w:r>
      <w:r w:rsidR="000F302C">
        <w:t xml:space="preserve">the </w:t>
      </w:r>
      <w:r w:rsidR="00280785">
        <w:t xml:space="preserve">product test data </w:t>
      </w:r>
      <w:r w:rsidR="003F1F13">
        <w:t xml:space="preserve">generated from heater test standards </w:t>
      </w:r>
      <w:r w:rsidR="00000871">
        <w:t xml:space="preserve">that are </w:t>
      </w:r>
      <w:r w:rsidR="00657DCD">
        <w:t xml:space="preserve">applied </w:t>
      </w:r>
      <w:r w:rsidR="00F308F5">
        <w:t xml:space="preserve">to </w:t>
      </w:r>
      <w:r w:rsidR="002B18AB">
        <w:t xml:space="preserve">the products </w:t>
      </w:r>
      <w:r w:rsidR="00E164B5">
        <w:t>under</w:t>
      </w:r>
      <w:r w:rsidR="00280785">
        <w:t xml:space="preserve"> existing regulations</w:t>
      </w:r>
      <w:r w:rsidR="00ED34BE">
        <w:t>;</w:t>
      </w:r>
      <w:r w:rsidR="00280785">
        <w:t xml:space="preserve"> or default data inputs </w:t>
      </w:r>
      <w:r w:rsidR="00D90977">
        <w:t xml:space="preserve">that indicate </w:t>
      </w:r>
      <w:r w:rsidR="00280785">
        <w:t xml:space="preserve">expected product performance and </w:t>
      </w:r>
      <w:r w:rsidR="00ED4D51">
        <w:t>that</w:t>
      </w:r>
      <w:r w:rsidR="00D90977">
        <w:t xml:space="preserve"> </w:t>
      </w:r>
      <w:r w:rsidR="00280785">
        <w:t xml:space="preserve">were developed in consultation with the Space Heating Equipment Technical Working Group (TWG) who assisted with the development of </w:t>
      </w:r>
      <w:r w:rsidR="00280785" w:rsidRPr="00A94043">
        <w:t>the methodology</w:t>
      </w:r>
      <w:r w:rsidR="00280785">
        <w:t xml:space="preserve">. </w:t>
      </w:r>
      <w:r w:rsidR="00AA076D">
        <w:t>Th</w:t>
      </w:r>
      <w:r w:rsidR="00040373">
        <w:t>e</w:t>
      </w:r>
      <w:r w:rsidR="00AA076D">
        <w:t xml:space="preserve"> </w:t>
      </w:r>
      <w:r w:rsidR="00040373">
        <w:t>comparison</w:t>
      </w:r>
      <w:r w:rsidR="00AA076D">
        <w:t xml:space="preserve"> methodology</w:t>
      </w:r>
      <w:r w:rsidR="00AA076D" w:rsidRPr="00A94043">
        <w:t xml:space="preserve"> </w:t>
      </w:r>
      <w:r w:rsidRPr="00A94043">
        <w:t>enables a common evaluation method to be used to calculate performance metrics</w:t>
      </w:r>
      <w:r>
        <w:t>,</w:t>
      </w:r>
      <w:r w:rsidRPr="00A94043">
        <w:t xml:space="preserve"> so that products can be objectively compared across technology types.</w:t>
      </w:r>
      <w:r w:rsidR="00C9122F">
        <w:t xml:space="preserve"> </w:t>
      </w:r>
    </w:p>
    <w:p w14:paraId="275F9C65" w14:textId="77777777" w:rsidR="00B17774" w:rsidRPr="002E63C1" w:rsidRDefault="00B17774" w:rsidP="00B17774">
      <w:pPr>
        <w:rPr>
          <w:rFonts w:cs="Calibri"/>
        </w:rPr>
      </w:pPr>
      <w:r w:rsidRPr="002E63C1">
        <w:rPr>
          <w:rFonts w:cs="Calibri"/>
        </w:rPr>
        <w:t>The space heating comparison methodology defines energy performance metrics that could be used to communicate key performance features of a range of heater types to consumers</w:t>
      </w:r>
      <w:r>
        <w:rPr>
          <w:rFonts w:cs="Calibri"/>
        </w:rPr>
        <w:t>, including</w:t>
      </w:r>
      <w:r w:rsidRPr="002E63C1">
        <w:rPr>
          <w:rFonts w:cs="Calibri"/>
        </w:rPr>
        <w:t>:</w:t>
      </w:r>
    </w:p>
    <w:p w14:paraId="19FF8F0F" w14:textId="2544AA34" w:rsidR="00B17774" w:rsidRPr="002E63C1" w:rsidRDefault="00B17774" w:rsidP="00D90977">
      <w:pPr>
        <w:pStyle w:val="NoSpacing"/>
        <w:numPr>
          <w:ilvl w:val="0"/>
          <w:numId w:val="17"/>
        </w:numPr>
        <w:rPr>
          <w:rFonts w:cs="Calibri"/>
        </w:rPr>
      </w:pPr>
      <w:r w:rsidRPr="002E63C1">
        <w:rPr>
          <w:rFonts w:cs="Calibri"/>
        </w:rPr>
        <w:t>Capacity (kW)</w:t>
      </w:r>
      <w:r w:rsidR="00A528C9">
        <w:rPr>
          <w:rFonts w:cs="Calibri"/>
        </w:rPr>
        <w:t xml:space="preserve">, or how </w:t>
      </w:r>
      <w:r w:rsidR="009B5151">
        <w:rPr>
          <w:rFonts w:cs="Calibri"/>
        </w:rPr>
        <w:t xml:space="preserve">much heat </w:t>
      </w:r>
      <w:r w:rsidR="00A528C9">
        <w:rPr>
          <w:rFonts w:cs="Calibri"/>
        </w:rPr>
        <w:t>the heater can provide</w:t>
      </w:r>
    </w:p>
    <w:p w14:paraId="7C1FE70C" w14:textId="77777777" w:rsidR="00B17774" w:rsidRPr="002E63C1" w:rsidRDefault="00B17774" w:rsidP="00D90977">
      <w:pPr>
        <w:pStyle w:val="NoSpacing"/>
        <w:numPr>
          <w:ilvl w:val="0"/>
          <w:numId w:val="17"/>
        </w:numPr>
        <w:rPr>
          <w:rFonts w:cs="Calibri"/>
        </w:rPr>
      </w:pPr>
      <w:r w:rsidRPr="002E63C1">
        <w:rPr>
          <w:rFonts w:cs="Calibri"/>
        </w:rPr>
        <w:t>Input Power (kW)</w:t>
      </w:r>
    </w:p>
    <w:p w14:paraId="6EEFA4D4" w14:textId="309274E5" w:rsidR="00B17774" w:rsidRPr="002E63C1" w:rsidRDefault="00B17774" w:rsidP="00D90977">
      <w:pPr>
        <w:pStyle w:val="NoSpacing"/>
        <w:numPr>
          <w:ilvl w:val="0"/>
          <w:numId w:val="17"/>
        </w:numPr>
        <w:rPr>
          <w:rFonts w:cs="Calibri"/>
        </w:rPr>
      </w:pPr>
      <w:r w:rsidRPr="002E63C1">
        <w:rPr>
          <w:rFonts w:cs="Calibri"/>
        </w:rPr>
        <w:t>Annual Energy Use (kWh/y</w:t>
      </w:r>
      <w:r w:rsidR="00240E98">
        <w:rPr>
          <w:rFonts w:cs="Calibri"/>
        </w:rPr>
        <w:t xml:space="preserve">, which can also be converted into </w:t>
      </w:r>
      <w:r w:rsidR="003840F3">
        <w:rPr>
          <w:rFonts w:cs="Calibri"/>
        </w:rPr>
        <w:t>MJ</w:t>
      </w:r>
      <w:r w:rsidR="005C4C2F">
        <w:rPr>
          <w:rFonts w:cs="Calibri"/>
        </w:rPr>
        <w:t>/y</w:t>
      </w:r>
      <w:r w:rsidR="00514142">
        <w:rPr>
          <w:rFonts w:cs="Calibri"/>
        </w:rPr>
        <w:t xml:space="preserve"> for gas appliances</w:t>
      </w:r>
      <w:r w:rsidRPr="002E63C1">
        <w:rPr>
          <w:rFonts w:cs="Calibri"/>
        </w:rPr>
        <w:t>)</w:t>
      </w:r>
    </w:p>
    <w:p w14:paraId="7A934163" w14:textId="77777777" w:rsidR="00B17774" w:rsidRPr="002E63C1" w:rsidRDefault="00B17774" w:rsidP="00D90977">
      <w:pPr>
        <w:pStyle w:val="NoSpacing"/>
        <w:numPr>
          <w:ilvl w:val="0"/>
          <w:numId w:val="17"/>
        </w:numPr>
        <w:rPr>
          <w:rFonts w:cs="Calibri"/>
        </w:rPr>
      </w:pPr>
      <w:r w:rsidRPr="002E63C1">
        <w:rPr>
          <w:rFonts w:cs="Calibri"/>
        </w:rPr>
        <w:t>Heating Performance Factor</w:t>
      </w:r>
    </w:p>
    <w:p w14:paraId="7E407436" w14:textId="77777777" w:rsidR="00B17774" w:rsidRPr="002E63C1" w:rsidRDefault="00B17774" w:rsidP="00B17774">
      <w:pPr>
        <w:pStyle w:val="NoSpacing"/>
        <w:rPr>
          <w:rFonts w:cs="Calibri"/>
        </w:rPr>
      </w:pPr>
    </w:p>
    <w:p w14:paraId="3D2F2243" w14:textId="20159FD8" w:rsidR="00B17774" w:rsidRDefault="00B17774" w:rsidP="7A595668">
      <w:pPr>
        <w:rPr>
          <w:rFonts w:eastAsia="Calibri"/>
        </w:rPr>
      </w:pPr>
      <w:r>
        <w:t xml:space="preserve">DCCEEW will use the information and feedback obtained from public consultation on this paper to refine the comparison methodology. With a suitable comparison methodology identified, DCCEEW can continue to </w:t>
      </w:r>
      <w:r w:rsidR="006A4659">
        <w:t>explore</w:t>
      </w:r>
      <w:r w:rsidR="00E8195C">
        <w:t xml:space="preserve"> options that would support consumers to make</w:t>
      </w:r>
      <w:r w:rsidR="00A05717">
        <w:t xml:space="preserve"> easy </w:t>
      </w:r>
      <w:r w:rsidR="00513ED9">
        <w:t xml:space="preserve">energy performance </w:t>
      </w:r>
      <w:r w:rsidR="00A05717">
        <w:t>comparison</w:t>
      </w:r>
      <w:r w:rsidR="006D4B34">
        <w:t>s</w:t>
      </w:r>
      <w:r w:rsidR="00A05717">
        <w:t xml:space="preserve"> of residential space heaters.</w:t>
      </w:r>
    </w:p>
    <w:p w14:paraId="5ECF5DB7" w14:textId="6D34F3C6" w:rsidR="00B17774" w:rsidRDefault="62A34BF2" w:rsidP="7A595668">
      <w:pPr>
        <w:rPr>
          <w:rFonts w:asciiTheme="minorHAnsi" w:hAnsiTheme="minorHAnsi" w:cstheme="minorBidi"/>
        </w:rPr>
      </w:pPr>
      <w:r>
        <w:t>DCCEEW acknowledges the contributions of EnergyConsult Pty Ltd and the Space Heating Equipment T</w:t>
      </w:r>
      <w:r w:rsidR="5762180C">
        <w:t>WG</w:t>
      </w:r>
      <w:r>
        <w:t xml:space="preserve"> in the development of this comparison methodology and the preparation of this consultation paper. The cost benefit analysis and technical advice were provided by EnergyConsult.</w:t>
      </w:r>
    </w:p>
    <w:p w14:paraId="7287230F" w14:textId="3C4AB66C" w:rsidR="00B17774" w:rsidRDefault="00B17774" w:rsidP="005309AE">
      <w:pPr>
        <w:rPr>
          <w:rFonts w:eastAsia="Calibri"/>
          <w:szCs w:val="22"/>
        </w:rPr>
      </w:pPr>
    </w:p>
    <w:p w14:paraId="5933134D" w14:textId="55312426" w:rsidR="002B09DC" w:rsidRPr="00A94043" w:rsidRDefault="00DA627C" w:rsidP="004F5C1E">
      <w:pPr>
        <w:pStyle w:val="Heading1"/>
      </w:pPr>
      <w:bookmarkStart w:id="8" w:name="_Toc175311895"/>
      <w:r w:rsidRPr="00A94043">
        <w:lastRenderedPageBreak/>
        <w:t>Introduction</w:t>
      </w:r>
      <w:bookmarkEnd w:id="6"/>
      <w:bookmarkEnd w:id="7"/>
      <w:bookmarkEnd w:id="8"/>
    </w:p>
    <w:p w14:paraId="3D9DEB67" w14:textId="77777777" w:rsidR="003D548B" w:rsidRPr="00A94043" w:rsidRDefault="003D548B" w:rsidP="003D548B">
      <w:pPr>
        <w:pStyle w:val="Heading2"/>
      </w:pPr>
      <w:bookmarkStart w:id="9" w:name="_Toc175311896"/>
      <w:r w:rsidRPr="00A94043">
        <w:t>Purpose of this Consultation Document</w:t>
      </w:r>
      <w:bookmarkEnd w:id="9"/>
    </w:p>
    <w:p w14:paraId="6E5C997E" w14:textId="535949AE" w:rsidR="003D548B" w:rsidRPr="00A94043" w:rsidRDefault="003D548B" w:rsidP="003D548B">
      <w:pPr>
        <w:rPr>
          <w:lang w:eastAsia="ja-JP"/>
        </w:rPr>
      </w:pPr>
      <w:r w:rsidRPr="00A94043">
        <w:rPr>
          <w:lang w:eastAsia="ja-JP"/>
        </w:rPr>
        <w:t xml:space="preserve">The purpose of this </w:t>
      </w:r>
      <w:r w:rsidR="004D4217" w:rsidRPr="00A94043">
        <w:rPr>
          <w:lang w:eastAsia="ja-JP"/>
        </w:rPr>
        <w:t xml:space="preserve">consultation </w:t>
      </w:r>
      <w:r w:rsidRPr="00A94043">
        <w:rPr>
          <w:lang w:eastAsia="ja-JP"/>
        </w:rPr>
        <w:t>document is to:</w:t>
      </w:r>
    </w:p>
    <w:p w14:paraId="1E1F3CE4" w14:textId="396A5F0F" w:rsidR="003D548B" w:rsidRPr="00A94043" w:rsidRDefault="002B4405" w:rsidP="00D90977">
      <w:pPr>
        <w:pStyle w:val="ListParagraph"/>
        <w:numPr>
          <w:ilvl w:val="0"/>
          <w:numId w:val="14"/>
        </w:numPr>
        <w:spacing w:after="160" w:line="259" w:lineRule="auto"/>
        <w:rPr>
          <w:lang w:eastAsia="ja-JP"/>
        </w:rPr>
      </w:pPr>
      <w:r>
        <w:rPr>
          <w:lang w:eastAsia="ja-JP"/>
        </w:rPr>
        <w:t>p</w:t>
      </w:r>
      <w:r w:rsidRPr="00A94043">
        <w:rPr>
          <w:lang w:eastAsia="ja-JP"/>
        </w:rPr>
        <w:t xml:space="preserve">rovide </w:t>
      </w:r>
      <w:r w:rsidR="003D548B" w:rsidRPr="00A94043">
        <w:rPr>
          <w:lang w:eastAsia="ja-JP"/>
        </w:rPr>
        <w:t>information on the proposed space heating compar</w:t>
      </w:r>
      <w:r w:rsidR="00793027" w:rsidRPr="00A94043">
        <w:rPr>
          <w:lang w:eastAsia="ja-JP"/>
        </w:rPr>
        <w:t>ison</w:t>
      </w:r>
      <w:r w:rsidR="003D548B" w:rsidRPr="00A94043">
        <w:rPr>
          <w:lang w:eastAsia="ja-JP"/>
        </w:rPr>
        <w:t xml:space="preserve"> methodology</w:t>
      </w:r>
      <w:r w:rsidR="00822203">
        <w:rPr>
          <w:lang w:eastAsia="ja-JP"/>
        </w:rPr>
        <w:t xml:space="preserve"> and</w:t>
      </w:r>
    </w:p>
    <w:p w14:paraId="2F6FC8A7" w14:textId="361C1B88" w:rsidR="003D548B" w:rsidRPr="00A94043" w:rsidRDefault="002B4405" w:rsidP="00D90977">
      <w:pPr>
        <w:pStyle w:val="ListParagraph"/>
        <w:numPr>
          <w:ilvl w:val="0"/>
          <w:numId w:val="14"/>
        </w:numPr>
        <w:spacing w:after="160" w:line="259" w:lineRule="auto"/>
        <w:rPr>
          <w:lang w:eastAsia="ja-JP"/>
        </w:rPr>
      </w:pPr>
      <w:r>
        <w:rPr>
          <w:lang w:eastAsia="ja-JP"/>
        </w:rPr>
        <w:t>p</w:t>
      </w:r>
      <w:r w:rsidRPr="00A94043">
        <w:rPr>
          <w:lang w:eastAsia="ja-JP"/>
        </w:rPr>
        <w:t xml:space="preserve">rovide </w:t>
      </w:r>
      <w:r w:rsidR="003D548B" w:rsidRPr="00A94043">
        <w:rPr>
          <w:lang w:eastAsia="ja-JP"/>
        </w:rPr>
        <w:t>a basis for seeking submissions from industry and other stakeholders on the proposed methodology.</w:t>
      </w:r>
    </w:p>
    <w:p w14:paraId="20966337" w14:textId="1CF3F6C5" w:rsidR="003038CF" w:rsidRPr="00A94043" w:rsidRDefault="0039273D" w:rsidP="00450F50">
      <w:pPr>
        <w:pStyle w:val="Heading2"/>
      </w:pPr>
      <w:bookmarkStart w:id="10" w:name="_Toc175311897"/>
      <w:r w:rsidRPr="00A94043">
        <w:t>Purpose</w:t>
      </w:r>
      <w:r w:rsidR="00D852E2" w:rsidRPr="00A94043">
        <w:t xml:space="preserve"> of the </w:t>
      </w:r>
      <w:r w:rsidR="00D25C4A">
        <w:t>comparison methodology for s</w:t>
      </w:r>
      <w:r w:rsidR="00D852E2" w:rsidRPr="00A94043">
        <w:t xml:space="preserve">pace </w:t>
      </w:r>
      <w:r w:rsidRPr="00A94043">
        <w:t>heat</w:t>
      </w:r>
      <w:r w:rsidR="00D25C4A">
        <w:t>ers</w:t>
      </w:r>
      <w:bookmarkEnd w:id="10"/>
    </w:p>
    <w:p w14:paraId="57073CF8" w14:textId="63E769C8" w:rsidR="003D548B" w:rsidRPr="00A94043" w:rsidRDefault="023FB6FA" w:rsidP="003D548B">
      <w:r>
        <w:t xml:space="preserve">This consultation document outlines a </w:t>
      </w:r>
      <w:r w:rsidR="2F5B26C7">
        <w:t xml:space="preserve">proposed comparison methodology for </w:t>
      </w:r>
      <w:r w:rsidR="00E5649C">
        <w:t xml:space="preserve">residential </w:t>
      </w:r>
      <w:r w:rsidR="71278E10">
        <w:t xml:space="preserve">space heaters. The comparison methodology </w:t>
      </w:r>
      <w:r w:rsidR="57C6EB73">
        <w:t xml:space="preserve">identifies </w:t>
      </w:r>
      <w:r w:rsidR="1BE42A3A">
        <w:t xml:space="preserve">how to </w:t>
      </w:r>
      <w:r w:rsidR="57C6EB73">
        <w:t xml:space="preserve">define and </w:t>
      </w:r>
      <w:r w:rsidR="1BE42A3A">
        <w:t xml:space="preserve">calculate the performance of </w:t>
      </w:r>
      <w:r w:rsidR="57C6EB73">
        <w:t xml:space="preserve">different heater types on </w:t>
      </w:r>
      <w:r w:rsidR="34288EDB">
        <w:t xml:space="preserve">a consistent and fair </w:t>
      </w:r>
      <w:r w:rsidR="2113013D">
        <w:t>basis.</w:t>
      </w:r>
      <w:r w:rsidR="787BFD55">
        <w:t xml:space="preserve"> </w:t>
      </w:r>
      <w:r w:rsidR="55456A49">
        <w:t xml:space="preserve">It is a technical approach for generating energy consumption and efficiency performance information on </w:t>
      </w:r>
      <w:r w:rsidR="2B0B1915">
        <w:t>heaters</w:t>
      </w:r>
      <w:r w:rsidR="55456A49">
        <w:t xml:space="preserve">. </w:t>
      </w:r>
      <w:r w:rsidR="68440DE3">
        <w:t xml:space="preserve">The comparison methodology could underpin the development of accessible information resources </w:t>
      </w:r>
      <w:r w:rsidR="6C79992F">
        <w:t xml:space="preserve">to </w:t>
      </w:r>
      <w:r w:rsidR="68440DE3">
        <w:t>inform consumer</w:t>
      </w:r>
      <w:r w:rsidR="2C456DFC">
        <w:t>s</w:t>
      </w:r>
      <w:r w:rsidR="68440DE3">
        <w:t xml:space="preserve"> </w:t>
      </w:r>
      <w:r w:rsidR="44B2B454">
        <w:t xml:space="preserve">and help them to choose </w:t>
      </w:r>
      <w:r w:rsidR="68440DE3">
        <w:t xml:space="preserve">the most suitable heating systems for </w:t>
      </w:r>
      <w:r w:rsidR="25FC1F1A">
        <w:t xml:space="preserve">their </w:t>
      </w:r>
      <w:r w:rsidR="68440DE3">
        <w:t>needs.</w:t>
      </w:r>
    </w:p>
    <w:p w14:paraId="5B7EAD10" w14:textId="2CEE48CA" w:rsidR="003D548B" w:rsidRPr="00A94043" w:rsidRDefault="00A13C80" w:rsidP="003D548B">
      <w:pPr>
        <w:pStyle w:val="Heading2"/>
      </w:pPr>
      <w:bookmarkStart w:id="11" w:name="_Toc175311898"/>
      <w:r>
        <w:t>Background on the</w:t>
      </w:r>
      <w:r w:rsidR="003D548B" w:rsidRPr="00A94043">
        <w:t xml:space="preserve"> </w:t>
      </w:r>
      <w:r w:rsidR="007425AD">
        <w:t xml:space="preserve">space heating </w:t>
      </w:r>
      <w:r w:rsidR="003D548B" w:rsidRPr="00A94043">
        <w:t>work program</w:t>
      </w:r>
      <w:bookmarkEnd w:id="11"/>
    </w:p>
    <w:p w14:paraId="27909D27" w14:textId="5EF1A4A7" w:rsidR="009049CC" w:rsidRDefault="009049CC" w:rsidP="009049CC">
      <w:r>
        <w:t xml:space="preserve">There is no easy way for consumers to compare the </w:t>
      </w:r>
      <w:r w:rsidR="00166EB4">
        <w:t xml:space="preserve">heat output (or capacity), </w:t>
      </w:r>
      <w:r>
        <w:t xml:space="preserve">energy use, energy efficiency, running cost or greenhouse gas </w:t>
      </w:r>
      <w:r w:rsidR="000D1C9C">
        <w:t>emissions</w:t>
      </w:r>
      <w:r>
        <w:t xml:space="preserve"> of different heater types. Space heating accounts for around </w:t>
      </w:r>
      <w:r w:rsidR="00717A71">
        <w:t xml:space="preserve">a third </w:t>
      </w:r>
      <w:r>
        <w:t>of residential energy use in Australia and New Zealand. Space heating is important for the wellbeing and comfort of households. In colder climates</w:t>
      </w:r>
      <w:r w:rsidR="005F7025">
        <w:t>,</w:t>
      </w:r>
      <w:r>
        <w:t xml:space="preserve"> where the need for heating is greatest, </w:t>
      </w:r>
      <w:r w:rsidR="002F5AA1">
        <w:t xml:space="preserve">the use of space </w:t>
      </w:r>
      <w:r>
        <w:t>heat</w:t>
      </w:r>
      <w:r w:rsidR="002F5AA1">
        <w:t>ers</w:t>
      </w:r>
      <w:r>
        <w:t xml:space="preserve"> is a major driver of household costs. Households with energy efficient space heating have lower energy bills and contribute fewer greenhouse gas emissions.</w:t>
      </w:r>
    </w:p>
    <w:p w14:paraId="7043AD97" w14:textId="074D8E9F" w:rsidR="002D4E99" w:rsidRDefault="6E1EDF22" w:rsidP="000C726C">
      <w:r>
        <w:t>The Department of Climate Change, Energy, the Environment and Water (</w:t>
      </w:r>
      <w:r w:rsidR="7B9384E2">
        <w:t xml:space="preserve">DCCEEW, or </w:t>
      </w:r>
      <w:r w:rsidR="06D4AC9C">
        <w:t>the department</w:t>
      </w:r>
      <w:r>
        <w:t xml:space="preserve">) is </w:t>
      </w:r>
      <w:r w:rsidR="00B27F84">
        <w:t>exploring options that would support</w:t>
      </w:r>
      <w:r w:rsidR="00E702F5">
        <w:t xml:space="preserve"> consumers to make easy </w:t>
      </w:r>
      <w:r w:rsidR="00E4395F">
        <w:t xml:space="preserve">energy performance </w:t>
      </w:r>
      <w:r w:rsidR="00E702F5">
        <w:t>comparisons of residential space heaters</w:t>
      </w:r>
      <w:r w:rsidR="7AAE09C1">
        <w:t>.</w:t>
      </w:r>
      <w:r w:rsidR="4D0CF85C">
        <w:t xml:space="preserve"> </w:t>
      </w:r>
      <w:r w:rsidR="2083F761">
        <w:t xml:space="preserve">The </w:t>
      </w:r>
      <w:r w:rsidR="15B0FAEA">
        <w:t xml:space="preserve">comparison </w:t>
      </w:r>
      <w:r w:rsidR="4D0CF85C">
        <w:t xml:space="preserve">methodology </w:t>
      </w:r>
      <w:r w:rsidR="53FA8CFC">
        <w:t xml:space="preserve">is </w:t>
      </w:r>
      <w:r w:rsidR="768ACE67">
        <w:t xml:space="preserve">a </w:t>
      </w:r>
      <w:r w:rsidR="4FEAFA9F">
        <w:t xml:space="preserve">technical </w:t>
      </w:r>
      <w:r w:rsidR="10DA7ABC">
        <w:t xml:space="preserve">foundation </w:t>
      </w:r>
      <w:r w:rsidR="24BD512A">
        <w:t>from</w:t>
      </w:r>
      <w:r w:rsidR="53FA8CFC">
        <w:t xml:space="preserve"> which </w:t>
      </w:r>
      <w:r w:rsidR="001A76DF">
        <w:t xml:space="preserve">the energy performance of </w:t>
      </w:r>
      <w:r w:rsidR="007B1505">
        <w:t xml:space="preserve">different </w:t>
      </w:r>
      <w:r w:rsidR="34F61470">
        <w:t>space heater</w:t>
      </w:r>
      <w:r w:rsidR="001A76DF">
        <w:t>s can be compared</w:t>
      </w:r>
      <w:r w:rsidR="4A6D2282">
        <w:t>.</w:t>
      </w:r>
    </w:p>
    <w:p w14:paraId="2523532A" w14:textId="5E7AF83A" w:rsidR="000C726C" w:rsidRPr="00A94043" w:rsidRDefault="000C726C" w:rsidP="000C726C">
      <w:r>
        <w:t xml:space="preserve">This work is being delivered through </w:t>
      </w:r>
      <w:r w:rsidR="00432009" w:rsidRPr="00A94043">
        <w:t>the Equipment Energy Efficiency (E3) Program</w:t>
      </w:r>
      <w:r w:rsidR="00432009">
        <w:t>. The</w:t>
      </w:r>
      <w:r w:rsidR="00432009" w:rsidRPr="00A94043">
        <w:t xml:space="preserve"> </w:t>
      </w:r>
      <w:r w:rsidRPr="00A94043">
        <w:t xml:space="preserve">E3 Program is a cross jurisdictional program through which the Australian Government, states and territories and the New Zealand Government collaborate to deliver a single, integrated program on energy efficiency standards and energy labelling for equipment and appliances. The E3 Program undertakes a range of activities to improve the energy efficiency of appliances and equipment sold in Australia and New Zealand. These include energy rating labelling, setting </w:t>
      </w:r>
      <w:r w:rsidR="001A5E93">
        <w:t>minimum energy performance standards (</w:t>
      </w:r>
      <w:r w:rsidRPr="00A94043">
        <w:t>MEPS</w:t>
      </w:r>
      <w:r w:rsidR="001A5E93">
        <w:t>),</w:t>
      </w:r>
      <w:r w:rsidRPr="00A94043">
        <w:t xml:space="preserve"> </w:t>
      </w:r>
      <w:r w:rsidR="00100462">
        <w:t xml:space="preserve">and </w:t>
      </w:r>
      <w:r w:rsidR="00F22978" w:rsidRPr="00567E20">
        <w:t xml:space="preserve">providing </w:t>
      </w:r>
      <w:r w:rsidR="00676733" w:rsidRPr="00567E20">
        <w:t xml:space="preserve">public </w:t>
      </w:r>
      <w:r w:rsidR="005B1417" w:rsidRPr="00567E20">
        <w:t>information</w:t>
      </w:r>
      <w:r w:rsidRPr="00A94043">
        <w:t>.</w:t>
      </w:r>
    </w:p>
    <w:p w14:paraId="2FECA58C" w14:textId="4C54BCA9" w:rsidR="00D26F54" w:rsidRPr="00A94043" w:rsidRDefault="00D26F54" w:rsidP="000C726C">
      <w:r w:rsidRPr="00884038">
        <w:rPr>
          <w:rFonts w:cs="Calibri"/>
        </w:rPr>
        <w:t>The </w:t>
      </w:r>
      <w:hyperlink r:id="rId33" w:history="1">
        <w:r w:rsidRPr="00884038">
          <w:rPr>
            <w:rFonts w:cs="Calibri"/>
          </w:rPr>
          <w:t>Greenhouse and Energy Minimum Standards Act 2012</w:t>
        </w:r>
      </w:hyperlink>
      <w:r w:rsidRPr="00884038">
        <w:rPr>
          <w:rFonts w:cs="Calibri"/>
        </w:rPr>
        <w:t xml:space="preserve"> (GEMS Act) is the underpinning legislation for the E3 Program in Australia. Its </w:t>
      </w:r>
      <w:r w:rsidRPr="007E0563">
        <w:rPr>
          <w:rFonts w:cs="Calibri"/>
        </w:rPr>
        <w:t xml:space="preserve">objectives include promoting the development and adoption of products that use less energy or produce fewer greenhouse gases. In New Zealand, the </w:t>
      </w:r>
      <w:hyperlink r:id="rId34" w:history="1">
        <w:r w:rsidRPr="00884038">
          <w:rPr>
            <w:rFonts w:cs="Calibri"/>
          </w:rPr>
          <w:t>Energy Efficiency (Energy Using Products) Regulations 2002</w:t>
        </w:r>
      </w:hyperlink>
      <w:r w:rsidRPr="00884038">
        <w:rPr>
          <w:rFonts w:cs="Calibri"/>
        </w:rPr>
        <w:t> </w:t>
      </w:r>
      <w:r w:rsidRPr="007E0563">
        <w:rPr>
          <w:rFonts w:cs="Calibri"/>
        </w:rPr>
        <w:t>(EUP</w:t>
      </w:r>
      <w:r w:rsidR="00621FA0">
        <w:rPr>
          <w:rFonts w:cs="Calibri"/>
        </w:rPr>
        <w:t xml:space="preserve"> Regulation</w:t>
      </w:r>
      <w:r w:rsidRPr="007E0563">
        <w:rPr>
          <w:rFonts w:cs="Calibri"/>
        </w:rPr>
        <w:t xml:space="preserve">s) </w:t>
      </w:r>
      <w:r>
        <w:rPr>
          <w:rFonts w:cs="Calibri"/>
        </w:rPr>
        <w:t>underpin the E3 Program.</w:t>
      </w:r>
    </w:p>
    <w:p w14:paraId="7512F750" w14:textId="6113EA16" w:rsidR="004A314F" w:rsidRPr="00A94043" w:rsidRDefault="000E128A" w:rsidP="004A314F">
      <w:r w:rsidRPr="00A94043">
        <w:lastRenderedPageBreak/>
        <w:t>Th</w:t>
      </w:r>
      <w:r w:rsidR="006B10F6">
        <w:t>e residential</w:t>
      </w:r>
      <w:r w:rsidRPr="00A94043">
        <w:t xml:space="preserve"> space </w:t>
      </w:r>
      <w:r w:rsidR="00C233EB" w:rsidRPr="00A94043">
        <w:t>heating</w:t>
      </w:r>
      <w:r w:rsidRPr="00A94043">
        <w:t xml:space="preserve"> </w:t>
      </w:r>
      <w:r w:rsidR="00C233EB" w:rsidRPr="00A94043">
        <w:t>work</w:t>
      </w:r>
      <w:r w:rsidRPr="00A94043">
        <w:t xml:space="preserve"> program </w:t>
      </w:r>
      <w:r w:rsidR="004775F9">
        <w:t xml:space="preserve">commenced </w:t>
      </w:r>
      <w:r w:rsidRPr="00A94043">
        <w:t xml:space="preserve">in </w:t>
      </w:r>
      <w:r w:rsidR="00AC584E">
        <w:t>20</w:t>
      </w:r>
      <w:r w:rsidR="0058400B">
        <w:t>19</w:t>
      </w:r>
      <w:r w:rsidR="00083CF9">
        <w:t xml:space="preserve">. </w:t>
      </w:r>
      <w:r w:rsidR="001F3250">
        <w:t>Initially, t</w:t>
      </w:r>
      <w:r w:rsidR="00985533" w:rsidRPr="00A94043">
        <w:t>he work</w:t>
      </w:r>
      <w:r w:rsidRPr="00A94043">
        <w:t xml:space="preserve"> was </w:t>
      </w:r>
      <w:r w:rsidR="002307C9">
        <w:t>jointly managed by the department (then the Department of Industry, Science, Energy and Resources)</w:t>
      </w:r>
      <w:r w:rsidR="00933C40">
        <w:t>,</w:t>
      </w:r>
      <w:r w:rsidR="002307C9">
        <w:t xml:space="preserve"> and </w:t>
      </w:r>
      <w:r w:rsidRPr="00A94043">
        <w:t xml:space="preserve">the </w:t>
      </w:r>
      <w:r w:rsidR="00F75F45">
        <w:t xml:space="preserve">New South Wales </w:t>
      </w:r>
      <w:r w:rsidR="00AA4F90" w:rsidRPr="000003B8">
        <w:t>Department of Climate Change, Energy, the Environment and Water</w:t>
      </w:r>
      <w:r w:rsidR="00AA4F90">
        <w:t xml:space="preserve"> </w:t>
      </w:r>
      <w:r w:rsidR="00F75F45">
        <w:t>(</w:t>
      </w:r>
      <w:r w:rsidR="002307C9">
        <w:t xml:space="preserve">then </w:t>
      </w:r>
      <w:r w:rsidR="008D3FEE">
        <w:t xml:space="preserve">the </w:t>
      </w:r>
      <w:r w:rsidRPr="00A94043">
        <w:t>Department of Planning</w:t>
      </w:r>
      <w:r w:rsidR="008D1856" w:rsidRPr="00A94043">
        <w:t>, Industry a</w:t>
      </w:r>
      <w:r w:rsidRPr="00A94043">
        <w:t>nd Environment</w:t>
      </w:r>
      <w:r w:rsidR="00F75F45">
        <w:t xml:space="preserve">, or </w:t>
      </w:r>
      <w:r w:rsidR="008D1856" w:rsidRPr="00A94043">
        <w:t>DPIE)</w:t>
      </w:r>
      <w:r w:rsidR="00C233EB" w:rsidRPr="00A94043">
        <w:t>.</w:t>
      </w:r>
      <w:r w:rsidR="006B10F6">
        <w:t xml:space="preserve"> </w:t>
      </w:r>
      <w:r w:rsidR="002B4AF4">
        <w:t xml:space="preserve">NSW DPIE concluded </w:t>
      </w:r>
      <w:r w:rsidR="00987AE5">
        <w:t>involvement in the project in June 2022</w:t>
      </w:r>
      <w:r w:rsidR="00CA329B">
        <w:t xml:space="preserve">. </w:t>
      </w:r>
      <w:r w:rsidR="008D1856" w:rsidRPr="00A94043">
        <w:t xml:space="preserve">DCCEEW </w:t>
      </w:r>
      <w:r w:rsidR="00DB2EFC">
        <w:t>continue</w:t>
      </w:r>
      <w:r w:rsidR="00A80173">
        <w:t>s</w:t>
      </w:r>
      <w:r w:rsidR="00DB2EFC">
        <w:t xml:space="preserve"> to </w:t>
      </w:r>
      <w:r w:rsidR="00985533" w:rsidRPr="00A94043">
        <w:t xml:space="preserve">lead the </w:t>
      </w:r>
      <w:r w:rsidR="00DB2EFC">
        <w:t xml:space="preserve">work program. </w:t>
      </w:r>
      <w:r w:rsidR="004A314F" w:rsidRPr="00A94043">
        <w:t xml:space="preserve">EnergyConsult Pty Ltd </w:t>
      </w:r>
      <w:r w:rsidR="003F33EC">
        <w:t>has</w:t>
      </w:r>
      <w:r w:rsidR="004A314F" w:rsidRPr="00A94043">
        <w:t xml:space="preserve"> </w:t>
      </w:r>
      <w:r w:rsidR="004A314F">
        <w:t>undertake</w:t>
      </w:r>
      <w:r w:rsidR="003F33EC">
        <w:t>n</w:t>
      </w:r>
      <w:r w:rsidR="004A314F">
        <w:t xml:space="preserve"> the</w:t>
      </w:r>
      <w:r w:rsidR="004A314F" w:rsidRPr="00A94043">
        <w:t xml:space="preserve"> technical </w:t>
      </w:r>
      <w:r w:rsidR="004A314F">
        <w:t xml:space="preserve">analysis for </w:t>
      </w:r>
      <w:r w:rsidR="004A314F" w:rsidRPr="00A94043">
        <w:t>this work program</w:t>
      </w:r>
      <w:r w:rsidR="004A314F">
        <w:t>.</w:t>
      </w:r>
    </w:p>
    <w:p w14:paraId="26B88BCE" w14:textId="3832F93E" w:rsidR="003D548B" w:rsidRPr="00A94043" w:rsidRDefault="003D548B" w:rsidP="000E128A">
      <w:pPr>
        <w:pStyle w:val="Heading2"/>
      </w:pPr>
      <w:bookmarkStart w:id="12" w:name="_Toc175311899"/>
      <w:r w:rsidRPr="00A94043">
        <w:t>Scope of heaters considered: simple</w:t>
      </w:r>
      <w:r w:rsidR="00F9351C" w:rsidRPr="00A94043">
        <w:t xml:space="preserve"> heaters</w:t>
      </w:r>
      <w:r w:rsidRPr="00A94043">
        <w:t xml:space="preserve"> and complex heaters</w:t>
      </w:r>
      <w:bookmarkEnd w:id="12"/>
    </w:p>
    <w:p w14:paraId="0CB394FF" w14:textId="5B564213" w:rsidR="00075984" w:rsidRPr="00A94043" w:rsidRDefault="00075984" w:rsidP="00075984">
      <w:r w:rsidRPr="00A94043">
        <w:t xml:space="preserve">The space heating work program encompasses all </w:t>
      </w:r>
      <w:r w:rsidR="00C26607">
        <w:t xml:space="preserve">common </w:t>
      </w:r>
      <w:r w:rsidRPr="00A94043">
        <w:t>residential heating types used in homes in Australia and New Zealand.</w:t>
      </w:r>
    </w:p>
    <w:p w14:paraId="113A8DA2" w14:textId="4C50B9A5" w:rsidR="00223A59" w:rsidRPr="00A94043" w:rsidRDefault="00223A59" w:rsidP="00223A59">
      <w:r w:rsidRPr="00A94043">
        <w:t xml:space="preserve">Work on the </w:t>
      </w:r>
      <w:r w:rsidR="00EE1CA3">
        <w:t xml:space="preserve">comparison </w:t>
      </w:r>
      <w:r w:rsidR="003F4588">
        <w:t>methodology</w:t>
      </w:r>
      <w:r w:rsidR="00EE1CA3" w:rsidRPr="00A94043">
        <w:t xml:space="preserve"> </w:t>
      </w:r>
      <w:r w:rsidRPr="00A94043">
        <w:t>to date has focus</w:t>
      </w:r>
      <w:r w:rsidR="006E04CF">
        <w:t>s</w:t>
      </w:r>
      <w:r w:rsidRPr="00A94043">
        <w:t xml:space="preserve">ed on what have been described as simple heaters.  </w:t>
      </w:r>
      <w:r w:rsidR="00F9351C" w:rsidRPr="00A94043">
        <w:t xml:space="preserve">These </w:t>
      </w:r>
      <w:r w:rsidRPr="00A94043">
        <w:t>include:</w:t>
      </w:r>
    </w:p>
    <w:p w14:paraId="0E582DB6" w14:textId="45515111" w:rsidR="00223A59" w:rsidRPr="00A94043" w:rsidRDefault="008A2156" w:rsidP="00D90977">
      <w:pPr>
        <w:pStyle w:val="ListParagraph"/>
        <w:numPr>
          <w:ilvl w:val="0"/>
          <w:numId w:val="15"/>
        </w:numPr>
      </w:pPr>
      <w:r>
        <w:t>r</w:t>
      </w:r>
      <w:r w:rsidR="00223A59" w:rsidRPr="00A94043">
        <w:t>everse cycle air conditioners (heat pumps)</w:t>
      </w:r>
    </w:p>
    <w:p w14:paraId="67DE58E3" w14:textId="7826239C" w:rsidR="00223A59" w:rsidRPr="00A94043" w:rsidRDefault="008A2156" w:rsidP="00D90977">
      <w:pPr>
        <w:pStyle w:val="ListParagraph"/>
        <w:numPr>
          <w:ilvl w:val="0"/>
          <w:numId w:val="15"/>
        </w:numPr>
      </w:pPr>
      <w:r>
        <w:t>g</w:t>
      </w:r>
      <w:r w:rsidR="00223A59" w:rsidRPr="00A94043">
        <w:t>as space heaters</w:t>
      </w:r>
    </w:p>
    <w:p w14:paraId="5804D807" w14:textId="0E7DFD36" w:rsidR="00223A59" w:rsidRPr="00A94043" w:rsidRDefault="008A2156" w:rsidP="00D90977">
      <w:pPr>
        <w:pStyle w:val="ListParagraph"/>
        <w:numPr>
          <w:ilvl w:val="0"/>
          <w:numId w:val="15"/>
        </w:numPr>
      </w:pPr>
      <w:r>
        <w:t>e</w:t>
      </w:r>
      <w:r w:rsidR="00223A59" w:rsidRPr="00A94043">
        <w:t>lectric resistance heaters</w:t>
      </w:r>
    </w:p>
    <w:p w14:paraId="4CE05D08" w14:textId="10F2553F" w:rsidR="00223A59" w:rsidRPr="00A94043" w:rsidRDefault="008A2156" w:rsidP="00D90977">
      <w:pPr>
        <w:pStyle w:val="ListParagraph"/>
        <w:numPr>
          <w:ilvl w:val="0"/>
          <w:numId w:val="15"/>
        </w:numPr>
      </w:pPr>
      <w:r>
        <w:t>g</w:t>
      </w:r>
      <w:r w:rsidR="00223A59" w:rsidRPr="00A94043">
        <w:t>as decorative appliances</w:t>
      </w:r>
      <w:r w:rsidR="00842C87" w:rsidRPr="00A94043">
        <w:rPr>
          <w:rStyle w:val="FootnoteReference"/>
        </w:rPr>
        <w:footnoteReference w:id="2"/>
      </w:r>
    </w:p>
    <w:p w14:paraId="565DE99A" w14:textId="46AD62CF" w:rsidR="00223A59" w:rsidRPr="00A94043" w:rsidRDefault="008A2156" w:rsidP="00D90977">
      <w:pPr>
        <w:pStyle w:val="ListParagraph"/>
        <w:numPr>
          <w:ilvl w:val="0"/>
          <w:numId w:val="15"/>
        </w:numPr>
      </w:pPr>
      <w:r>
        <w:t>s</w:t>
      </w:r>
      <w:r w:rsidR="00223A59" w:rsidRPr="00A94043">
        <w:t>olid fuel combustion heaters</w:t>
      </w:r>
    </w:p>
    <w:p w14:paraId="09142906" w14:textId="2C326356" w:rsidR="00F9351C" w:rsidRPr="00A94043" w:rsidRDefault="008A2156" w:rsidP="00D90977">
      <w:pPr>
        <w:pStyle w:val="ListParagraph"/>
        <w:numPr>
          <w:ilvl w:val="0"/>
          <w:numId w:val="15"/>
        </w:numPr>
      </w:pPr>
      <w:r>
        <w:t>d</w:t>
      </w:r>
      <w:r w:rsidR="00F9351C" w:rsidRPr="00A94043">
        <w:t>ucted gas heaters</w:t>
      </w:r>
    </w:p>
    <w:p w14:paraId="065284F8" w14:textId="67C45810" w:rsidR="00F9351C" w:rsidRPr="00A94043" w:rsidRDefault="008A2156" w:rsidP="00D90977">
      <w:pPr>
        <w:pStyle w:val="ListParagraph"/>
        <w:numPr>
          <w:ilvl w:val="0"/>
          <w:numId w:val="15"/>
        </w:numPr>
      </w:pPr>
      <w:r>
        <w:t>d</w:t>
      </w:r>
      <w:r w:rsidR="00F9351C" w:rsidRPr="00A94043">
        <w:t>ucted reverse cycle air conditioners (heat pumps)</w:t>
      </w:r>
      <w:r>
        <w:t>.</w:t>
      </w:r>
    </w:p>
    <w:p w14:paraId="5F82C2EF" w14:textId="00F9904A" w:rsidR="008D1856" w:rsidRPr="00A94043" w:rsidRDefault="008D1856" w:rsidP="008D1856">
      <w:r w:rsidRPr="00A94043">
        <w:t xml:space="preserve">Proposed methods have been developed for </w:t>
      </w:r>
      <w:r w:rsidR="0001564A" w:rsidRPr="00A94043">
        <w:t>all</w:t>
      </w:r>
      <w:r w:rsidRPr="00A94043">
        <w:t xml:space="preserve"> these heater types </w:t>
      </w:r>
      <w:r w:rsidR="009A70F6">
        <w:t xml:space="preserve">as noted in the list of </w:t>
      </w:r>
      <w:r w:rsidR="0001564A">
        <w:t>papers on page </w:t>
      </w:r>
      <w:r w:rsidR="00CC1C34">
        <w:fldChar w:fldCharType="begin"/>
      </w:r>
      <w:r w:rsidR="00CC1C34">
        <w:instrText xml:space="preserve"> PAGEREF _Ref163380945 \h </w:instrText>
      </w:r>
      <w:r w:rsidR="00CC1C34">
        <w:fldChar w:fldCharType="separate"/>
      </w:r>
      <w:r w:rsidR="007068DD">
        <w:rPr>
          <w:noProof/>
        </w:rPr>
        <w:t>5</w:t>
      </w:r>
      <w:r w:rsidR="00CC1C34">
        <w:fldChar w:fldCharType="end"/>
      </w:r>
      <w:r w:rsidR="0001564A">
        <w:t>.</w:t>
      </w:r>
    </w:p>
    <w:p w14:paraId="6BD78FC9" w14:textId="1B6EE73D" w:rsidR="00223A59" w:rsidRPr="00A94043" w:rsidRDefault="008D1856" w:rsidP="008D1856">
      <w:r w:rsidRPr="00A94043">
        <w:t>Some work has been done</w:t>
      </w:r>
      <w:r w:rsidR="0006323D" w:rsidRPr="00A94043">
        <w:t xml:space="preserve">, and </w:t>
      </w:r>
      <w:r w:rsidRPr="00A94043">
        <w:t>is continuing</w:t>
      </w:r>
      <w:r w:rsidR="0006323D" w:rsidRPr="00A94043">
        <w:t>,</w:t>
      </w:r>
      <w:r w:rsidRPr="00A94043">
        <w:t xml:space="preserve"> </w:t>
      </w:r>
      <w:r w:rsidR="00DC560F">
        <w:t xml:space="preserve">to develop </w:t>
      </w:r>
      <w:r w:rsidR="000C140A">
        <w:t>methods for the</w:t>
      </w:r>
      <w:r w:rsidR="000C140A" w:rsidRPr="00A94043">
        <w:t xml:space="preserve"> </w:t>
      </w:r>
      <w:r w:rsidRPr="00A94043">
        <w:t xml:space="preserve">more complex heater types such as </w:t>
      </w:r>
      <w:r w:rsidR="00747902">
        <w:rPr>
          <w:rFonts w:cs="Calibri"/>
        </w:rPr>
        <w:t>electric resistance underfloor heating systems (including directly under flooring, in-screed and in-slab)</w:t>
      </w:r>
      <w:r w:rsidRPr="00A94043">
        <w:t xml:space="preserve"> and hydronic </w:t>
      </w:r>
      <w:r w:rsidR="00A94043" w:rsidRPr="00A94043">
        <w:t>(gas, electric</w:t>
      </w:r>
      <w:r w:rsidR="004F1D54">
        <w:t xml:space="preserve"> </w:t>
      </w:r>
      <w:r w:rsidR="00A94043" w:rsidRPr="00A94043">
        <w:t>resistance, solar or heat</w:t>
      </w:r>
      <w:r w:rsidR="004F1D54">
        <w:t xml:space="preserve"> </w:t>
      </w:r>
      <w:r w:rsidR="00A94043" w:rsidRPr="00A94043">
        <w:t>pump)</w:t>
      </w:r>
      <w:r w:rsidR="00A94043">
        <w:t xml:space="preserve"> </w:t>
      </w:r>
      <w:r w:rsidRPr="00A94043">
        <w:t>heating systems</w:t>
      </w:r>
      <w:r w:rsidR="00073EEC">
        <w:t xml:space="preserve">. This paper </w:t>
      </w:r>
      <w:r w:rsidRPr="00A94043">
        <w:t>focus</w:t>
      </w:r>
      <w:r w:rsidR="00073EEC">
        <w:t>es on describing</w:t>
      </w:r>
      <w:r w:rsidRPr="00A94043">
        <w:t xml:space="preserve"> a comparison methodology </w:t>
      </w:r>
      <w:r w:rsidR="000A32DD">
        <w:t xml:space="preserve">that </w:t>
      </w:r>
      <w:r w:rsidR="00FE7CC9">
        <w:t>initially applies to</w:t>
      </w:r>
      <w:r w:rsidR="000A32DD">
        <w:t xml:space="preserve"> </w:t>
      </w:r>
      <w:r w:rsidRPr="00A94043">
        <w:t>the more common simple heater types.</w:t>
      </w:r>
    </w:p>
    <w:p w14:paraId="34650DF5" w14:textId="0C49C0B6" w:rsidR="00223A59" w:rsidRPr="00A94043" w:rsidRDefault="00223A59" w:rsidP="00D852E2">
      <w:pPr>
        <w:pStyle w:val="Heading2"/>
      </w:pPr>
      <w:bookmarkStart w:id="13" w:name="_Toc175311900"/>
      <w:r w:rsidRPr="00A94043">
        <w:t>Basis of the compar</w:t>
      </w:r>
      <w:r w:rsidR="00793027" w:rsidRPr="00A94043">
        <w:t>ison</w:t>
      </w:r>
      <w:r w:rsidRPr="00A94043">
        <w:t xml:space="preserve"> methodology</w:t>
      </w:r>
      <w:bookmarkEnd w:id="13"/>
    </w:p>
    <w:p w14:paraId="2AD77190" w14:textId="48C37C4F" w:rsidR="00793027" w:rsidRPr="00A94043" w:rsidRDefault="00AB726A" w:rsidP="00793027">
      <w:r>
        <w:t>The work program uses established space heater</w:t>
      </w:r>
      <w:r w:rsidRPr="0011012C">
        <w:t xml:space="preserve"> </w:t>
      </w:r>
      <w:r>
        <w:t>standards and technical frameworks including existing Australian/</w:t>
      </w:r>
      <w:r w:rsidRPr="00D63961">
        <w:t xml:space="preserve">New Zealand </w:t>
      </w:r>
      <w:r>
        <w:t xml:space="preserve">product </w:t>
      </w:r>
      <w:r w:rsidRPr="00D63961">
        <w:t>Standards</w:t>
      </w:r>
      <w:r>
        <w:t xml:space="preserve"> (AS/NZ Standards). </w:t>
      </w:r>
      <w:r w:rsidR="00793027" w:rsidRPr="00A94043">
        <w:t xml:space="preserve">The </w:t>
      </w:r>
      <w:r w:rsidR="00793027" w:rsidRPr="00A94043">
        <w:rPr>
          <w:i/>
          <w:iCs/>
        </w:rPr>
        <w:t>Preliminary Technical Options Discussion Paper</w:t>
      </w:r>
      <w:r w:rsidR="00793027" w:rsidRPr="00A94043">
        <w:t xml:space="preserve"> identified that the Air Conditioner Comparison Methodology (ACCM), consisting of the GEMS Determination for air conditioners (</w:t>
      </w:r>
      <w:r w:rsidR="00793027" w:rsidRPr="00770FC1">
        <w:t>Greenhouse and Energy Minimum Standards (Air Conditioners up to 65kW) Determination 2019</w:t>
      </w:r>
      <w:r w:rsidR="00793027" w:rsidRPr="001B2C4C">
        <w:t>)</w:t>
      </w:r>
      <w:r w:rsidR="00742DB4">
        <w:t xml:space="preserve"> in Australia</w:t>
      </w:r>
      <w:r w:rsidR="00793027" w:rsidRPr="00A94043">
        <w:t xml:space="preserve"> </w:t>
      </w:r>
      <w:r w:rsidR="00742DB4">
        <w:t xml:space="preserve">or </w:t>
      </w:r>
      <w:r w:rsidR="000749C7">
        <w:t xml:space="preserve">EUP Regulations </w:t>
      </w:r>
      <w:r w:rsidR="00A8016D">
        <w:t xml:space="preserve">in New Zealand </w:t>
      </w:r>
      <w:r w:rsidR="00793027" w:rsidRPr="00A94043">
        <w:t>combined with AS/NZS 3823.4.2</w:t>
      </w:r>
      <w:r w:rsidR="00793027" w:rsidRPr="00A94043">
        <w:rPr>
          <w:rStyle w:val="FootnoteReference"/>
        </w:rPr>
        <w:footnoteReference w:id="3"/>
      </w:r>
      <w:r w:rsidR="00793027" w:rsidRPr="00A94043">
        <w:t xml:space="preserve">, could provide a suitable methodology for calculating comparative energy consumption and energy efficiency for </w:t>
      </w:r>
      <w:r w:rsidR="0006323D" w:rsidRPr="00A94043">
        <w:t xml:space="preserve">simple </w:t>
      </w:r>
      <w:r w:rsidR="00793027" w:rsidRPr="00A94043">
        <w:t>space heating technology types.</w:t>
      </w:r>
      <w:r w:rsidR="00132AF4">
        <w:t xml:space="preserve"> </w:t>
      </w:r>
      <w:r w:rsidR="00793027" w:rsidRPr="00A94043">
        <w:t xml:space="preserve">The ACCM provides a methodology that could be used to define the tasks, conditions, and metrics to be used to assess and compare the performance of space heaters. For each space heating technology, the technical characteristics of the space heaters have been considered and the methodology has been modified or adapted so that it remains relevant to the </w:t>
      </w:r>
      <w:r w:rsidR="00793027" w:rsidRPr="00A94043">
        <w:lastRenderedPageBreak/>
        <w:t>technology, aligns with the existing heater test standards, and uses available data on space heater performance.</w:t>
      </w:r>
    </w:p>
    <w:p w14:paraId="65C732D4" w14:textId="716732C5" w:rsidR="00D852E2" w:rsidRPr="00A94043" w:rsidRDefault="00D852E2" w:rsidP="00D852E2">
      <w:pPr>
        <w:pStyle w:val="Heading2"/>
      </w:pPr>
      <w:bookmarkStart w:id="14" w:name="_Ref163380945"/>
      <w:bookmarkStart w:id="15" w:name="_Toc175311901"/>
      <w:r w:rsidRPr="00A94043">
        <w:t xml:space="preserve">Space </w:t>
      </w:r>
      <w:r w:rsidR="005F2204">
        <w:t>H</w:t>
      </w:r>
      <w:r w:rsidR="0039273D" w:rsidRPr="00A94043">
        <w:t>eating</w:t>
      </w:r>
      <w:r w:rsidRPr="00A94043">
        <w:t xml:space="preserve"> </w:t>
      </w:r>
      <w:r w:rsidR="005F2204">
        <w:t>E</w:t>
      </w:r>
      <w:r w:rsidRPr="00A94043">
        <w:t xml:space="preserve">quipment </w:t>
      </w:r>
      <w:r w:rsidR="0039273D" w:rsidRPr="00A94043">
        <w:t>Technical</w:t>
      </w:r>
      <w:r w:rsidRPr="00A94043">
        <w:t xml:space="preserve"> Working Group</w:t>
      </w:r>
      <w:bookmarkEnd w:id="14"/>
      <w:bookmarkEnd w:id="15"/>
      <w:r w:rsidRPr="00A94043">
        <w:t xml:space="preserve"> </w:t>
      </w:r>
    </w:p>
    <w:p w14:paraId="6E625175" w14:textId="6706C195" w:rsidR="00D852E2" w:rsidRPr="00A94043" w:rsidRDefault="00040236" w:rsidP="00D852E2">
      <w:r>
        <w:t>The</w:t>
      </w:r>
      <w:r w:rsidRPr="00A94043">
        <w:t xml:space="preserve"> </w:t>
      </w:r>
      <w:r w:rsidR="4B238ED8" w:rsidRPr="00A94043">
        <w:t xml:space="preserve">Space </w:t>
      </w:r>
      <w:r w:rsidR="00D477E4">
        <w:t>H</w:t>
      </w:r>
      <w:r w:rsidR="00D477E4" w:rsidRPr="00A94043">
        <w:t xml:space="preserve">eating </w:t>
      </w:r>
      <w:r w:rsidR="00D477E4">
        <w:t>E</w:t>
      </w:r>
      <w:r w:rsidR="00D477E4" w:rsidRPr="00A94043">
        <w:t xml:space="preserve">quipment </w:t>
      </w:r>
      <w:r w:rsidR="6E63DFC6" w:rsidRPr="00A94043">
        <w:t>Technical</w:t>
      </w:r>
      <w:r w:rsidR="4B238ED8" w:rsidRPr="00A94043">
        <w:t xml:space="preserve"> Working Group (TWG) was formed in </w:t>
      </w:r>
      <w:r w:rsidR="4E4BB280" w:rsidRPr="00A94043">
        <w:t>2021</w:t>
      </w:r>
      <w:r w:rsidR="4B238ED8" w:rsidRPr="00A94043">
        <w:t xml:space="preserve"> </w:t>
      </w:r>
      <w:r w:rsidR="000C48FA">
        <w:t xml:space="preserve">to </w:t>
      </w:r>
      <w:r w:rsidR="00295A41">
        <w:t xml:space="preserve">assist </w:t>
      </w:r>
      <w:r w:rsidR="000E59CA">
        <w:t xml:space="preserve">with </w:t>
      </w:r>
      <w:r w:rsidR="00295A41">
        <w:t xml:space="preserve">the development of </w:t>
      </w:r>
      <w:r w:rsidR="4B238ED8" w:rsidRPr="00A94043">
        <w:t xml:space="preserve">the individual heater methods and the </w:t>
      </w:r>
      <w:r w:rsidR="6E63DFC6" w:rsidRPr="00A94043">
        <w:t>comparison</w:t>
      </w:r>
      <w:r w:rsidR="4B238ED8" w:rsidRPr="00A94043">
        <w:t xml:space="preserve"> </w:t>
      </w:r>
      <w:r w:rsidR="6E63DFC6" w:rsidRPr="00A94043">
        <w:t>methodology</w:t>
      </w:r>
      <w:r w:rsidR="4B238ED8" w:rsidRPr="00A94043">
        <w:t>.  It comprise</w:t>
      </w:r>
      <w:r w:rsidR="000E59CA">
        <w:t>d</w:t>
      </w:r>
      <w:r w:rsidR="4B238ED8" w:rsidRPr="00A94043">
        <w:t xml:space="preserve"> </w:t>
      </w:r>
      <w:r w:rsidR="000E59CA">
        <w:t xml:space="preserve">space heating experts and </w:t>
      </w:r>
      <w:r w:rsidR="6E63DFC6" w:rsidRPr="00A94043">
        <w:t>representatives</w:t>
      </w:r>
      <w:r w:rsidR="4B238ED8" w:rsidRPr="00A94043">
        <w:t xml:space="preserve"> from major heating </w:t>
      </w:r>
      <w:r w:rsidR="6E63DFC6" w:rsidRPr="00A94043">
        <w:t>manufacturers</w:t>
      </w:r>
      <w:r w:rsidR="4B238ED8" w:rsidRPr="00A94043">
        <w:t xml:space="preserve">, retailers, industry </w:t>
      </w:r>
      <w:r w:rsidR="6E63DFC6" w:rsidRPr="00A94043">
        <w:t>organisations</w:t>
      </w:r>
      <w:r w:rsidR="4B238ED8" w:rsidRPr="00A94043">
        <w:t xml:space="preserve"> and </w:t>
      </w:r>
      <w:r w:rsidR="15E9AC6E" w:rsidRPr="00A94043">
        <w:t>g</w:t>
      </w:r>
      <w:r w:rsidR="4B238ED8" w:rsidRPr="00A94043">
        <w:t xml:space="preserve">overnment </w:t>
      </w:r>
      <w:r w:rsidR="20A7D299" w:rsidRPr="00A94043">
        <w:t>agencies</w:t>
      </w:r>
      <w:r w:rsidR="4B238ED8" w:rsidRPr="00A94043">
        <w:t xml:space="preserve">.  The </w:t>
      </w:r>
      <w:r w:rsidR="6E63DFC6" w:rsidRPr="00A94043">
        <w:t>contribution</w:t>
      </w:r>
      <w:r w:rsidR="4B238ED8" w:rsidRPr="00A94043">
        <w:t xml:space="preserve"> from members of the TWG is </w:t>
      </w:r>
      <w:r w:rsidR="6E63DFC6" w:rsidRPr="00A94043">
        <w:t>acknowledged</w:t>
      </w:r>
      <w:r w:rsidR="4B238ED8" w:rsidRPr="00A94043">
        <w:t xml:space="preserve"> and appreciated </w:t>
      </w:r>
      <w:r w:rsidR="00CA036E">
        <w:t>in</w:t>
      </w:r>
      <w:r w:rsidR="00CA036E" w:rsidRPr="00A94043">
        <w:t xml:space="preserve"> </w:t>
      </w:r>
      <w:r w:rsidR="382DBEA0" w:rsidRPr="00A94043">
        <w:t xml:space="preserve">the development of </w:t>
      </w:r>
      <w:r w:rsidR="4B238ED8" w:rsidRPr="00A94043">
        <w:t xml:space="preserve">this </w:t>
      </w:r>
      <w:r w:rsidR="00CA036E">
        <w:t>compar</w:t>
      </w:r>
      <w:r w:rsidR="00EB0053">
        <w:t>ison</w:t>
      </w:r>
      <w:r w:rsidR="00CA036E">
        <w:t xml:space="preserve"> methodology</w:t>
      </w:r>
      <w:r w:rsidR="4B238ED8" w:rsidRPr="00A94043">
        <w:t>.</w:t>
      </w:r>
    </w:p>
    <w:p w14:paraId="2270A102" w14:textId="4FEA9CD9" w:rsidR="0006323D" w:rsidRPr="00A94043" w:rsidRDefault="00D852E2" w:rsidP="009245DB">
      <w:r w:rsidRPr="00A94043">
        <w:t xml:space="preserve">Over the period from </w:t>
      </w:r>
      <w:r w:rsidR="00EF6335" w:rsidRPr="00A94043">
        <w:t>October 2021</w:t>
      </w:r>
      <w:r w:rsidRPr="00A94043">
        <w:t xml:space="preserve"> to </w:t>
      </w:r>
      <w:r w:rsidR="00926882" w:rsidRPr="00A94043">
        <w:t>November</w:t>
      </w:r>
      <w:r w:rsidR="00EF6335" w:rsidRPr="00A94043">
        <w:t xml:space="preserve"> 2023</w:t>
      </w:r>
      <w:r w:rsidRPr="00A94043">
        <w:t xml:space="preserve">, the TWG met on </w:t>
      </w:r>
      <w:r w:rsidR="00926882" w:rsidRPr="00A94043">
        <w:t>eight</w:t>
      </w:r>
      <w:r w:rsidRPr="00A94043">
        <w:t xml:space="preserve"> occasions to discuss the development and content of </w:t>
      </w:r>
      <w:r w:rsidR="00926882" w:rsidRPr="00A94043">
        <w:t>various</w:t>
      </w:r>
      <w:r w:rsidR="008854DF" w:rsidRPr="00A94043">
        <w:t xml:space="preserve"> options papers, product type method papers, and </w:t>
      </w:r>
      <w:r w:rsidRPr="00A94043">
        <w:t>TWG papers</w:t>
      </w:r>
      <w:r w:rsidR="00926882" w:rsidRPr="00A94043">
        <w:t xml:space="preserve"> on specific </w:t>
      </w:r>
      <w:r w:rsidR="003A50DB" w:rsidRPr="00A94043">
        <w:t>issues</w:t>
      </w:r>
      <w:r w:rsidR="00BB5A4F">
        <w:t xml:space="preserve">. </w:t>
      </w:r>
      <w:r w:rsidR="00793594">
        <w:t xml:space="preserve">These </w:t>
      </w:r>
      <w:r w:rsidR="007530E5">
        <w:t>TWG</w:t>
      </w:r>
      <w:r w:rsidR="00BB5A4F">
        <w:t xml:space="preserve"> papers</w:t>
      </w:r>
      <w:r w:rsidR="00793594">
        <w:t xml:space="preserve"> include</w:t>
      </w:r>
      <w:r w:rsidR="0006323D" w:rsidRPr="00A94043">
        <w:t>:</w:t>
      </w:r>
    </w:p>
    <w:p w14:paraId="0C02CC71" w14:textId="77777777" w:rsidR="00B17A98" w:rsidRPr="00A94043" w:rsidRDefault="00B17A98" w:rsidP="00D90977">
      <w:pPr>
        <w:pStyle w:val="NoSpacing"/>
        <w:numPr>
          <w:ilvl w:val="0"/>
          <w:numId w:val="9"/>
        </w:numPr>
        <w:ind w:left="142" w:firstLine="283"/>
      </w:pPr>
      <w:r w:rsidRPr="00A94043">
        <w:t>Space Heating Comparisons: Preliminary Technical Options Discussion Paper (2022)</w:t>
      </w:r>
    </w:p>
    <w:p w14:paraId="6269BC47" w14:textId="77777777" w:rsidR="00B17A98" w:rsidRPr="00A94043" w:rsidRDefault="00B17A98" w:rsidP="00D90977">
      <w:pPr>
        <w:pStyle w:val="NoSpacing"/>
        <w:numPr>
          <w:ilvl w:val="0"/>
          <w:numId w:val="9"/>
        </w:numPr>
        <w:ind w:left="142" w:firstLine="283"/>
      </w:pPr>
      <w:r w:rsidRPr="00A94043">
        <w:t>Space Heating: Exploring a Method for Gas Space Heaters (2022)</w:t>
      </w:r>
    </w:p>
    <w:p w14:paraId="0D68D699" w14:textId="77777777" w:rsidR="00B17A98" w:rsidRPr="00A94043" w:rsidRDefault="00B17A98" w:rsidP="00D90977">
      <w:pPr>
        <w:pStyle w:val="NoSpacing"/>
        <w:numPr>
          <w:ilvl w:val="0"/>
          <w:numId w:val="9"/>
        </w:numPr>
        <w:ind w:left="142" w:firstLine="283"/>
      </w:pPr>
      <w:r w:rsidRPr="00A94043">
        <w:t>Space Heating: Exploring a Method for Electric Resistance Heaters (2022)</w:t>
      </w:r>
    </w:p>
    <w:p w14:paraId="09FD6727" w14:textId="77777777" w:rsidR="00B17A98" w:rsidRPr="00A94043" w:rsidRDefault="00B17A98" w:rsidP="00D90977">
      <w:pPr>
        <w:pStyle w:val="NoSpacing"/>
        <w:numPr>
          <w:ilvl w:val="0"/>
          <w:numId w:val="9"/>
        </w:numPr>
        <w:ind w:left="142" w:firstLine="283"/>
      </w:pPr>
      <w:r w:rsidRPr="00A94043">
        <w:t>Space Heating: Exploring a Method for Gas Decorative Appliances (2022)</w:t>
      </w:r>
    </w:p>
    <w:p w14:paraId="596B0627" w14:textId="77777777" w:rsidR="00B17A98" w:rsidRPr="00A94043" w:rsidRDefault="00B17A98" w:rsidP="00D90977">
      <w:pPr>
        <w:pStyle w:val="NoSpacing"/>
        <w:numPr>
          <w:ilvl w:val="0"/>
          <w:numId w:val="9"/>
        </w:numPr>
        <w:ind w:left="142" w:firstLine="283"/>
      </w:pPr>
      <w:r w:rsidRPr="00A94043">
        <w:t>Space Heating: Exploring a Method for Solid Fuel Combustion Heaters (2022)</w:t>
      </w:r>
    </w:p>
    <w:p w14:paraId="79D7EED7" w14:textId="77777777" w:rsidR="00B17A98" w:rsidRPr="00A94043" w:rsidRDefault="00B17A98" w:rsidP="00D90977">
      <w:pPr>
        <w:pStyle w:val="NoSpacing"/>
        <w:numPr>
          <w:ilvl w:val="0"/>
          <w:numId w:val="9"/>
        </w:numPr>
        <w:ind w:left="142" w:firstLine="283"/>
      </w:pPr>
      <w:r w:rsidRPr="00A94043">
        <w:t xml:space="preserve">Space Heating: Exploring a Method for Ducted Gas Heaters (2023)  </w:t>
      </w:r>
    </w:p>
    <w:p w14:paraId="6BF2A4CA" w14:textId="77777777" w:rsidR="00B17A98" w:rsidRPr="00A94043" w:rsidRDefault="00B17A98" w:rsidP="00D90977">
      <w:pPr>
        <w:pStyle w:val="NoSpacing"/>
        <w:numPr>
          <w:ilvl w:val="0"/>
          <w:numId w:val="9"/>
        </w:numPr>
        <w:ind w:left="142" w:firstLine="283"/>
      </w:pPr>
      <w:r w:rsidRPr="00A94043">
        <w:t>Hydronic and Electric Resistance Central Heating Systems: Method Options Paper (2023)</w:t>
      </w:r>
    </w:p>
    <w:p w14:paraId="7116E060" w14:textId="2EE93446" w:rsidR="00844CE5" w:rsidRPr="00A94043" w:rsidRDefault="00844CE5" w:rsidP="00D90977">
      <w:pPr>
        <w:pStyle w:val="NoSpacing"/>
        <w:numPr>
          <w:ilvl w:val="0"/>
          <w:numId w:val="9"/>
        </w:numPr>
        <w:ind w:left="142" w:firstLine="283"/>
      </w:pPr>
      <w:r w:rsidRPr="00A94043">
        <w:t xml:space="preserve">TWG Paper 1. Types of Heaters and Definition of Load </w:t>
      </w:r>
    </w:p>
    <w:p w14:paraId="226D2077" w14:textId="57EB187A" w:rsidR="00D852E2" w:rsidRPr="00A94043" w:rsidRDefault="00D852E2" w:rsidP="00D90977">
      <w:pPr>
        <w:pStyle w:val="NoSpacing"/>
        <w:numPr>
          <w:ilvl w:val="0"/>
          <w:numId w:val="9"/>
        </w:numPr>
        <w:ind w:left="142" w:firstLine="283"/>
      </w:pPr>
      <w:r w:rsidRPr="00A94043">
        <w:t>TWG Paper 2. Standby or Inactive Energy Consumption</w:t>
      </w:r>
    </w:p>
    <w:p w14:paraId="53825407" w14:textId="77777777" w:rsidR="008854DF" w:rsidRPr="00A94043" w:rsidRDefault="00D852E2" w:rsidP="00D90977">
      <w:pPr>
        <w:pStyle w:val="NoSpacing"/>
        <w:numPr>
          <w:ilvl w:val="0"/>
          <w:numId w:val="9"/>
        </w:numPr>
        <w:ind w:left="142" w:firstLine="283"/>
      </w:pPr>
      <w:r w:rsidRPr="00A94043">
        <w:t>TWG Paper 3. Thermostatic Control</w:t>
      </w:r>
    </w:p>
    <w:p w14:paraId="7A9181D0" w14:textId="77777777" w:rsidR="00D852E2" w:rsidRPr="00A94043" w:rsidRDefault="00D852E2" w:rsidP="00D90977">
      <w:pPr>
        <w:pStyle w:val="NoSpacing"/>
        <w:numPr>
          <w:ilvl w:val="0"/>
          <w:numId w:val="9"/>
        </w:numPr>
        <w:ind w:left="142" w:firstLine="283"/>
      </w:pPr>
      <w:r w:rsidRPr="00A94043">
        <w:t>TWG Paper 4. Overview of Heater Types</w:t>
      </w:r>
    </w:p>
    <w:p w14:paraId="47765782" w14:textId="77777777" w:rsidR="008854DF" w:rsidRPr="00A94043" w:rsidRDefault="00D852E2" w:rsidP="00D90977">
      <w:pPr>
        <w:pStyle w:val="NoSpacing"/>
        <w:numPr>
          <w:ilvl w:val="0"/>
          <w:numId w:val="9"/>
        </w:numPr>
        <w:ind w:left="142" w:firstLine="283"/>
      </w:pPr>
      <w:r w:rsidRPr="00A94043">
        <w:t>TWG Paper 5. Definition of load and options</w:t>
      </w:r>
    </w:p>
    <w:p w14:paraId="44ED53C1" w14:textId="777A9F6E" w:rsidR="00BD0563" w:rsidRPr="00A94043" w:rsidRDefault="00926882" w:rsidP="00012C45">
      <w:pPr>
        <w:pStyle w:val="NoSpacing"/>
        <w:numPr>
          <w:ilvl w:val="0"/>
          <w:numId w:val="9"/>
        </w:numPr>
        <w:ind w:left="142" w:firstLine="283"/>
      </w:pPr>
      <w:r w:rsidRPr="00A94043">
        <w:t>Space Heating: Summary of Comparison Methodol</w:t>
      </w:r>
      <w:r w:rsidR="00BD0563" w:rsidRPr="00A94043">
        <w:t>og</w:t>
      </w:r>
      <w:r w:rsidRPr="00A94043">
        <w:t xml:space="preserve">y </w:t>
      </w:r>
      <w:r w:rsidR="00BD0563" w:rsidRPr="00A94043">
        <w:t>(TWG Paper 6)</w:t>
      </w:r>
      <w:r w:rsidR="00F0789A">
        <w:t>.</w:t>
      </w:r>
    </w:p>
    <w:p w14:paraId="4ED9BB20" w14:textId="77777777" w:rsidR="00B17A98" w:rsidRPr="00A94043" w:rsidRDefault="00B17A98">
      <w:pPr>
        <w:pStyle w:val="NoSpacing"/>
        <w:ind w:left="425"/>
      </w:pPr>
    </w:p>
    <w:p w14:paraId="30347700" w14:textId="3B336EA3" w:rsidR="00B17A98" w:rsidRPr="00A94043" w:rsidRDefault="00B17A98" w:rsidP="00A94043">
      <w:r w:rsidRPr="00A94043">
        <w:t>This consultation document incorporates the key elements of these papers</w:t>
      </w:r>
      <w:r w:rsidR="007663B2">
        <w:t xml:space="preserve"> </w:t>
      </w:r>
      <w:r w:rsidR="008A0BD2">
        <w:t xml:space="preserve">and </w:t>
      </w:r>
      <w:r w:rsidR="007663B2">
        <w:t>tak</w:t>
      </w:r>
      <w:r w:rsidR="008A0BD2">
        <w:t>es</w:t>
      </w:r>
      <w:r w:rsidR="007663B2">
        <w:t xml:space="preserve"> the input and advice of TWG members into consideration</w:t>
      </w:r>
      <w:r w:rsidRPr="00A94043">
        <w:t>.</w:t>
      </w:r>
    </w:p>
    <w:p w14:paraId="698BA6BF" w14:textId="77777777" w:rsidR="00014867" w:rsidRPr="00A94043" w:rsidRDefault="00014867" w:rsidP="00807207">
      <w:pPr>
        <w:pStyle w:val="NoSpacing"/>
      </w:pPr>
    </w:p>
    <w:p w14:paraId="68AE90B5" w14:textId="2E59D0EB" w:rsidR="000E128A" w:rsidRPr="00A94043" w:rsidRDefault="000E128A" w:rsidP="000E128A">
      <w:pPr>
        <w:pStyle w:val="Heading2"/>
      </w:pPr>
      <w:bookmarkStart w:id="16" w:name="_Toc175311902"/>
      <w:bookmarkStart w:id="17" w:name="_Toc99633201"/>
      <w:r w:rsidRPr="00A94043">
        <w:t>Making a submission</w:t>
      </w:r>
      <w:bookmarkEnd w:id="16"/>
    </w:p>
    <w:p w14:paraId="34845A06" w14:textId="7036022F" w:rsidR="004E11FD" w:rsidRDefault="004D1B66" w:rsidP="000E128A">
      <w:pPr>
        <w:rPr>
          <w:szCs w:val="22"/>
          <w:lang w:eastAsia="ja-JP"/>
        </w:rPr>
      </w:pPr>
      <w:r>
        <w:rPr>
          <w:szCs w:val="22"/>
          <w:lang w:eastAsia="ja-JP"/>
        </w:rPr>
        <w:t xml:space="preserve">The department welcomes </w:t>
      </w:r>
      <w:r w:rsidR="006C11EB">
        <w:rPr>
          <w:szCs w:val="22"/>
          <w:lang w:eastAsia="ja-JP"/>
        </w:rPr>
        <w:t xml:space="preserve">written submissions on this paper. </w:t>
      </w:r>
      <w:r w:rsidR="00E65AC9">
        <w:rPr>
          <w:szCs w:val="22"/>
          <w:lang w:eastAsia="ja-JP"/>
        </w:rPr>
        <w:t xml:space="preserve">The department would like to </w:t>
      </w:r>
      <w:r w:rsidR="00192F90">
        <w:rPr>
          <w:szCs w:val="22"/>
          <w:lang w:eastAsia="ja-JP"/>
        </w:rPr>
        <w:t>know what</w:t>
      </w:r>
      <w:r w:rsidR="00062AC1">
        <w:rPr>
          <w:szCs w:val="22"/>
          <w:lang w:eastAsia="ja-JP"/>
        </w:rPr>
        <w:t xml:space="preserve"> your</w:t>
      </w:r>
      <w:r w:rsidR="00192F90">
        <w:rPr>
          <w:szCs w:val="22"/>
          <w:lang w:eastAsia="ja-JP"/>
        </w:rPr>
        <w:t xml:space="preserve"> views </w:t>
      </w:r>
      <w:r w:rsidR="00062AC1">
        <w:rPr>
          <w:szCs w:val="22"/>
          <w:lang w:eastAsia="ja-JP"/>
        </w:rPr>
        <w:t xml:space="preserve">are </w:t>
      </w:r>
      <w:r w:rsidR="00192F90">
        <w:rPr>
          <w:szCs w:val="22"/>
          <w:lang w:eastAsia="ja-JP"/>
        </w:rPr>
        <w:t xml:space="preserve">on the comparison methodology and </w:t>
      </w:r>
      <w:r w:rsidR="009A1A50">
        <w:rPr>
          <w:szCs w:val="22"/>
          <w:lang w:eastAsia="ja-JP"/>
        </w:rPr>
        <w:t xml:space="preserve">the </w:t>
      </w:r>
      <w:r w:rsidR="00062AC1">
        <w:rPr>
          <w:szCs w:val="22"/>
          <w:lang w:eastAsia="ja-JP"/>
        </w:rPr>
        <w:t xml:space="preserve">reasons </w:t>
      </w:r>
      <w:r w:rsidR="00FF072C">
        <w:rPr>
          <w:szCs w:val="22"/>
          <w:lang w:eastAsia="ja-JP"/>
        </w:rPr>
        <w:t>for</w:t>
      </w:r>
      <w:r w:rsidR="00062AC1">
        <w:rPr>
          <w:szCs w:val="22"/>
          <w:lang w:eastAsia="ja-JP"/>
        </w:rPr>
        <w:t xml:space="preserve"> </w:t>
      </w:r>
      <w:r w:rsidR="0042214C">
        <w:rPr>
          <w:szCs w:val="22"/>
          <w:lang w:eastAsia="ja-JP"/>
        </w:rPr>
        <w:t xml:space="preserve">your </w:t>
      </w:r>
      <w:r w:rsidR="00062AC1">
        <w:rPr>
          <w:szCs w:val="22"/>
          <w:lang w:eastAsia="ja-JP"/>
        </w:rPr>
        <w:t xml:space="preserve">views. </w:t>
      </w:r>
    </w:p>
    <w:p w14:paraId="31146605" w14:textId="1193C6A2" w:rsidR="00D5481E" w:rsidRDefault="000C07D7" w:rsidP="43C76ECC">
      <w:pPr>
        <w:rPr>
          <w:b/>
          <w:bCs/>
          <w:lang w:eastAsia="ja-JP"/>
        </w:rPr>
      </w:pPr>
      <w:r w:rsidRPr="43C76ECC">
        <w:rPr>
          <w:b/>
          <w:bCs/>
          <w:lang w:eastAsia="ja-JP"/>
        </w:rPr>
        <w:t xml:space="preserve">Submissions should be provided by </w:t>
      </w:r>
      <w:r w:rsidR="00A33573" w:rsidRPr="43C76ECC">
        <w:rPr>
          <w:b/>
          <w:bCs/>
          <w:lang w:eastAsia="ja-JP"/>
        </w:rPr>
        <w:t>27</w:t>
      </w:r>
      <w:r w:rsidR="00AC1DD3" w:rsidRPr="43C76ECC">
        <w:rPr>
          <w:b/>
          <w:bCs/>
          <w:lang w:eastAsia="ja-JP"/>
        </w:rPr>
        <w:t xml:space="preserve"> September</w:t>
      </w:r>
      <w:r w:rsidRPr="43C76ECC">
        <w:rPr>
          <w:b/>
          <w:bCs/>
          <w:lang w:eastAsia="ja-JP"/>
        </w:rPr>
        <w:t xml:space="preserve"> 2024. </w:t>
      </w:r>
    </w:p>
    <w:p w14:paraId="748E22AE" w14:textId="77777777" w:rsidR="00E62AF0" w:rsidRDefault="008042BA" w:rsidP="00E62AF0">
      <w:pPr>
        <w:spacing w:after="0"/>
        <w:rPr>
          <w:b/>
          <w:bCs/>
          <w:szCs w:val="22"/>
          <w:lang w:eastAsia="ja-JP"/>
        </w:rPr>
      </w:pPr>
      <w:r w:rsidRPr="00770FC1">
        <w:rPr>
          <w:b/>
          <w:bCs/>
          <w:szCs w:val="22"/>
          <w:lang w:eastAsia="ja-JP"/>
        </w:rPr>
        <w:t>To p</w:t>
      </w:r>
      <w:r w:rsidR="004E11FD" w:rsidRPr="00770FC1">
        <w:rPr>
          <w:b/>
          <w:bCs/>
          <w:szCs w:val="22"/>
          <w:lang w:eastAsia="ja-JP"/>
        </w:rPr>
        <w:t xml:space="preserve">rovide feedback on the </w:t>
      </w:r>
      <w:r w:rsidR="006F26F4" w:rsidRPr="00770FC1">
        <w:rPr>
          <w:b/>
          <w:bCs/>
          <w:szCs w:val="22"/>
          <w:lang w:eastAsia="ja-JP"/>
        </w:rPr>
        <w:t>paper</w:t>
      </w:r>
      <w:r w:rsidRPr="00770FC1">
        <w:rPr>
          <w:b/>
          <w:bCs/>
          <w:szCs w:val="22"/>
          <w:lang w:eastAsia="ja-JP"/>
        </w:rPr>
        <w:t>, please make a submission at:</w:t>
      </w:r>
      <w:r w:rsidR="006F26F4" w:rsidRPr="00770FC1">
        <w:rPr>
          <w:b/>
          <w:bCs/>
          <w:szCs w:val="22"/>
          <w:lang w:eastAsia="ja-JP"/>
        </w:rPr>
        <w:t xml:space="preserve"> </w:t>
      </w:r>
    </w:p>
    <w:p w14:paraId="09A20109" w14:textId="196B7C62" w:rsidR="004E11FD" w:rsidRPr="00770FC1" w:rsidRDefault="00D73D08" w:rsidP="000E128A">
      <w:pPr>
        <w:rPr>
          <w:b/>
          <w:bCs/>
          <w:szCs w:val="22"/>
          <w:lang w:eastAsia="ja-JP"/>
        </w:rPr>
      </w:pPr>
      <w:hyperlink r:id="rId35" w:history="1">
        <w:r w:rsidR="00E62AF0" w:rsidRPr="00EC1647">
          <w:rPr>
            <w:rStyle w:val="Hyperlink"/>
          </w:rPr>
          <w:t>https://consult.dcceew.gov.au/space-heater-comparison-methodology</w:t>
        </w:r>
      </w:hyperlink>
    </w:p>
    <w:p w14:paraId="641E5C20" w14:textId="0D13C9AB" w:rsidR="00694D80" w:rsidRDefault="00B475EA" w:rsidP="000E128A">
      <w:pPr>
        <w:rPr>
          <w:szCs w:val="22"/>
          <w:lang w:eastAsia="ja-JP"/>
        </w:rPr>
      </w:pPr>
      <w:r>
        <w:rPr>
          <w:szCs w:val="22"/>
          <w:lang w:eastAsia="ja-JP"/>
        </w:rPr>
        <w:t xml:space="preserve">Enquiries </w:t>
      </w:r>
      <w:r w:rsidR="008042BA">
        <w:rPr>
          <w:szCs w:val="22"/>
          <w:lang w:eastAsia="ja-JP"/>
        </w:rPr>
        <w:t>may</w:t>
      </w:r>
      <w:r>
        <w:rPr>
          <w:szCs w:val="22"/>
          <w:lang w:eastAsia="ja-JP"/>
        </w:rPr>
        <w:t xml:space="preserve"> be emailed with the subject line “</w:t>
      </w:r>
      <w:r w:rsidRPr="00A94043">
        <w:rPr>
          <w:szCs w:val="22"/>
          <w:lang w:eastAsia="ja-JP"/>
        </w:rPr>
        <w:t xml:space="preserve">Space Heating Comparison </w:t>
      </w:r>
      <w:r w:rsidRPr="00A94043">
        <w:rPr>
          <w:lang w:eastAsia="ja-JP"/>
        </w:rPr>
        <w:t>Methodology</w:t>
      </w:r>
      <w:r w:rsidRPr="00A94043">
        <w:rPr>
          <w:szCs w:val="22"/>
          <w:lang w:eastAsia="ja-JP"/>
        </w:rPr>
        <w:t xml:space="preserve"> </w:t>
      </w:r>
      <w:r w:rsidRPr="00A94043">
        <w:rPr>
          <w:lang w:eastAsia="ja-JP"/>
        </w:rPr>
        <w:t>Consultation</w:t>
      </w:r>
      <w:r>
        <w:rPr>
          <w:lang w:eastAsia="ja-JP"/>
        </w:rPr>
        <w:t>”</w:t>
      </w:r>
      <w:r w:rsidR="00FE594D">
        <w:rPr>
          <w:lang w:eastAsia="ja-JP"/>
        </w:rPr>
        <w:t>:</w:t>
      </w:r>
    </w:p>
    <w:p w14:paraId="4A17D34E" w14:textId="01E60610" w:rsidR="006F26F4" w:rsidRPr="00B475EA" w:rsidRDefault="00124A77" w:rsidP="00770FC1">
      <w:pPr>
        <w:pStyle w:val="Bullets-Major"/>
        <w:rPr>
          <w:lang w:eastAsia="ja-JP"/>
        </w:rPr>
      </w:pPr>
      <w:r>
        <w:rPr>
          <w:lang w:eastAsia="ja-JP"/>
        </w:rPr>
        <w:t xml:space="preserve">for </w:t>
      </w:r>
      <w:r w:rsidRPr="00B475EA">
        <w:rPr>
          <w:lang w:eastAsia="ja-JP"/>
        </w:rPr>
        <w:t xml:space="preserve">Australian </w:t>
      </w:r>
      <w:r>
        <w:rPr>
          <w:lang w:eastAsia="ja-JP"/>
        </w:rPr>
        <w:t>stakeholders</w:t>
      </w:r>
      <w:r w:rsidR="00FE594D">
        <w:rPr>
          <w:lang w:eastAsia="ja-JP"/>
        </w:rPr>
        <w:t xml:space="preserve">—to </w:t>
      </w:r>
      <w:r>
        <w:rPr>
          <w:lang w:eastAsia="ja-JP"/>
        </w:rPr>
        <w:t xml:space="preserve">the </w:t>
      </w:r>
      <w:r w:rsidRPr="00A94043">
        <w:rPr>
          <w:lang w:eastAsia="ja-JP"/>
        </w:rPr>
        <w:t>Australian Government Department of Climate Change, Energy the Environment and Water (DCCEEW)</w:t>
      </w:r>
      <w:r w:rsidR="00B475EA">
        <w:rPr>
          <w:lang w:eastAsia="ja-JP"/>
        </w:rPr>
        <w:t>:</w:t>
      </w:r>
      <w:r w:rsidR="0030485A" w:rsidRPr="00B475EA">
        <w:rPr>
          <w:lang w:eastAsia="ja-JP"/>
        </w:rPr>
        <w:t xml:space="preserve"> </w:t>
      </w:r>
      <w:hyperlink r:id="rId36" w:history="1">
        <w:r w:rsidR="0030485A" w:rsidRPr="00B475EA">
          <w:rPr>
            <w:rStyle w:val="Hyperlink"/>
            <w:lang w:eastAsia="ja-JP"/>
          </w:rPr>
          <w:t>spaceheating@dcceew.gov.au</w:t>
        </w:r>
      </w:hyperlink>
    </w:p>
    <w:p w14:paraId="67F37486" w14:textId="65996578" w:rsidR="004E11FD" w:rsidRPr="00770FC1" w:rsidRDefault="00124A77" w:rsidP="00770FC1">
      <w:pPr>
        <w:pStyle w:val="Bullets-Major"/>
        <w:rPr>
          <w:rFonts w:cs="Times New Roman"/>
          <w:lang w:eastAsia="ja-JP"/>
        </w:rPr>
      </w:pPr>
      <w:r>
        <w:rPr>
          <w:lang w:eastAsia="ja-JP"/>
        </w:rPr>
        <w:t xml:space="preserve">for </w:t>
      </w:r>
      <w:r w:rsidR="0030485A" w:rsidRPr="00B475EA">
        <w:rPr>
          <w:lang w:eastAsia="ja-JP"/>
        </w:rPr>
        <w:t xml:space="preserve">New Zealand </w:t>
      </w:r>
      <w:r w:rsidR="00B475EA">
        <w:rPr>
          <w:lang w:eastAsia="ja-JP"/>
        </w:rPr>
        <w:t>stakeholders</w:t>
      </w:r>
      <w:r w:rsidR="00FE594D">
        <w:rPr>
          <w:lang w:eastAsia="ja-JP"/>
        </w:rPr>
        <w:t xml:space="preserve">—to </w:t>
      </w:r>
      <w:r>
        <w:rPr>
          <w:lang w:eastAsia="ja-JP"/>
        </w:rPr>
        <w:t xml:space="preserve">the </w:t>
      </w:r>
      <w:r w:rsidRPr="00A94043">
        <w:rPr>
          <w:lang w:eastAsia="ja-JP"/>
        </w:rPr>
        <w:t>Energy Efficiency and Conservation Authority (EECA) of New Zealand</w:t>
      </w:r>
      <w:r w:rsidR="00B475EA" w:rsidRPr="000270B1">
        <w:rPr>
          <w:lang w:eastAsia="ja-JP"/>
        </w:rPr>
        <w:t>:</w:t>
      </w:r>
      <w:r w:rsidR="0030485A" w:rsidRPr="000270B1">
        <w:rPr>
          <w:lang w:eastAsia="ja-JP"/>
        </w:rPr>
        <w:t xml:space="preserve"> </w:t>
      </w:r>
      <w:hyperlink r:id="rId37" w:tgtFrame="_blank" w:history="1">
        <w:r w:rsidR="004E11FD" w:rsidRPr="00992AD7">
          <w:rPr>
            <w:rStyle w:val="Hyperlink"/>
            <w:lang w:eastAsia="ja-JP"/>
          </w:rPr>
          <w:t>star@eeca.go</w:t>
        </w:r>
      </w:hyperlink>
      <w:r w:rsidR="008B0B70" w:rsidRPr="00992AD7">
        <w:rPr>
          <w:rStyle w:val="Hyperlink"/>
          <w:lang w:eastAsia="ja-JP"/>
        </w:rPr>
        <w:t>vt.nz</w:t>
      </w:r>
    </w:p>
    <w:p w14:paraId="44126860" w14:textId="688402CB" w:rsidR="00C65F87" w:rsidRPr="004F5C1E" w:rsidRDefault="00C65F87" w:rsidP="004F5C1E">
      <w:pPr>
        <w:pStyle w:val="Heading1"/>
      </w:pPr>
      <w:bookmarkStart w:id="18" w:name="_Toc175311903"/>
      <w:r w:rsidRPr="004F5C1E">
        <w:lastRenderedPageBreak/>
        <w:t>Heater Types</w:t>
      </w:r>
      <w:bookmarkEnd w:id="18"/>
    </w:p>
    <w:p w14:paraId="3AC262A9" w14:textId="31337254" w:rsidR="00C65F87" w:rsidRPr="00A94043" w:rsidRDefault="00C65F87" w:rsidP="00C65F87">
      <w:r w:rsidRPr="00A94043">
        <w:t xml:space="preserve">Residential heaters considered as part of this work program can be broadly classified as simple heaters </w:t>
      </w:r>
      <w:r w:rsidR="0046253F" w:rsidRPr="00A94043">
        <w:t>or</w:t>
      </w:r>
      <w:r w:rsidRPr="00A94043">
        <w:t xml:space="preserve"> complex heaters.  A list of the heaters considered </w:t>
      </w:r>
      <w:r w:rsidR="0046253F" w:rsidRPr="00A94043">
        <w:t xml:space="preserve">and a brief description of the key characteristics of each type </w:t>
      </w:r>
      <w:r w:rsidRPr="00A94043">
        <w:t xml:space="preserve">is </w:t>
      </w:r>
      <w:r w:rsidR="0046253F" w:rsidRPr="00A94043">
        <w:t>provided below.</w:t>
      </w:r>
      <w:r w:rsidR="00D442E2">
        <w:t xml:space="preserve"> Further </w:t>
      </w:r>
      <w:r w:rsidR="004B7E43">
        <w:t>detail</w:t>
      </w:r>
      <w:r w:rsidR="00D442E2">
        <w:t xml:space="preserve"> on heater types is provided</w:t>
      </w:r>
      <w:r w:rsidR="005D489A">
        <w:t xml:space="preserve"> in </w:t>
      </w:r>
      <w:r w:rsidR="00586B02">
        <w:t>the</w:t>
      </w:r>
      <w:r w:rsidR="005D489A" w:rsidRPr="00A94043">
        <w:t xml:space="preserve"> </w:t>
      </w:r>
      <w:hyperlink r:id="rId38" w:history="1">
        <w:r w:rsidR="00CF4EF0" w:rsidRPr="00D93695">
          <w:rPr>
            <w:rStyle w:val="Hyperlink"/>
          </w:rPr>
          <w:t>R</w:t>
        </w:r>
        <w:r w:rsidR="001731B4" w:rsidRPr="00D93695">
          <w:rPr>
            <w:rStyle w:val="Hyperlink"/>
          </w:rPr>
          <w:t xml:space="preserve">esidential </w:t>
        </w:r>
        <w:r w:rsidR="00CF4EF0" w:rsidRPr="00D93695">
          <w:rPr>
            <w:rStyle w:val="Hyperlink"/>
          </w:rPr>
          <w:t>S</w:t>
        </w:r>
        <w:r w:rsidR="005D489A" w:rsidRPr="00D93695">
          <w:rPr>
            <w:rStyle w:val="Hyperlink"/>
          </w:rPr>
          <w:t xml:space="preserve">pace </w:t>
        </w:r>
        <w:r w:rsidR="00CF4EF0" w:rsidRPr="00D93695">
          <w:rPr>
            <w:rStyle w:val="Hyperlink"/>
          </w:rPr>
          <w:t>H</w:t>
        </w:r>
        <w:r w:rsidR="005D489A" w:rsidRPr="00D93695">
          <w:rPr>
            <w:rStyle w:val="Hyperlink"/>
          </w:rPr>
          <w:t>eaters in Australia and New Zealand</w:t>
        </w:r>
        <w:r w:rsidR="00CF4EF0" w:rsidRPr="00D93695">
          <w:rPr>
            <w:rStyle w:val="Hyperlink"/>
          </w:rPr>
          <w:t>: Product Profile</w:t>
        </w:r>
      </w:hyperlink>
      <w:r w:rsidR="005D489A">
        <w:t xml:space="preserve"> (E3,2021)</w:t>
      </w:r>
      <w:r w:rsidR="00586B02">
        <w:t>.</w:t>
      </w:r>
    </w:p>
    <w:p w14:paraId="4E4FBF71" w14:textId="48D48A27" w:rsidR="00C65F87" w:rsidRPr="00A94043" w:rsidRDefault="00C65F87" w:rsidP="0046253F">
      <w:pPr>
        <w:pStyle w:val="Heading2"/>
      </w:pPr>
      <w:bookmarkStart w:id="19" w:name="_Toc175311904"/>
      <w:r w:rsidRPr="00A94043">
        <w:t>Simple heaters</w:t>
      </w:r>
      <w:bookmarkEnd w:id="19"/>
    </w:p>
    <w:p w14:paraId="3454B53F" w14:textId="2B08EB56" w:rsidR="00C65F87" w:rsidRPr="00A94043" w:rsidRDefault="00C65F87" w:rsidP="0046253F">
      <w:pPr>
        <w:pStyle w:val="Heading3"/>
      </w:pPr>
      <w:bookmarkStart w:id="20" w:name="_Toc175311905"/>
      <w:r w:rsidRPr="00A94043">
        <w:t xml:space="preserve">Solid fuel </w:t>
      </w:r>
      <w:r w:rsidR="0046253F" w:rsidRPr="00A94043">
        <w:t xml:space="preserve">combustion </w:t>
      </w:r>
      <w:r w:rsidRPr="00A94043">
        <w:t>heaters</w:t>
      </w:r>
      <w:r w:rsidR="009A6B22">
        <w:t>:</w:t>
      </w:r>
      <w:bookmarkEnd w:id="20"/>
    </w:p>
    <w:p w14:paraId="30BA0DD3" w14:textId="77777777" w:rsidR="00C65F87" w:rsidRPr="00A94043" w:rsidRDefault="00C65F87" w:rsidP="00D90977">
      <w:pPr>
        <w:pStyle w:val="ListParagraph"/>
        <w:numPr>
          <w:ilvl w:val="0"/>
          <w:numId w:val="10"/>
        </w:numPr>
      </w:pPr>
      <w:r w:rsidRPr="00A94043">
        <w:t>use wood, wood pellets or occasionally coal</w:t>
      </w:r>
    </w:p>
    <w:p w14:paraId="6CB12C9E" w14:textId="77777777" w:rsidR="00C65F87" w:rsidRPr="00A94043" w:rsidRDefault="00C65F87" w:rsidP="00D90977">
      <w:pPr>
        <w:pStyle w:val="ListParagraph"/>
        <w:numPr>
          <w:ilvl w:val="0"/>
          <w:numId w:val="10"/>
        </w:numPr>
      </w:pPr>
      <w:r w:rsidRPr="00A94043">
        <w:t xml:space="preserve">operate by burning solid fuels </w:t>
      </w:r>
    </w:p>
    <w:p w14:paraId="6409A8D9" w14:textId="77777777" w:rsidR="00C65F87" w:rsidRPr="00A94043" w:rsidRDefault="00C65F87" w:rsidP="00D90977">
      <w:pPr>
        <w:pStyle w:val="ListParagraph"/>
        <w:numPr>
          <w:ilvl w:val="0"/>
          <w:numId w:val="10"/>
        </w:numPr>
      </w:pPr>
      <w:r w:rsidRPr="00A94043">
        <w:t>produce air pollutants, including particulate emissions (PM10 and PM2.5), which can have negative environmental and health impacts on the community</w:t>
      </w:r>
    </w:p>
    <w:p w14:paraId="619F8BFC" w14:textId="2C50FC22" w:rsidR="00C65F87" w:rsidRPr="00A94043" w:rsidRDefault="00C65F87" w:rsidP="00D90977">
      <w:pPr>
        <w:pStyle w:val="ListParagraph"/>
        <w:numPr>
          <w:ilvl w:val="0"/>
          <w:numId w:val="10"/>
        </w:numPr>
      </w:pPr>
      <w:r w:rsidRPr="00A94043">
        <w:t>generally, are sized to heat a large room(s) and have a typical heat output of 8 to 25 kW (28 – 90</w:t>
      </w:r>
      <w:r w:rsidR="006A46E3">
        <w:t> </w:t>
      </w:r>
      <w:r w:rsidRPr="00A94043">
        <w:t xml:space="preserve">MJ/hr)  </w:t>
      </w:r>
    </w:p>
    <w:p w14:paraId="40CA25C1" w14:textId="0F89F940" w:rsidR="00C65F87" w:rsidRPr="00A94043" w:rsidRDefault="072DB00F" w:rsidP="00D90977">
      <w:pPr>
        <w:pStyle w:val="ListParagraph"/>
        <w:numPr>
          <w:ilvl w:val="0"/>
          <w:numId w:val="10"/>
        </w:numPr>
      </w:pPr>
      <w:r w:rsidRPr="00A94043">
        <w:t>are not regulated under E3/GEMS</w:t>
      </w:r>
      <w:r w:rsidR="00501E7F">
        <w:t>/EUP</w:t>
      </w:r>
      <w:r w:rsidR="0036655B">
        <w:t xml:space="preserve"> Regulations</w:t>
      </w:r>
      <w:r w:rsidRPr="00A94043">
        <w:t>, though they are regulated under the safety and emission</w:t>
      </w:r>
      <w:r w:rsidR="23D41D05" w:rsidRPr="00A94043">
        <w:t xml:space="preserve"> or </w:t>
      </w:r>
      <w:r w:rsidRPr="00A94043">
        <w:t>environmental requirements of different jurisdictions.</w:t>
      </w:r>
    </w:p>
    <w:p w14:paraId="26172379" w14:textId="77777777" w:rsidR="00C65F87" w:rsidRPr="00A94043" w:rsidRDefault="00C65F87" w:rsidP="0046253F">
      <w:pPr>
        <w:pStyle w:val="Heading3"/>
      </w:pPr>
      <w:bookmarkStart w:id="21" w:name="_Toc175311906"/>
      <w:r w:rsidRPr="00A94043">
        <w:t>Non-ducted gas heaters:</w:t>
      </w:r>
      <w:bookmarkEnd w:id="21"/>
    </w:p>
    <w:p w14:paraId="60B8A1EF" w14:textId="77777777" w:rsidR="00C65F87" w:rsidRPr="00A94043" w:rsidRDefault="00C65F87" w:rsidP="00D90977">
      <w:pPr>
        <w:pStyle w:val="ListParagraph"/>
        <w:numPr>
          <w:ilvl w:val="0"/>
          <w:numId w:val="10"/>
        </w:numPr>
      </w:pPr>
      <w:r w:rsidRPr="00A94043">
        <w:t>use natural gas or LPG as an energy source</w:t>
      </w:r>
      <w:r w:rsidRPr="00A94043">
        <w:rPr>
          <w:vertAlign w:val="superscript"/>
        </w:rPr>
        <w:footnoteReference w:id="4"/>
      </w:r>
    </w:p>
    <w:p w14:paraId="26294AE2" w14:textId="551DACD3" w:rsidR="00C65F87" w:rsidRPr="00A94043" w:rsidRDefault="00C65F87" w:rsidP="00D90977">
      <w:pPr>
        <w:pStyle w:val="ListParagraph"/>
        <w:numPr>
          <w:ilvl w:val="0"/>
          <w:numId w:val="10"/>
        </w:numPr>
      </w:pPr>
      <w:r w:rsidRPr="00A94043">
        <w:t>generally, are sized to heat a single room with a typical heat output of up to 32 MJ/hour</w:t>
      </w:r>
      <w:r w:rsidR="00F53DC3" w:rsidRPr="00A94043">
        <w:t xml:space="preserve"> (9kW)</w:t>
      </w:r>
      <w:r w:rsidRPr="00A94043">
        <w:t xml:space="preserve"> for a flued heater</w:t>
      </w:r>
    </w:p>
    <w:p w14:paraId="192A79A6" w14:textId="3EE47482" w:rsidR="00C65F87" w:rsidRPr="00A94043" w:rsidRDefault="00C65F87" w:rsidP="00D90977">
      <w:pPr>
        <w:pStyle w:val="ListParagraph"/>
        <w:numPr>
          <w:ilvl w:val="0"/>
          <w:numId w:val="10"/>
        </w:numPr>
      </w:pPr>
      <w:r w:rsidRPr="00A94043">
        <w:t>are not regulated under E3/GEMS</w:t>
      </w:r>
      <w:r w:rsidR="000B7977">
        <w:t>/EUP Regulations</w:t>
      </w:r>
      <w:r w:rsidRPr="00A94043">
        <w:t xml:space="preserve">, but in Australia the gas certification scheme requires them to display a gas energy label which allows for comparisons among gas </w:t>
      </w:r>
      <w:r w:rsidR="00214FC1" w:rsidRPr="00A94043">
        <w:t xml:space="preserve">space </w:t>
      </w:r>
      <w:r w:rsidRPr="00A94043">
        <w:t>heaters.</w:t>
      </w:r>
    </w:p>
    <w:p w14:paraId="73311138" w14:textId="77777777" w:rsidR="00C65F87" w:rsidRPr="00A94043" w:rsidRDefault="00C65F87" w:rsidP="0046253F">
      <w:pPr>
        <w:pStyle w:val="Heading3"/>
      </w:pPr>
      <w:bookmarkStart w:id="22" w:name="_Toc175311907"/>
      <w:r w:rsidRPr="00A94043">
        <w:t>Reverse cycle air conditioners (heat pumps), when being used for heating:</w:t>
      </w:r>
      <w:bookmarkEnd w:id="22"/>
    </w:p>
    <w:p w14:paraId="3C6E7DEA" w14:textId="77777777" w:rsidR="00C65F87" w:rsidRPr="00A94043" w:rsidRDefault="00C65F87" w:rsidP="00D90977">
      <w:pPr>
        <w:pStyle w:val="ListParagraph"/>
        <w:numPr>
          <w:ilvl w:val="0"/>
          <w:numId w:val="10"/>
        </w:numPr>
      </w:pPr>
      <w:r w:rsidRPr="00A94043">
        <w:t>are electrically operated</w:t>
      </w:r>
    </w:p>
    <w:p w14:paraId="75E15B7D" w14:textId="77777777" w:rsidR="00C65F87" w:rsidRPr="00A94043" w:rsidRDefault="00C65F87" w:rsidP="00D90977">
      <w:pPr>
        <w:pStyle w:val="ListParagraph"/>
        <w:numPr>
          <w:ilvl w:val="0"/>
          <w:numId w:val="10"/>
        </w:numPr>
      </w:pPr>
      <w:r w:rsidRPr="00A94043">
        <w:t>use a vapour compression refrigerant cycle to remove heat from the external environment and transfer it to the internal environment, i.e. inside the room or dwelling</w:t>
      </w:r>
    </w:p>
    <w:p w14:paraId="5D51E544" w14:textId="77777777" w:rsidR="00B8754B" w:rsidRDefault="00C65F87" w:rsidP="00B8754B">
      <w:pPr>
        <w:pStyle w:val="ListParagraph"/>
        <w:numPr>
          <w:ilvl w:val="0"/>
          <w:numId w:val="10"/>
        </w:numPr>
        <w:ind w:left="714" w:hanging="357"/>
      </w:pPr>
      <w:r w:rsidRPr="00A94043">
        <w:t>generally, are sized to heat a single room with a heat output of 2 – 9 kW</w:t>
      </w:r>
      <w:r w:rsidR="00F53DC3" w:rsidRPr="00A94043">
        <w:t xml:space="preserve"> (7- 32 MJ/h)</w:t>
      </w:r>
      <w:r w:rsidRPr="00A94043">
        <w:t>, though large systems up to 14 kW</w:t>
      </w:r>
      <w:r w:rsidR="00F53DC3" w:rsidRPr="00A94043">
        <w:t xml:space="preserve"> (50 MJ/h)</w:t>
      </w:r>
      <w:r w:rsidRPr="00A94043">
        <w:t xml:space="preserve"> are available and could be used to heat large open areas or a small dwelling. Smaller systems operate on single-phase electricity, but the larger capacity units may require a three-phase electricity supply</w:t>
      </w:r>
    </w:p>
    <w:p w14:paraId="7D79854D" w14:textId="17060747" w:rsidR="00166EB4" w:rsidRPr="00A94043" w:rsidRDefault="00166EB4" w:rsidP="00B8754B">
      <w:pPr>
        <w:pStyle w:val="ListParagraph"/>
        <w:numPr>
          <w:ilvl w:val="0"/>
          <w:numId w:val="10"/>
        </w:numPr>
        <w:ind w:left="714" w:hanging="357"/>
      </w:pPr>
      <w:r>
        <w:lastRenderedPageBreak/>
        <w:t>the heat output, or capacity, of reverse cycle air conditioners (heat pumps) often varies significantly with outdoor temperature, typically resulting in lower capacity at lower outdoor temperatures</w:t>
      </w:r>
    </w:p>
    <w:p w14:paraId="7A9BC819" w14:textId="32388338" w:rsidR="00C65F87" w:rsidRPr="00A94043" w:rsidRDefault="00C65F87" w:rsidP="00B8754B">
      <w:pPr>
        <w:pStyle w:val="ListParagraph"/>
        <w:numPr>
          <w:ilvl w:val="0"/>
          <w:numId w:val="10"/>
        </w:numPr>
        <w:ind w:left="714" w:hanging="357"/>
      </w:pPr>
      <w:r w:rsidRPr="00A94043">
        <w:t>are regulated under E3/GEMS</w:t>
      </w:r>
      <w:r w:rsidR="00245099">
        <w:t>/EUP Regulations</w:t>
      </w:r>
      <w:r w:rsidRPr="00A94043">
        <w:t xml:space="preserve"> with most common types required to have the Zoned Energy Rating Label (ZERL) and </w:t>
      </w:r>
      <w:r w:rsidR="00A94043">
        <w:t xml:space="preserve">comply with </w:t>
      </w:r>
      <w:r w:rsidRPr="00A94043">
        <w:t xml:space="preserve">MEPS. </w:t>
      </w:r>
    </w:p>
    <w:p w14:paraId="69BBE1A5" w14:textId="79927914" w:rsidR="00C65F87" w:rsidRPr="00A94043" w:rsidRDefault="00C65F87" w:rsidP="0046253F">
      <w:pPr>
        <w:pStyle w:val="Heading3"/>
      </w:pPr>
      <w:bookmarkStart w:id="23" w:name="_Toc175311908"/>
      <w:r w:rsidRPr="00A94043">
        <w:t>Electric resistance heaters</w:t>
      </w:r>
      <w:r w:rsidR="0046253F" w:rsidRPr="00A94043">
        <w:t xml:space="preserve"> (portable and fixed)</w:t>
      </w:r>
      <w:r w:rsidRPr="00A94043">
        <w:t>:</w:t>
      </w:r>
      <w:bookmarkEnd w:id="23"/>
    </w:p>
    <w:p w14:paraId="67CC5918" w14:textId="77777777" w:rsidR="00C65F87" w:rsidRPr="00A94043" w:rsidRDefault="00C65F87" w:rsidP="00D90977">
      <w:pPr>
        <w:pStyle w:val="ListParagraph"/>
        <w:numPr>
          <w:ilvl w:val="0"/>
          <w:numId w:val="10"/>
        </w:numPr>
      </w:pPr>
      <w:r w:rsidRPr="00A94043">
        <w:t>are electrically operated</w:t>
      </w:r>
    </w:p>
    <w:p w14:paraId="2582EBFA" w14:textId="77777777" w:rsidR="00C65F87" w:rsidRPr="00A94043" w:rsidRDefault="00C65F87" w:rsidP="00D90977">
      <w:pPr>
        <w:pStyle w:val="ListParagraph"/>
        <w:numPr>
          <w:ilvl w:val="0"/>
          <w:numId w:val="10"/>
        </w:numPr>
      </w:pPr>
      <w:r w:rsidRPr="00A94043">
        <w:t>use a resistance element to convert electrical energy to heat</w:t>
      </w:r>
    </w:p>
    <w:p w14:paraId="2AA38BC5" w14:textId="673935F3" w:rsidR="00C65F87" w:rsidRPr="00A94043" w:rsidRDefault="00C65F87" w:rsidP="00D90977">
      <w:pPr>
        <w:pStyle w:val="ListParagraph"/>
        <w:numPr>
          <w:ilvl w:val="0"/>
          <w:numId w:val="10"/>
        </w:numPr>
      </w:pPr>
      <w:r w:rsidRPr="00A94043">
        <w:t>generally, are sized to heat a single room with a heat output of up to 2.4 kW</w:t>
      </w:r>
      <w:r w:rsidR="00F53DC3" w:rsidRPr="00A94043">
        <w:t xml:space="preserve"> (9 MJ/h)</w:t>
      </w:r>
      <w:r w:rsidRPr="00A94043">
        <w:t>, though large fixed systems can operate at up to 4.8 kW</w:t>
      </w:r>
      <w:r w:rsidR="00F53DC3" w:rsidRPr="00A94043">
        <w:t xml:space="preserve"> (18 MJ/h)</w:t>
      </w:r>
    </w:p>
    <w:p w14:paraId="5F35D603" w14:textId="77777777" w:rsidR="00C65F87" w:rsidRPr="00A94043" w:rsidRDefault="00C65F87" w:rsidP="00D90977">
      <w:pPr>
        <w:pStyle w:val="ListParagraph"/>
        <w:numPr>
          <w:ilvl w:val="0"/>
          <w:numId w:val="10"/>
        </w:numPr>
      </w:pPr>
      <w:r w:rsidRPr="00A94043">
        <w:t xml:space="preserve">are not regulated for energy rating labelling or MEPS. </w:t>
      </w:r>
    </w:p>
    <w:p w14:paraId="151CA0C7" w14:textId="36184085" w:rsidR="00C65F87" w:rsidRPr="00A94043" w:rsidRDefault="0046253F" w:rsidP="0046253F">
      <w:pPr>
        <w:pStyle w:val="Heading3"/>
      </w:pPr>
      <w:bookmarkStart w:id="24" w:name="_Toc175311909"/>
      <w:r w:rsidRPr="00A94043">
        <w:t>Gas d</w:t>
      </w:r>
      <w:r w:rsidR="00C65F87" w:rsidRPr="00A94043">
        <w:t>ecorative appliances:</w:t>
      </w:r>
      <w:bookmarkEnd w:id="24"/>
    </w:p>
    <w:p w14:paraId="626C8046" w14:textId="44CD8B48" w:rsidR="00C65F87" w:rsidRPr="00A94043" w:rsidRDefault="00C65F87" w:rsidP="00D90977">
      <w:pPr>
        <w:pStyle w:val="ListParagraph"/>
        <w:numPr>
          <w:ilvl w:val="0"/>
          <w:numId w:val="10"/>
        </w:numPr>
      </w:pPr>
      <w:r w:rsidRPr="00A94043">
        <w:t>operate by burning natural gas or LPG</w:t>
      </w:r>
    </w:p>
    <w:p w14:paraId="7781F5C3" w14:textId="1C651A15" w:rsidR="00C65F87" w:rsidRPr="00A94043" w:rsidRDefault="00643B62" w:rsidP="00D90977">
      <w:pPr>
        <w:pStyle w:val="ListParagraph"/>
        <w:numPr>
          <w:ilvl w:val="0"/>
          <w:numId w:val="10"/>
        </w:numPr>
      </w:pPr>
      <w:r>
        <w:t xml:space="preserve">typically provide minimal heat output </w:t>
      </w:r>
    </w:p>
    <w:p w14:paraId="1B133B2D" w14:textId="77777777" w:rsidR="000C0464" w:rsidRDefault="000C0464" w:rsidP="00D90977">
      <w:pPr>
        <w:pStyle w:val="ListParagraph"/>
        <w:numPr>
          <w:ilvl w:val="0"/>
          <w:numId w:val="10"/>
        </w:numPr>
      </w:pPr>
      <w:r>
        <w:t>gas consumption of 20-60 MJ/h, 5-17kW</w:t>
      </w:r>
      <w:r w:rsidRPr="00A94043">
        <w:t xml:space="preserve"> </w:t>
      </w:r>
    </w:p>
    <w:p w14:paraId="4FBE2F1A" w14:textId="11DB5ABD" w:rsidR="00C65F87" w:rsidRPr="00A94043" w:rsidRDefault="00C65F87" w:rsidP="00D90977">
      <w:pPr>
        <w:pStyle w:val="ListParagraph"/>
        <w:numPr>
          <w:ilvl w:val="0"/>
          <w:numId w:val="10"/>
        </w:numPr>
      </w:pPr>
      <w:r w:rsidRPr="00A94043">
        <w:t>are not regulated under E3/GEMS</w:t>
      </w:r>
      <w:r w:rsidR="00D025C8">
        <w:t>/EUP Regulations</w:t>
      </w:r>
      <w:r w:rsidRPr="00A94043">
        <w:t xml:space="preserve"> or able to display a gas energy label.</w:t>
      </w:r>
    </w:p>
    <w:p w14:paraId="1B98B770" w14:textId="77777777" w:rsidR="004D4217" w:rsidRPr="00A94043" w:rsidRDefault="004D4217" w:rsidP="004D4217">
      <w:pPr>
        <w:pStyle w:val="Heading3"/>
      </w:pPr>
      <w:bookmarkStart w:id="25" w:name="_Toc175311910"/>
      <w:r w:rsidRPr="00A94043">
        <w:t>Ducted gas heaters:</w:t>
      </w:r>
      <w:bookmarkEnd w:id="25"/>
    </w:p>
    <w:p w14:paraId="4CC2071F" w14:textId="77777777" w:rsidR="004D4217" w:rsidRPr="00A94043" w:rsidRDefault="004D4217" w:rsidP="00D90977">
      <w:pPr>
        <w:pStyle w:val="ListParagraph"/>
        <w:numPr>
          <w:ilvl w:val="0"/>
          <w:numId w:val="10"/>
        </w:numPr>
      </w:pPr>
      <w:r w:rsidRPr="00A94043">
        <w:t>operate by burning natural gas or LPG</w:t>
      </w:r>
    </w:p>
    <w:p w14:paraId="09FEF85F" w14:textId="71221F84" w:rsidR="00D15337" w:rsidRDefault="004D4217" w:rsidP="00D90977">
      <w:pPr>
        <w:pStyle w:val="ListParagraph"/>
        <w:numPr>
          <w:ilvl w:val="0"/>
          <w:numId w:val="10"/>
        </w:numPr>
      </w:pPr>
      <w:r w:rsidRPr="00A94043">
        <w:t>use electricity to power the combustion air and air circulation fan, and controls</w:t>
      </w:r>
    </w:p>
    <w:p w14:paraId="4A981C62" w14:textId="1BC54BC6" w:rsidR="004D4217" w:rsidRPr="00A94043" w:rsidRDefault="005B494A" w:rsidP="00D90977">
      <w:pPr>
        <w:pStyle w:val="ListParagraph"/>
        <w:numPr>
          <w:ilvl w:val="1"/>
          <w:numId w:val="10"/>
        </w:numPr>
        <w:spacing w:before="240"/>
      </w:pPr>
      <w:r w:rsidRPr="00A94043">
        <w:t>Typically,</w:t>
      </w:r>
      <w:r w:rsidR="004D4217" w:rsidRPr="00A94043">
        <w:t xml:space="preserve"> the electricity consumption can be around 1.5 to 4.5% of the gas consumption (lowest for the least efficient systems and highest for highest efficiency ones)</w:t>
      </w:r>
      <w:r w:rsidR="00F868B2">
        <w:t>. I</w:t>
      </w:r>
      <w:r w:rsidR="004D4217" w:rsidRPr="00A94043">
        <w:t xml:space="preserve">n colder climates this can result in annual electricity consumption similar to a new family-sized </w:t>
      </w:r>
      <w:r w:rsidR="004D4217" w:rsidRPr="00EA22B5">
        <w:t>fridge</w:t>
      </w:r>
      <w:r w:rsidR="00276CDD">
        <w:t xml:space="preserve"> (</w:t>
      </w:r>
      <w:r w:rsidR="00276CDD" w:rsidRPr="00276CDD">
        <w:t>Sustainability Victoria, 2015</w:t>
      </w:r>
      <w:r w:rsidR="00276CDD">
        <w:t>)</w:t>
      </w:r>
      <w:r w:rsidR="00F868B2" w:rsidRPr="00EA22B5">
        <w:rPr>
          <w:color w:val="2B579A"/>
        </w:rPr>
        <w:t>.</w:t>
      </w:r>
    </w:p>
    <w:p w14:paraId="4885B990" w14:textId="77777777" w:rsidR="004D4217" w:rsidRPr="00A94043" w:rsidRDefault="004D4217" w:rsidP="00D90977">
      <w:pPr>
        <w:pStyle w:val="ListParagraph"/>
        <w:numPr>
          <w:ilvl w:val="0"/>
          <w:numId w:val="10"/>
        </w:numPr>
      </w:pPr>
      <w:r w:rsidRPr="00A94043">
        <w:t>generally, are sized to heat most of a dwelling, with a typical heat output 15 to 30 kW or 55 to 108 MJ/hour</w:t>
      </w:r>
    </w:p>
    <w:p w14:paraId="4D2C9A9C" w14:textId="30043AA4" w:rsidR="004D4217" w:rsidRPr="00A94043" w:rsidRDefault="004D4217" w:rsidP="00D90977">
      <w:pPr>
        <w:pStyle w:val="ListParagraph"/>
        <w:numPr>
          <w:ilvl w:val="0"/>
          <w:numId w:val="10"/>
        </w:numPr>
      </w:pPr>
      <w:r w:rsidRPr="00A94043">
        <w:t>are not regulated under E3/GEMS</w:t>
      </w:r>
      <w:r w:rsidR="00D025C8">
        <w:t>/EUP Regulations</w:t>
      </w:r>
      <w:r w:rsidRPr="00A94043">
        <w:t xml:space="preserve">, but display a gas energy label as part of state and territory certification requirements in Australia, which allows for comparisons between comparable gas ducted heaters. </w:t>
      </w:r>
    </w:p>
    <w:p w14:paraId="4889F76A" w14:textId="5231F254" w:rsidR="004D4217" w:rsidRPr="00A94043" w:rsidRDefault="004D4217" w:rsidP="00F9351C">
      <w:pPr>
        <w:pStyle w:val="Heading3"/>
      </w:pPr>
      <w:bookmarkStart w:id="26" w:name="_Toc175311911"/>
      <w:r w:rsidRPr="00A94043">
        <w:t xml:space="preserve">Ducted reverse cycle air conditioners (heat pumps) when </w:t>
      </w:r>
      <w:r w:rsidR="00F9351C" w:rsidRPr="00A94043">
        <w:t xml:space="preserve">being </w:t>
      </w:r>
      <w:r w:rsidRPr="00A94043">
        <w:t>used for heating:</w:t>
      </w:r>
      <w:bookmarkEnd w:id="26"/>
    </w:p>
    <w:p w14:paraId="03107B55" w14:textId="77777777" w:rsidR="00094E75" w:rsidRPr="00A94043" w:rsidRDefault="00094E75" w:rsidP="00D90977">
      <w:pPr>
        <w:pStyle w:val="ListParagraph"/>
        <w:numPr>
          <w:ilvl w:val="0"/>
          <w:numId w:val="10"/>
        </w:numPr>
      </w:pPr>
      <w:r w:rsidRPr="00A94043">
        <w:t>are electrically operated</w:t>
      </w:r>
    </w:p>
    <w:p w14:paraId="2A583084" w14:textId="54E9CF02" w:rsidR="00094E75" w:rsidRPr="00A94043" w:rsidRDefault="00094E75" w:rsidP="00D90977">
      <w:pPr>
        <w:pStyle w:val="ListParagraph"/>
        <w:numPr>
          <w:ilvl w:val="0"/>
          <w:numId w:val="10"/>
        </w:numPr>
      </w:pPr>
      <w:r w:rsidRPr="00A94043">
        <w:t>use a vapour compression refrigerant cycle to remove heat from the external environment and transfer it to the internal environment, i.e. inside the room or dwelling, via ductwork</w:t>
      </w:r>
    </w:p>
    <w:p w14:paraId="63213940" w14:textId="0D481DF0" w:rsidR="00B0291A" w:rsidRDefault="00094E75" w:rsidP="00D90977">
      <w:pPr>
        <w:pStyle w:val="ListParagraph"/>
        <w:numPr>
          <w:ilvl w:val="0"/>
          <w:numId w:val="10"/>
        </w:numPr>
      </w:pPr>
      <w:r w:rsidRPr="00A94043">
        <w:t>generally, are sized to heat most of a dwelling, with a typical heat output 10 to 30kW (36-108 MJ/hour)</w:t>
      </w:r>
    </w:p>
    <w:p w14:paraId="1449FA1F" w14:textId="7BF1DEBF" w:rsidR="00094E75" w:rsidRPr="00A94043" w:rsidRDefault="00094E75" w:rsidP="00D90977">
      <w:pPr>
        <w:pStyle w:val="ListParagraph"/>
        <w:numPr>
          <w:ilvl w:val="1"/>
          <w:numId w:val="10"/>
        </w:numPr>
      </w:pPr>
      <w:r w:rsidRPr="00A94043">
        <w:t>Smaller systems operate on single-phase electricity, but the larger capacity units may require a three-phase electricity supply</w:t>
      </w:r>
      <w:r w:rsidR="00B0291A">
        <w:t>.</w:t>
      </w:r>
    </w:p>
    <w:p w14:paraId="6649797F" w14:textId="174E7DF9" w:rsidR="00166EB4" w:rsidRDefault="00166EB4" w:rsidP="00D90977">
      <w:pPr>
        <w:pStyle w:val="ListParagraph"/>
        <w:numPr>
          <w:ilvl w:val="0"/>
          <w:numId w:val="10"/>
        </w:numPr>
      </w:pPr>
      <w:r>
        <w:lastRenderedPageBreak/>
        <w:t>the heat output, or capacity, of reverse cycle air conditioners (heat pumps) often varies significantly with outdoor temperature, typically resulting in lower capacity at lower outdoor temperatures</w:t>
      </w:r>
    </w:p>
    <w:p w14:paraId="7CD0BD43" w14:textId="11B5A78A" w:rsidR="00F9351C" w:rsidRPr="00A94043" w:rsidRDefault="00094E75" w:rsidP="00D90977">
      <w:pPr>
        <w:pStyle w:val="ListParagraph"/>
        <w:numPr>
          <w:ilvl w:val="0"/>
          <w:numId w:val="10"/>
        </w:numPr>
      </w:pPr>
      <w:r w:rsidRPr="00A94043">
        <w:t>are regulated under E3/GEMS</w:t>
      </w:r>
      <w:r w:rsidR="00D025C8">
        <w:t>/EUP Regulations</w:t>
      </w:r>
      <w:r w:rsidR="00A94043">
        <w:t xml:space="preserve"> to comply with MEPS and may voluntarily display a Zoned Energy Rating Label</w:t>
      </w:r>
      <w:r w:rsidRPr="00A94043">
        <w:t>.</w:t>
      </w:r>
    </w:p>
    <w:p w14:paraId="4079B63B" w14:textId="77777777" w:rsidR="0046253F" w:rsidRPr="00A94043" w:rsidRDefault="0046253F" w:rsidP="0046253F">
      <w:pPr>
        <w:pStyle w:val="Heading2"/>
      </w:pPr>
      <w:bookmarkStart w:id="27" w:name="_Toc175311912"/>
      <w:r w:rsidRPr="00A94043">
        <w:t>Complex heaters</w:t>
      </w:r>
      <w:bookmarkEnd w:id="27"/>
    </w:p>
    <w:p w14:paraId="7E8E2BC7" w14:textId="4251486C" w:rsidR="00C65F87" w:rsidRPr="00A94043" w:rsidRDefault="00C65F87" w:rsidP="0046253F">
      <w:pPr>
        <w:pStyle w:val="Heading3"/>
      </w:pPr>
      <w:bookmarkStart w:id="28" w:name="_Toc175311913"/>
      <w:r w:rsidRPr="00A94043">
        <w:t xml:space="preserve">Electric </w:t>
      </w:r>
      <w:r w:rsidR="00A6319F">
        <w:t xml:space="preserve">resistance </w:t>
      </w:r>
      <w:r w:rsidR="00844CE5" w:rsidRPr="00A94043">
        <w:t>underfloor</w:t>
      </w:r>
      <w:r w:rsidRPr="00A94043">
        <w:t xml:space="preserve"> heaters:</w:t>
      </w:r>
      <w:bookmarkEnd w:id="28"/>
    </w:p>
    <w:p w14:paraId="2F327C70" w14:textId="77777777" w:rsidR="00C65F87" w:rsidRPr="00A94043" w:rsidRDefault="00C65F87" w:rsidP="00D90977">
      <w:pPr>
        <w:pStyle w:val="ListParagraph"/>
        <w:numPr>
          <w:ilvl w:val="0"/>
          <w:numId w:val="10"/>
        </w:numPr>
      </w:pPr>
      <w:r w:rsidRPr="00A94043">
        <w:t>use electricity as an energy source</w:t>
      </w:r>
    </w:p>
    <w:p w14:paraId="3EDC9401" w14:textId="3E386633" w:rsidR="00C65F87" w:rsidRDefault="00C65F87" w:rsidP="00D90977">
      <w:pPr>
        <w:pStyle w:val="ListParagraph"/>
        <w:numPr>
          <w:ilvl w:val="0"/>
          <w:numId w:val="10"/>
        </w:numPr>
      </w:pPr>
      <w:r w:rsidRPr="00A94043">
        <w:t>use a resistance element to convert electrical energy to heat</w:t>
      </w:r>
    </w:p>
    <w:p w14:paraId="726BF147" w14:textId="1D92D8EE" w:rsidR="00A6319F" w:rsidRPr="00A94043" w:rsidRDefault="00A6319F" w:rsidP="00D90977">
      <w:pPr>
        <w:pStyle w:val="ListParagraph"/>
        <w:numPr>
          <w:ilvl w:val="0"/>
          <w:numId w:val="10"/>
        </w:numPr>
      </w:pPr>
      <w:r>
        <w:t>include in-slab or in-screed heating elements, and electric element mats which are placed directly under flooring</w:t>
      </w:r>
    </w:p>
    <w:p w14:paraId="0A5AD5FA" w14:textId="4354280B" w:rsidR="00A6319F" w:rsidRDefault="00A6319F" w:rsidP="00D90977">
      <w:pPr>
        <w:pStyle w:val="ListParagraph"/>
        <w:numPr>
          <w:ilvl w:val="0"/>
          <w:numId w:val="10"/>
        </w:numPr>
      </w:pPr>
      <w:r>
        <w:t xml:space="preserve">in-slab or in-screed heating elements are </w:t>
      </w:r>
      <w:r w:rsidR="072DB00F" w:rsidRPr="00A94043">
        <w:t>generally sized to heat most of a house, with a typical heat output of greater than 20 kW</w:t>
      </w:r>
      <w:r w:rsidR="00F53DC3" w:rsidRPr="00A94043">
        <w:t xml:space="preserve"> (72</w:t>
      </w:r>
      <w:r w:rsidR="007359D8">
        <w:t> </w:t>
      </w:r>
      <w:r w:rsidR="00F53DC3" w:rsidRPr="00A94043">
        <w:t>MJ/h)</w:t>
      </w:r>
      <w:r w:rsidR="004E45AF">
        <w:t>, and t</w:t>
      </w:r>
      <w:r w:rsidR="072DB00F" w:rsidRPr="00A94043">
        <w:t>hey can often be zoned to some extent</w:t>
      </w:r>
    </w:p>
    <w:p w14:paraId="2F26B07F" w14:textId="2CD2FC35" w:rsidR="00C65F87" w:rsidRPr="00A94043" w:rsidRDefault="00A6319F" w:rsidP="00D90977">
      <w:pPr>
        <w:pStyle w:val="ListParagraph"/>
        <w:numPr>
          <w:ilvl w:val="0"/>
          <w:numId w:val="10"/>
        </w:numPr>
      </w:pPr>
      <w:r>
        <w:rPr>
          <w:rFonts w:cs="Calibri"/>
        </w:rPr>
        <w:t>electric mats installed directly under flooring may be relatively small and localised, such as those used for bathroom heating</w:t>
      </w:r>
    </w:p>
    <w:p w14:paraId="7A4DD292" w14:textId="77777777" w:rsidR="00C65F87" w:rsidRPr="00A94043" w:rsidRDefault="00C65F87" w:rsidP="00D90977">
      <w:pPr>
        <w:pStyle w:val="ListParagraph"/>
        <w:numPr>
          <w:ilvl w:val="0"/>
          <w:numId w:val="10"/>
        </w:numPr>
      </w:pPr>
      <w:r w:rsidRPr="00A94043">
        <w:t>are not regulated for energy rating labelling or MEPS.</w:t>
      </w:r>
    </w:p>
    <w:p w14:paraId="4EAD4B70" w14:textId="77777777" w:rsidR="00C65F87" w:rsidRPr="00A94043" w:rsidRDefault="00C65F87" w:rsidP="0046253F">
      <w:pPr>
        <w:pStyle w:val="Heading3"/>
      </w:pPr>
      <w:bookmarkStart w:id="29" w:name="_Toc175311914"/>
      <w:r w:rsidRPr="00A94043">
        <w:t>Hydronic heaters:</w:t>
      </w:r>
      <w:bookmarkEnd w:id="29"/>
    </w:p>
    <w:p w14:paraId="6933E6D8" w14:textId="77777777" w:rsidR="00C65F87" w:rsidRPr="00A94043" w:rsidRDefault="00C65F87" w:rsidP="00D90977">
      <w:pPr>
        <w:pStyle w:val="ListParagraph"/>
        <w:numPr>
          <w:ilvl w:val="0"/>
          <w:numId w:val="10"/>
        </w:numPr>
      </w:pPr>
      <w:r w:rsidRPr="00A94043">
        <w:t>generally use electricity or gas as the main energy source, though can use solid fuels</w:t>
      </w:r>
    </w:p>
    <w:p w14:paraId="072BE089" w14:textId="1B76ADA0" w:rsidR="00C65F87" w:rsidRPr="00A94043" w:rsidRDefault="00C65F87" w:rsidP="00D90977">
      <w:pPr>
        <w:pStyle w:val="ListParagraph"/>
        <w:numPr>
          <w:ilvl w:val="0"/>
          <w:numId w:val="10"/>
        </w:numPr>
      </w:pPr>
      <w:r w:rsidRPr="00A94043">
        <w:t>use electricity to pump the water around the hydronic system</w:t>
      </w:r>
      <w:r w:rsidR="00844CE5" w:rsidRPr="00A94043">
        <w:t>, which may be in-slab, underfloor or above floor radiators</w:t>
      </w:r>
    </w:p>
    <w:p w14:paraId="3951A91C" w14:textId="5E8E3323" w:rsidR="00C65F87" w:rsidRPr="00A94043" w:rsidRDefault="00C65F87" w:rsidP="00D90977">
      <w:pPr>
        <w:pStyle w:val="ListParagraph"/>
        <w:numPr>
          <w:ilvl w:val="0"/>
          <w:numId w:val="10"/>
        </w:numPr>
      </w:pPr>
      <w:r w:rsidRPr="00A94043">
        <w:t>typically are sized to heat most of a house, with a heat output of greater than 20 kW</w:t>
      </w:r>
      <w:r w:rsidR="00F53DC3" w:rsidRPr="00A94043">
        <w:t xml:space="preserve"> (72 MJ/h)</w:t>
      </w:r>
      <w:r w:rsidR="004E45AF">
        <w:t>, and t</w:t>
      </w:r>
      <w:r w:rsidRPr="00A94043">
        <w:t>hey can often be zoned to some extent</w:t>
      </w:r>
    </w:p>
    <w:p w14:paraId="0CD159A3" w14:textId="77777777" w:rsidR="00C65F87" w:rsidRPr="00A94043" w:rsidRDefault="00C65F87" w:rsidP="00D90977">
      <w:pPr>
        <w:pStyle w:val="ListParagraph"/>
        <w:numPr>
          <w:ilvl w:val="0"/>
          <w:numId w:val="10"/>
        </w:numPr>
      </w:pPr>
      <w:r w:rsidRPr="00A94043">
        <w:t xml:space="preserve">are not regulated for energy rating labelling or MEPS. </w:t>
      </w:r>
    </w:p>
    <w:p w14:paraId="03691560" w14:textId="03BCF290" w:rsidR="00876202" w:rsidRPr="00A94043" w:rsidRDefault="00C65F87" w:rsidP="004F5C1E">
      <w:pPr>
        <w:pStyle w:val="Heading1"/>
      </w:pPr>
      <w:bookmarkStart w:id="30" w:name="_Toc175311915"/>
      <w:r w:rsidRPr="00A94043">
        <w:lastRenderedPageBreak/>
        <w:t>Discussion</w:t>
      </w:r>
      <w:r w:rsidR="008922DA" w:rsidRPr="00A94043">
        <w:t xml:space="preserve"> of the </w:t>
      </w:r>
      <w:r w:rsidR="00A569AB" w:rsidRPr="00A94043">
        <w:t>m</w:t>
      </w:r>
      <w:r w:rsidR="008922DA" w:rsidRPr="00A94043">
        <w:t>ethodology</w:t>
      </w:r>
      <w:bookmarkEnd w:id="17"/>
      <w:bookmarkEnd w:id="30"/>
    </w:p>
    <w:p w14:paraId="2550AD94" w14:textId="77777777" w:rsidR="00E31535" w:rsidRPr="00A94043" w:rsidRDefault="00E31535" w:rsidP="00E31535">
      <w:pPr>
        <w:pStyle w:val="Heading2"/>
      </w:pPr>
      <w:bookmarkStart w:id="31" w:name="_Toc146638682"/>
      <w:bookmarkStart w:id="32" w:name="_Toc175311916"/>
      <w:r w:rsidRPr="00A94043">
        <w:t>Basis of the methodology</w:t>
      </w:r>
      <w:bookmarkEnd w:id="31"/>
      <w:bookmarkEnd w:id="32"/>
    </w:p>
    <w:p w14:paraId="149E45CC" w14:textId="453C4E86" w:rsidR="00CB1543" w:rsidRPr="00A94043" w:rsidRDefault="00E31535" w:rsidP="00431992">
      <w:r w:rsidRPr="00A94043">
        <w:t xml:space="preserve">The aim in developing the </w:t>
      </w:r>
      <w:r w:rsidR="00431992" w:rsidRPr="00A94043">
        <w:t xml:space="preserve">space heater comparison </w:t>
      </w:r>
      <w:r w:rsidRPr="00A94043">
        <w:t>methodology was to identify methods for calculating the comparative energy performance of different space heaters that use a common set of performance evaluation methods</w:t>
      </w:r>
      <w:r w:rsidR="00094E75" w:rsidRPr="00A94043">
        <w:t>, based on existing space heater test standard and performance data, where possible.</w:t>
      </w:r>
      <w:r w:rsidRPr="00A94043">
        <w:t xml:space="preserve"> </w:t>
      </w:r>
    </w:p>
    <w:p w14:paraId="76BED60C" w14:textId="1A198E27" w:rsidR="00CB1543" w:rsidRPr="00A94043" w:rsidRDefault="00CB1543" w:rsidP="00CB1543">
      <w:r w:rsidRPr="00A94043">
        <w:t xml:space="preserve">Work undertaken on developing a product profile </w:t>
      </w:r>
      <w:r w:rsidR="00EE15DC" w:rsidRPr="00A94043">
        <w:t>for space heaters in Australia and New Zealand</w:t>
      </w:r>
      <w:r w:rsidR="00276CDD">
        <w:t xml:space="preserve"> (E3,2021) </w:t>
      </w:r>
      <w:r w:rsidRPr="00A94043">
        <w:t>identified energy metrics and standards that, with further work, could enable the development of comparisons across heater technologies and fuel types.</w:t>
      </w:r>
    </w:p>
    <w:p w14:paraId="12269325" w14:textId="77777777" w:rsidR="00CB1543" w:rsidRPr="00A94043" w:rsidRDefault="00CB1543" w:rsidP="00CB1543">
      <w:pPr>
        <w:spacing w:after="0"/>
      </w:pPr>
      <w:r w:rsidRPr="00A94043">
        <w:t>In order to objectively compare the performance of space heaters (including air conditioners), it is necessary to define common or comparable:</w:t>
      </w:r>
    </w:p>
    <w:p w14:paraId="6CE7A936" w14:textId="3FD3D8B0" w:rsidR="00CB1543" w:rsidRPr="00A94043" w:rsidRDefault="00CB1543" w:rsidP="00D90977">
      <w:pPr>
        <w:pStyle w:val="ListParagraph"/>
        <w:numPr>
          <w:ilvl w:val="0"/>
          <w:numId w:val="7"/>
        </w:numPr>
      </w:pPr>
      <w:r w:rsidRPr="00A94043">
        <w:t>nominal capacity</w:t>
      </w:r>
      <w:r w:rsidR="00195E0D">
        <w:t xml:space="preserve"> (or rate of heat output)</w:t>
      </w:r>
      <w:r w:rsidRPr="00A94043">
        <w:t xml:space="preserve"> of the product</w:t>
      </w:r>
    </w:p>
    <w:p w14:paraId="0E53745B" w14:textId="77777777" w:rsidR="00CB1543" w:rsidRPr="00A94043" w:rsidRDefault="00CB1543" w:rsidP="00D90977">
      <w:pPr>
        <w:pStyle w:val="ListParagraph"/>
        <w:numPr>
          <w:ilvl w:val="0"/>
          <w:numId w:val="7"/>
        </w:numPr>
      </w:pPr>
      <w:r w:rsidRPr="00A94043">
        <w:t>tasks to be delivered (heating load</w:t>
      </w:r>
      <w:r w:rsidRPr="00A94043">
        <w:rPr>
          <w:rStyle w:val="FootnoteReference"/>
        </w:rPr>
        <w:footnoteReference w:id="5"/>
      </w:r>
      <w:r w:rsidRPr="00A94043">
        <w:t xml:space="preserve"> and operating hours)</w:t>
      </w:r>
    </w:p>
    <w:p w14:paraId="32A384BA" w14:textId="77777777" w:rsidR="00CB1543" w:rsidRPr="00A94043" w:rsidRDefault="00CB1543" w:rsidP="00D90977">
      <w:pPr>
        <w:pStyle w:val="ListParagraph"/>
        <w:numPr>
          <w:ilvl w:val="0"/>
          <w:numId w:val="7"/>
        </w:numPr>
      </w:pPr>
      <w:r w:rsidRPr="00A94043">
        <w:t>conditions under which the task or tasks are completed (outdoor temperature and other relevant factors)</w:t>
      </w:r>
    </w:p>
    <w:p w14:paraId="462799DA" w14:textId="59CF073B" w:rsidR="00CB1543" w:rsidRPr="00A94043" w:rsidRDefault="00CB1543" w:rsidP="00D90977">
      <w:pPr>
        <w:pStyle w:val="ListParagraph"/>
        <w:numPr>
          <w:ilvl w:val="0"/>
          <w:numId w:val="7"/>
        </w:numPr>
      </w:pPr>
      <w:r w:rsidRPr="00A94043">
        <w:t>metric(s) by which the performance of the task or tasks would be measured, such as metrics describing the capacity</w:t>
      </w:r>
      <w:r w:rsidR="00195E0D">
        <w:t xml:space="preserve"> (which may vary with outdoor temperature)</w:t>
      </w:r>
      <w:r w:rsidRPr="00A94043">
        <w:t>, total energy use and average efficiency.</w:t>
      </w:r>
    </w:p>
    <w:p w14:paraId="141F23BA" w14:textId="222A8F2C" w:rsidR="00992AD7" w:rsidRDefault="00992AD7" w:rsidP="00CB1543">
      <w:r w:rsidRPr="00720ADF">
        <w:t xml:space="preserve">Preliminary investigations into possible technical options for a comparison methodology identified that the Air Conditioner Comparison Methodology (ACCM), consisting of the GEMS Determination for air conditioners (Greenhouse and Energy Minimum Standards (Air Conditioners up to 65kW) Determination 2019) </w:t>
      </w:r>
      <w:r w:rsidR="008F4591">
        <w:t xml:space="preserve">in Australia or </w:t>
      </w:r>
      <w:r w:rsidR="003B7118">
        <w:t>EUP Regulations</w:t>
      </w:r>
      <w:r w:rsidR="008F4591">
        <w:t xml:space="preserve"> in New Zealand</w:t>
      </w:r>
      <w:r w:rsidR="003B7118">
        <w:t xml:space="preserve"> </w:t>
      </w:r>
      <w:r w:rsidRPr="00720ADF">
        <w:t>combined with AS/NZS 3823.4.2</w:t>
      </w:r>
      <w:r>
        <w:rPr>
          <w:rStyle w:val="FootnoteReference"/>
        </w:rPr>
        <w:footnoteReference w:id="6"/>
      </w:r>
      <w:r w:rsidRPr="00720ADF">
        <w:t>, could provide a suitable methodology for calculating comparative energy consumption and energy efficiency for simple space heating technology types.</w:t>
      </w:r>
    </w:p>
    <w:p w14:paraId="6281591D" w14:textId="11D9AFFA" w:rsidR="00431992" w:rsidRPr="00A94043" w:rsidRDefault="00CB1543" w:rsidP="00431992">
      <w:r w:rsidRPr="00A94043">
        <w:t xml:space="preserve">The </w:t>
      </w:r>
      <w:bookmarkStart w:id="33" w:name="ACCM"/>
      <w:r w:rsidRPr="00A94043">
        <w:t xml:space="preserve">ACCM </w:t>
      </w:r>
      <w:bookmarkEnd w:id="33"/>
      <w:r w:rsidRPr="00A94043">
        <w:t>provides a methodology that could be used to define the tasks, conditions, and metrics to be used to assess and compare the performance of space heaters. For each space heating technology, the technical characteristics of the space heaters have been considered and the methodology has been modified or adapted so that it remains relevant to the technology, aligns with the existing heater test standards, and uses available data on space heater performance.</w:t>
      </w:r>
    </w:p>
    <w:p w14:paraId="07EA291B" w14:textId="2F1D54BB" w:rsidR="00E31535" w:rsidRPr="00A94043" w:rsidRDefault="214606D5" w:rsidP="00E31535">
      <w:r w:rsidRPr="00A94043">
        <w:t xml:space="preserve">The robust measurement methodology and effective comparison method of the ACCM, combined with its </w:t>
      </w:r>
      <w:r w:rsidR="000429B6" w:rsidRPr="00A94043">
        <w:t>straightforward</w:t>
      </w:r>
      <w:r w:rsidRPr="00A94043">
        <w:t xml:space="preserve"> approach, which does not require specialised software, make it particularly well suited to the comparison of electric resistance heaters, gas space heaters, gas decorative appliances and solid fuel combustion heaters</w:t>
      </w:r>
      <w:r w:rsidR="06DE2AB7" w:rsidRPr="00A94043">
        <w:t xml:space="preserve">. </w:t>
      </w:r>
      <w:r w:rsidR="49E7EAED" w:rsidRPr="00A94043">
        <w:t xml:space="preserve">For these heater types, their </w:t>
      </w:r>
      <w:r w:rsidRPr="00A94043">
        <w:t>thermal performance is only affected by load (which is dependent on outdoor temperature)</w:t>
      </w:r>
      <w:r w:rsidR="3E91EB13" w:rsidRPr="00A94043">
        <w:t>;</w:t>
      </w:r>
      <w:r w:rsidR="6AC15157" w:rsidRPr="00A94043">
        <w:t xml:space="preserve"> they are directly heating the occupied space</w:t>
      </w:r>
      <w:r w:rsidR="187EFB2E" w:rsidRPr="00A94043">
        <w:t>,</w:t>
      </w:r>
      <w:r w:rsidR="6AC15157" w:rsidRPr="00A94043">
        <w:t xml:space="preserve"> and </w:t>
      </w:r>
      <w:r w:rsidR="52F67DD4" w:rsidRPr="00A94043">
        <w:t xml:space="preserve">they do not </w:t>
      </w:r>
      <w:r w:rsidR="6AC15157" w:rsidRPr="00A94043">
        <w:lastRenderedPageBreak/>
        <w:t>typically contain significant thermal mass</w:t>
      </w:r>
      <w:r w:rsidRPr="00A94043">
        <w:t>.</w:t>
      </w:r>
      <w:r w:rsidR="6AC15157" w:rsidRPr="00A94043">
        <w:t xml:space="preserve"> For distributed heating systems such as ducted, hydronic and underfloor</w:t>
      </w:r>
      <w:r w:rsidR="00A6319F">
        <w:t xml:space="preserve"> (including in-screed and in-slab)</w:t>
      </w:r>
      <w:r w:rsidR="6AC15157" w:rsidRPr="00A94043">
        <w:t xml:space="preserve"> heating</w:t>
      </w:r>
      <w:r w:rsidR="59CBDCE2" w:rsidRPr="00A94043">
        <w:t>,</w:t>
      </w:r>
      <w:r w:rsidR="6AC15157" w:rsidRPr="00A94043">
        <w:t xml:space="preserve"> the distribution losses and effects of thermal mass need to be considered, and the methodology adjusted appropriately for each technology type. For solar-thermal hydronic and heat pump hydronic systems</w:t>
      </w:r>
      <w:r w:rsidR="043DCF62" w:rsidRPr="00A94043">
        <w:t>,</w:t>
      </w:r>
      <w:r w:rsidR="6AC15157" w:rsidRPr="00A94043">
        <w:t xml:space="preserve"> interactions with solar radiation and ambient temperature also need to be considered.</w:t>
      </w:r>
    </w:p>
    <w:p w14:paraId="2EB19CB7" w14:textId="033D83F5" w:rsidR="001563BF" w:rsidRPr="00A94043" w:rsidRDefault="001563BF" w:rsidP="00E31535">
      <w:r w:rsidRPr="00A94043">
        <w:t>Throughout the space heater comparison methodology</w:t>
      </w:r>
      <w:r w:rsidR="005F1BC8">
        <w:t>,</w:t>
      </w:r>
      <w:r w:rsidRPr="00A94043">
        <w:t xml:space="preserve"> equations are provided </w:t>
      </w:r>
      <w:r w:rsidR="00314508">
        <w:t xml:space="preserve">for calculating </w:t>
      </w:r>
      <w:r w:rsidRPr="00A94043">
        <w:t xml:space="preserve">the total </w:t>
      </w:r>
      <w:r w:rsidR="00CA5572">
        <w:t>energy</w:t>
      </w:r>
      <w:r w:rsidR="00CA5572" w:rsidRPr="00A94043">
        <w:t xml:space="preserve"> </w:t>
      </w:r>
      <w:r w:rsidRPr="00A94043">
        <w:t xml:space="preserve">input </w:t>
      </w:r>
      <w:r w:rsidR="00314508">
        <w:t>of a heater</w:t>
      </w:r>
      <w:r w:rsidR="00C17550">
        <w:t>.</w:t>
      </w:r>
      <w:r w:rsidR="00314508">
        <w:t xml:space="preserve"> </w:t>
      </w:r>
      <w:r w:rsidR="00C17550">
        <w:t xml:space="preserve">Depending on the heater technology, total </w:t>
      </w:r>
      <w:r w:rsidR="00A714E3">
        <w:t>energy</w:t>
      </w:r>
      <w:r w:rsidR="00C17550">
        <w:t xml:space="preserve"> input could </w:t>
      </w:r>
      <w:r w:rsidR="00A714E3">
        <w:t>include</w:t>
      </w:r>
      <w:r w:rsidR="0067218C">
        <w:t xml:space="preserve"> </w:t>
      </w:r>
      <w:r w:rsidR="00A5242C">
        <w:t xml:space="preserve">electric </w:t>
      </w:r>
      <w:r w:rsidR="00C17550">
        <w:t xml:space="preserve">power input </w:t>
      </w:r>
      <w:r w:rsidR="00A5242C">
        <w:t xml:space="preserve">only, </w:t>
      </w:r>
      <w:r w:rsidR="00A714E3">
        <w:t xml:space="preserve">or </w:t>
      </w:r>
      <w:r w:rsidRPr="00A94043">
        <w:t xml:space="preserve">gas </w:t>
      </w:r>
      <w:r w:rsidR="00A5242C">
        <w:t>plus electric</w:t>
      </w:r>
      <w:r w:rsidR="00C17550">
        <w:t xml:space="preserve"> power input</w:t>
      </w:r>
      <w:r w:rsidR="00A5242C">
        <w:t xml:space="preserve">, </w:t>
      </w:r>
      <w:r w:rsidRPr="00A94043">
        <w:t>or solid</w:t>
      </w:r>
      <w:r w:rsidR="000C6ABB">
        <w:t xml:space="preserve"> </w:t>
      </w:r>
      <w:r w:rsidRPr="00A94043">
        <w:t>fuel plus electric</w:t>
      </w:r>
      <w:r w:rsidR="00C17550">
        <w:t xml:space="preserve"> power input</w:t>
      </w:r>
      <w:r w:rsidR="005F1BC8">
        <w:t>.</w:t>
      </w:r>
      <w:r w:rsidR="00314508">
        <w:t xml:space="preserve"> </w:t>
      </w:r>
      <w:r w:rsidR="0067218C">
        <w:t>B</w:t>
      </w:r>
      <w:r w:rsidRPr="00A94043">
        <w:t xml:space="preserve">ut </w:t>
      </w:r>
      <w:r w:rsidR="00824D40">
        <w:t xml:space="preserve">the equations </w:t>
      </w:r>
      <w:r w:rsidRPr="00A94043">
        <w:t xml:space="preserve">could be duplicated </w:t>
      </w:r>
      <w:r w:rsidR="00824D40">
        <w:t xml:space="preserve">in a way that enables </w:t>
      </w:r>
      <w:r w:rsidR="00F6470C">
        <w:t xml:space="preserve">the </w:t>
      </w:r>
      <w:r w:rsidRPr="00A94043">
        <w:t xml:space="preserve">energy </w:t>
      </w:r>
      <w:r w:rsidR="00F6470C">
        <w:t xml:space="preserve">input from different fuels to be calculated </w:t>
      </w:r>
      <w:r w:rsidRPr="00A94043">
        <w:t xml:space="preserve">separately for the purposes of estimating </w:t>
      </w:r>
      <w:r w:rsidR="00C26607">
        <w:t xml:space="preserve">carbon </w:t>
      </w:r>
      <w:r w:rsidRPr="00A94043">
        <w:t>emissions and operating costs.</w:t>
      </w:r>
    </w:p>
    <w:p w14:paraId="5FC1A0C9" w14:textId="77777777" w:rsidR="00E31535" w:rsidRPr="00A94043" w:rsidRDefault="00E31535" w:rsidP="00E31535">
      <w:pPr>
        <w:pStyle w:val="Heading2"/>
      </w:pPr>
      <w:bookmarkStart w:id="34" w:name="_Toc99633203"/>
      <w:bookmarkStart w:id="35" w:name="_Toc146638684"/>
      <w:bookmarkStart w:id="36" w:name="_Toc175311917"/>
      <w:r w:rsidRPr="00A94043">
        <w:t>Methodology overview</w:t>
      </w:r>
      <w:bookmarkEnd w:id="34"/>
      <w:bookmarkEnd w:id="35"/>
      <w:bookmarkEnd w:id="36"/>
    </w:p>
    <w:p w14:paraId="39D66B19" w14:textId="3BDC254E" w:rsidR="00117A12" w:rsidRDefault="00082FFC" w:rsidP="000C2E1B">
      <w:r>
        <w:t xml:space="preserve">The space heater comparison methodology needs to enable the comparison of </w:t>
      </w:r>
      <w:r w:rsidR="0040159C">
        <w:t>heater</w:t>
      </w:r>
      <w:r w:rsidR="00887495">
        <w:t>s</w:t>
      </w:r>
      <w:r w:rsidR="00117A12">
        <w:t>:</w:t>
      </w:r>
    </w:p>
    <w:p w14:paraId="33BA148E" w14:textId="6EB51E29" w:rsidR="006C148D" w:rsidRDefault="006C148D" w:rsidP="006C148D">
      <w:pPr>
        <w:pStyle w:val="Bullets-Major"/>
      </w:pPr>
      <w:r>
        <w:t xml:space="preserve">that </w:t>
      </w:r>
      <w:r w:rsidR="0040159C">
        <w:t xml:space="preserve">have different </w:t>
      </w:r>
      <w:r w:rsidR="00500ACC">
        <w:t>mechanisms</w:t>
      </w:r>
    </w:p>
    <w:p w14:paraId="3A316506" w14:textId="66EB492D" w:rsidR="006C148D" w:rsidRDefault="006C148D" w:rsidP="006C148D">
      <w:pPr>
        <w:pStyle w:val="Bullets-Major"/>
      </w:pPr>
      <w:r>
        <w:t xml:space="preserve">that </w:t>
      </w:r>
      <w:r w:rsidR="00B96DF3">
        <w:t>use different fuels or combinations of fuels</w:t>
      </w:r>
    </w:p>
    <w:p w14:paraId="1E4FC648" w14:textId="6869657A" w:rsidR="00082FFC" w:rsidRDefault="006C148D" w:rsidP="006D039F">
      <w:pPr>
        <w:pStyle w:val="Bullets-Major"/>
      </w:pPr>
      <w:r>
        <w:t xml:space="preserve">whose performance </w:t>
      </w:r>
      <w:r w:rsidR="00117A12">
        <w:t>may or may not be affected by outdoor temperatures</w:t>
      </w:r>
      <w:r w:rsidR="006D039F">
        <w:t>.</w:t>
      </w:r>
    </w:p>
    <w:p w14:paraId="22BF06D8" w14:textId="1CF44A42" w:rsidR="006D039F" w:rsidRDefault="00577B1A" w:rsidP="00CB5478">
      <w:pPr>
        <w:pStyle w:val="Bullets-Major"/>
        <w:numPr>
          <w:ilvl w:val="0"/>
          <w:numId w:val="0"/>
        </w:numPr>
      </w:pPr>
      <w:r>
        <w:t xml:space="preserve">The </w:t>
      </w:r>
      <w:r w:rsidR="002B24A4">
        <w:t xml:space="preserve">proposed </w:t>
      </w:r>
      <w:r w:rsidR="00A73720">
        <w:t xml:space="preserve">comparison methodology </w:t>
      </w:r>
      <w:r w:rsidR="008F6FD3">
        <w:t xml:space="preserve">is flexible enough to </w:t>
      </w:r>
      <w:r>
        <w:t>enable th</w:t>
      </w:r>
      <w:r w:rsidR="002B24A4">
        <w:t>is</w:t>
      </w:r>
      <w:r w:rsidR="00190A0F">
        <w:t xml:space="preserve"> </w:t>
      </w:r>
      <w:r w:rsidR="009C0A5F">
        <w:t xml:space="preserve">range of </w:t>
      </w:r>
      <w:r w:rsidR="00190A0F">
        <w:t xml:space="preserve">variation among different </w:t>
      </w:r>
      <w:r w:rsidR="002E7D32">
        <w:t xml:space="preserve">simpler </w:t>
      </w:r>
      <w:r w:rsidR="00190A0F">
        <w:t xml:space="preserve">heater types to </w:t>
      </w:r>
      <w:r>
        <w:t xml:space="preserve">be </w:t>
      </w:r>
      <w:r w:rsidR="00F64948">
        <w:t xml:space="preserve">taken into account in </w:t>
      </w:r>
      <w:r w:rsidR="009C0A5F">
        <w:t xml:space="preserve">the </w:t>
      </w:r>
      <w:r w:rsidR="00370030">
        <w:t xml:space="preserve">heater performance </w:t>
      </w:r>
      <w:r w:rsidR="002770B5">
        <w:t>calculations</w:t>
      </w:r>
      <w:r w:rsidR="00664A72">
        <w:t>.</w:t>
      </w:r>
      <w:r w:rsidR="00643B62">
        <w:t xml:space="preserve"> Further work is continuing to adapt the methodology for more complex heater types where the effects of distribution and system losses, thermal mass, outdoor temperature and solar radiation may need to be included.</w:t>
      </w:r>
      <w:r w:rsidR="008F6FD3">
        <w:t xml:space="preserve">  </w:t>
      </w:r>
    </w:p>
    <w:p w14:paraId="480CB453" w14:textId="6EBF9B28" w:rsidR="00D45D93" w:rsidRPr="00A94043" w:rsidRDefault="00E31535" w:rsidP="00E31535">
      <w:r w:rsidRPr="00A94043">
        <w:t xml:space="preserve">The </w:t>
      </w:r>
      <w:r w:rsidR="00CB1543" w:rsidRPr="00A94043">
        <w:t xml:space="preserve">space heater comparison </w:t>
      </w:r>
      <w:r w:rsidR="00D45D93" w:rsidRPr="00A94043">
        <w:t xml:space="preserve">methodology comprises </w:t>
      </w:r>
      <w:r w:rsidRPr="00A94043">
        <w:t xml:space="preserve">three </w:t>
      </w:r>
      <w:bookmarkStart w:id="37" w:name="_Hlk99550210"/>
      <w:r w:rsidRPr="00A94043">
        <w:t>stages</w:t>
      </w:r>
      <w:r w:rsidR="00D45D93" w:rsidRPr="00A94043">
        <w:t xml:space="preserve">, as shown in </w:t>
      </w:r>
      <w:r w:rsidR="00D45D93" w:rsidRPr="00A94043">
        <w:rPr>
          <w:color w:val="2B579A"/>
          <w:shd w:val="clear" w:color="auto" w:fill="E6E6E6"/>
        </w:rPr>
        <w:fldChar w:fldCharType="begin"/>
      </w:r>
      <w:r w:rsidR="00D45D93" w:rsidRPr="00A94043">
        <w:instrText xml:space="preserve"> REF _Ref53913330 \h </w:instrText>
      </w:r>
      <w:r w:rsidR="00D45D93" w:rsidRPr="00A94043">
        <w:rPr>
          <w:color w:val="2B579A"/>
          <w:shd w:val="clear" w:color="auto" w:fill="E6E6E6"/>
        </w:rPr>
      </w:r>
      <w:r w:rsidR="00D45D93" w:rsidRPr="00A94043">
        <w:rPr>
          <w:color w:val="2B579A"/>
          <w:shd w:val="clear" w:color="auto" w:fill="E6E6E6"/>
        </w:rPr>
        <w:fldChar w:fldCharType="separate"/>
      </w:r>
      <w:r w:rsidR="007068DD" w:rsidRPr="00A94043">
        <w:t xml:space="preserve">Figure </w:t>
      </w:r>
      <w:r w:rsidR="007068DD">
        <w:rPr>
          <w:noProof/>
        </w:rPr>
        <w:t>1</w:t>
      </w:r>
      <w:r w:rsidR="00D45D93" w:rsidRPr="00A94043">
        <w:rPr>
          <w:color w:val="2B579A"/>
          <w:shd w:val="clear" w:color="auto" w:fill="E6E6E6"/>
        </w:rPr>
        <w:fldChar w:fldCharType="end"/>
      </w:r>
      <w:r w:rsidR="00D45D93" w:rsidRPr="00A94043">
        <w:t>:</w:t>
      </w:r>
    </w:p>
    <w:p w14:paraId="2C91D401" w14:textId="46EAB4C3" w:rsidR="00CB1543" w:rsidRPr="00A94043" w:rsidRDefault="00CB1543" w:rsidP="00D90977">
      <w:pPr>
        <w:pStyle w:val="ListParagraph"/>
        <w:numPr>
          <w:ilvl w:val="0"/>
          <w:numId w:val="13"/>
        </w:numPr>
      </w:pPr>
      <w:r w:rsidRPr="00A94043">
        <w:t>Key Product Characteristics</w:t>
      </w:r>
      <w:r w:rsidR="00D45D93" w:rsidRPr="00A94043">
        <w:t>:</w:t>
      </w:r>
      <w:r w:rsidRPr="00A94043">
        <w:t xml:space="preserve"> For each space heater technology type the existing test standards are used as a basis for defining the product’s key characteristics including rated heating capacity</w:t>
      </w:r>
      <w:r w:rsidR="0029062B">
        <w:t xml:space="preserve"> (heating output)</w:t>
      </w:r>
      <w:r w:rsidRPr="00A94043">
        <w:t xml:space="preserve">, power input, thermal efficiency, inactive energy consumption; </w:t>
      </w:r>
      <w:r w:rsidR="0029062B">
        <w:t xml:space="preserve">the variation of these characteristics with load, outdoor temperature or other factors; </w:t>
      </w:r>
      <w:r w:rsidRPr="00A94043">
        <w:t xml:space="preserve">and defining any product sub-types, particularly based on their controls which affect how well a product can match its </w:t>
      </w:r>
      <w:r w:rsidR="00927FE9">
        <w:t xml:space="preserve">heat </w:t>
      </w:r>
      <w:r w:rsidRPr="00A94043">
        <w:t>output with the thermal load.</w:t>
      </w:r>
    </w:p>
    <w:p w14:paraId="1C4D4EFB" w14:textId="553FD86F" w:rsidR="00CB1543" w:rsidRPr="00A94043" w:rsidRDefault="00CB1543" w:rsidP="00D90977">
      <w:pPr>
        <w:pStyle w:val="ListParagraph"/>
        <w:numPr>
          <w:ilvl w:val="0"/>
          <w:numId w:val="13"/>
        </w:numPr>
      </w:pPr>
      <w:r w:rsidRPr="00A94043">
        <w:t>Heating Annual Energy Use:</w:t>
      </w:r>
      <w:r w:rsidR="00E31535" w:rsidRPr="00A94043">
        <w:t xml:space="preserve"> </w:t>
      </w:r>
      <w:bookmarkEnd w:id="37"/>
      <w:r w:rsidRPr="00A94043">
        <w:t>The way in which capacity, power input, efficiency and load vary with outdoor temperature, as described by the product’s key characteristics, are then used to calculate the annual energy use</w:t>
      </w:r>
      <w:r w:rsidR="00645B45">
        <w:t>. Annual energy use</w:t>
      </w:r>
      <w:r w:rsidRPr="00A94043">
        <w:t xml:space="preserve"> includ</w:t>
      </w:r>
      <w:r w:rsidR="00645B45">
        <w:t>es</w:t>
      </w:r>
      <w:r w:rsidRPr="00A94043">
        <w:t xml:space="preserve"> both the</w:t>
      </w:r>
      <w:r w:rsidR="00EB2BD6" w:rsidRPr="00A94043">
        <w:t xml:space="preserve"> energy consumed during heating (the </w:t>
      </w:r>
      <w:r w:rsidRPr="00A94043">
        <w:t>Heating Seasonal Energy Consumption</w:t>
      </w:r>
      <w:r w:rsidR="00EB2BD6" w:rsidRPr="00A94043">
        <w:t xml:space="preserve">, </w:t>
      </w:r>
      <w:r w:rsidRPr="00A94043">
        <w:t>HSEC) and the inactive/standby energy consumption.</w:t>
      </w:r>
    </w:p>
    <w:p w14:paraId="62E6B2AE" w14:textId="3037578F" w:rsidR="00CB1543" w:rsidRPr="00A94043" w:rsidRDefault="00CB1543" w:rsidP="00D90977">
      <w:pPr>
        <w:pStyle w:val="ListParagraph"/>
        <w:numPr>
          <w:ilvl w:val="0"/>
          <w:numId w:val="13"/>
        </w:numPr>
      </w:pPr>
      <w:r w:rsidRPr="00A94043">
        <w:t>Heating Seasonal Performance Factor: The ratio of heating seasonal load to energy input is used to define the overall heating performance or product efficiency.</w:t>
      </w:r>
    </w:p>
    <w:p w14:paraId="5EFF67BA" w14:textId="4F4E1C48" w:rsidR="00E31535" w:rsidRPr="00A94043" w:rsidRDefault="00E31535" w:rsidP="00CB1543">
      <w:r w:rsidRPr="00A94043">
        <w:t xml:space="preserve">These stages progressively build to the final calculation of overall product efficiency.  Firstly, the product characteristics are defined and calculated, then the heating annual energy use is calculated using the product characteristic information, and finally the Heating Seasonal Performance Factor (HSPF) is calculated. </w:t>
      </w:r>
      <w:r w:rsidR="00CB1543" w:rsidRPr="00A94043">
        <w:t>The individual definitions of the key product characteristics for each space heater technology type are provided in</w:t>
      </w:r>
      <w:r w:rsidR="00BE666F">
        <w:t xml:space="preserve"> </w:t>
      </w:r>
      <w:r w:rsidR="00BE666F">
        <w:fldChar w:fldCharType="begin"/>
      </w:r>
      <w:r w:rsidR="00BE666F">
        <w:instrText xml:space="preserve"> REF _Ref158020762 \h </w:instrText>
      </w:r>
      <w:r w:rsidR="00BE666F">
        <w:fldChar w:fldCharType="separate"/>
      </w:r>
      <w:r w:rsidR="007068DD" w:rsidRPr="004F5C1E">
        <w:t>Appendix 2:  Key Characteristics for Each Heater Type</w:t>
      </w:r>
      <w:r w:rsidR="00BE666F">
        <w:fldChar w:fldCharType="end"/>
      </w:r>
      <w:r w:rsidR="00CB1543" w:rsidRPr="00A94043">
        <w:t>.</w:t>
      </w:r>
      <w:r w:rsidR="00F426E4">
        <w:t xml:space="preserve"> Example data is provided in </w:t>
      </w:r>
      <w:r w:rsidR="00BE666F">
        <w:fldChar w:fldCharType="begin"/>
      </w:r>
      <w:r w:rsidR="00BE666F">
        <w:instrText xml:space="preserve"> REF _Ref159309845 \h </w:instrText>
      </w:r>
      <w:r w:rsidR="00BE666F">
        <w:fldChar w:fldCharType="separate"/>
      </w:r>
      <w:r w:rsidR="007068DD" w:rsidRPr="004F5C1E">
        <w:t>Appendix 4:  Example data and results</w:t>
      </w:r>
      <w:r w:rsidR="00BE666F">
        <w:fldChar w:fldCharType="end"/>
      </w:r>
      <w:r w:rsidR="002B1EA7">
        <w:t>.</w:t>
      </w:r>
    </w:p>
    <w:p w14:paraId="0F0C44FB" w14:textId="181BB4A2" w:rsidR="00CB1543" w:rsidRPr="00A94043" w:rsidRDefault="00E31535" w:rsidP="00CB1543">
      <w:pPr>
        <w:pStyle w:val="Caption"/>
        <w:ind w:left="360" w:hanging="502"/>
      </w:pPr>
      <w:bookmarkStart w:id="38" w:name="_Ref53913330"/>
      <w:bookmarkStart w:id="39" w:name="_Toc175309963"/>
      <w:r w:rsidRPr="00A94043">
        <w:lastRenderedPageBreak/>
        <w:t xml:space="preserve">Figure </w:t>
      </w:r>
      <w:r w:rsidRPr="00A94043">
        <w:rPr>
          <w:color w:val="2B579A"/>
          <w:shd w:val="clear" w:color="auto" w:fill="E6E6E6"/>
        </w:rPr>
        <w:fldChar w:fldCharType="begin"/>
      </w:r>
      <w:r w:rsidRPr="00A94043">
        <w:instrText>SEQ Figure \* ARABIC</w:instrText>
      </w:r>
      <w:r w:rsidRPr="00A94043">
        <w:rPr>
          <w:color w:val="2B579A"/>
          <w:shd w:val="clear" w:color="auto" w:fill="E6E6E6"/>
        </w:rPr>
        <w:fldChar w:fldCharType="separate"/>
      </w:r>
      <w:r w:rsidR="007068DD">
        <w:rPr>
          <w:noProof/>
        </w:rPr>
        <w:t>1</w:t>
      </w:r>
      <w:r w:rsidRPr="00A94043">
        <w:rPr>
          <w:color w:val="2B579A"/>
          <w:shd w:val="clear" w:color="auto" w:fill="E6E6E6"/>
        </w:rPr>
        <w:fldChar w:fldCharType="end"/>
      </w:r>
      <w:bookmarkEnd w:id="38"/>
      <w:r w:rsidRPr="00A94043">
        <w:t>: Methodology stages and key aspects</w:t>
      </w:r>
      <w:bookmarkEnd w:id="39"/>
      <w:r w:rsidRPr="00A94043">
        <w:t xml:space="preserve"> </w:t>
      </w:r>
    </w:p>
    <w:p w14:paraId="64BF10DF" w14:textId="4CB13750" w:rsidR="00CB1543" w:rsidRPr="00A94043" w:rsidRDefault="00BD6168" w:rsidP="00CB1543">
      <w:pPr>
        <w:spacing w:after="0"/>
      </w:pPr>
      <w:r>
        <w:rPr>
          <w:noProof/>
        </w:rPr>
        <w:drawing>
          <wp:inline distT="0" distB="0" distL="0" distR="0" wp14:anchorId="641E6F3D" wp14:editId="08F79D2A">
            <wp:extent cx="5886450" cy="4714548"/>
            <wp:effectExtent l="0" t="0" r="0" b="0"/>
            <wp:docPr id="1561942926" name="Picture 4" descr="This image lists out the methodology stages: key product characteristics, heating annual energy use and heating seasonal performance factor. It further expands on the key aspects of each methodology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42926" name="Picture 4" descr="This image lists out the methodology stages: key product characteristics, heating annual energy use and heating seasonal performance factor. It further expands on the key aspects of each methodology st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92904" cy="4719717"/>
                    </a:xfrm>
                    <a:prstGeom prst="rect">
                      <a:avLst/>
                    </a:prstGeom>
                    <a:noFill/>
                    <a:ln>
                      <a:noFill/>
                    </a:ln>
                  </pic:spPr>
                </pic:pic>
              </a:graphicData>
            </a:graphic>
          </wp:inline>
        </w:drawing>
      </w:r>
    </w:p>
    <w:p w14:paraId="10F723FD" w14:textId="77777777" w:rsidR="00CB1543" w:rsidRPr="00A94043" w:rsidRDefault="00CB1543" w:rsidP="00CB1543">
      <w:pPr>
        <w:rPr>
          <w:sz w:val="20"/>
          <w:szCs w:val="18"/>
        </w:rPr>
      </w:pPr>
      <w:r w:rsidRPr="00A94043">
        <w:rPr>
          <w:sz w:val="20"/>
          <w:szCs w:val="18"/>
        </w:rPr>
        <w:t>*Coefficient of Performance (COP)</w:t>
      </w:r>
    </w:p>
    <w:p w14:paraId="18A49D37" w14:textId="77777777" w:rsidR="00CB1543" w:rsidRPr="00A94043" w:rsidRDefault="00CB1543" w:rsidP="00CB1543"/>
    <w:p w14:paraId="3BA6F6DE" w14:textId="0A31ACA1" w:rsidR="003F3DF7" w:rsidRDefault="00B4257A" w:rsidP="006C1679">
      <w:r>
        <w:t xml:space="preserve">One of the </w:t>
      </w:r>
      <w:r w:rsidR="00F8421A">
        <w:t xml:space="preserve">requirements </w:t>
      </w:r>
      <w:r>
        <w:t xml:space="preserve">of the comparison methodology was to </w:t>
      </w:r>
      <w:r w:rsidR="00244274">
        <w:t>include</w:t>
      </w:r>
      <w:r w:rsidR="00F8421A">
        <w:t xml:space="preserve"> </w:t>
      </w:r>
      <w:r w:rsidR="00767B77">
        <w:t xml:space="preserve">appropriate </w:t>
      </w:r>
      <w:r w:rsidR="00246C2A">
        <w:t>solutions</w:t>
      </w:r>
      <w:r w:rsidR="008E7F1D">
        <w:t xml:space="preserve"> </w:t>
      </w:r>
      <w:r w:rsidR="0060143A">
        <w:t xml:space="preserve">for comparing </w:t>
      </w:r>
      <w:r w:rsidR="00643B62">
        <w:t>weather independent</w:t>
      </w:r>
      <w:r>
        <w:t xml:space="preserve"> </w:t>
      </w:r>
      <w:r w:rsidR="00A850F7" w:rsidRPr="00845FD1">
        <w:t>heaters</w:t>
      </w:r>
      <w:r w:rsidR="00CB5478">
        <w:t>,</w:t>
      </w:r>
      <w:r w:rsidR="00A60630">
        <w:t xml:space="preserve"> whose performance </w:t>
      </w:r>
      <w:r w:rsidR="00A60630" w:rsidRPr="00CB5478">
        <w:rPr>
          <w:i/>
          <w:iCs/>
        </w:rPr>
        <w:t>does not</w:t>
      </w:r>
      <w:r w:rsidR="00A60630">
        <w:t xml:space="preserve"> depend on outdoor temperatures</w:t>
      </w:r>
      <w:r w:rsidR="00477C42">
        <w:t xml:space="preserve">, with </w:t>
      </w:r>
      <w:r w:rsidR="00643B62">
        <w:t>weather dependent</w:t>
      </w:r>
      <w:r>
        <w:t xml:space="preserve"> heaters</w:t>
      </w:r>
      <w:r w:rsidR="00A60630">
        <w:t xml:space="preserve"> whose performance</w:t>
      </w:r>
      <w:r w:rsidR="00643B62">
        <w:t>, and in particular capacity,</w:t>
      </w:r>
      <w:r w:rsidR="00A60630">
        <w:t xml:space="preserve"> </w:t>
      </w:r>
      <w:r w:rsidR="00A60630" w:rsidRPr="00CB5478">
        <w:rPr>
          <w:i/>
          <w:iCs/>
        </w:rPr>
        <w:t>does</w:t>
      </w:r>
      <w:r w:rsidR="00A60630">
        <w:t xml:space="preserve"> depend on </w:t>
      </w:r>
      <w:r w:rsidR="00643B62">
        <w:t xml:space="preserve">weather conditions such as </w:t>
      </w:r>
      <w:r w:rsidR="00A60630">
        <w:t>outdoor temperatures</w:t>
      </w:r>
      <w:r>
        <w:t>.</w:t>
      </w:r>
      <w:r w:rsidR="00246C2A">
        <w:t xml:space="preserve"> </w:t>
      </w:r>
      <w:r w:rsidR="00D66CB1">
        <w:t>Noting that the ACCM</w:t>
      </w:r>
      <w:r w:rsidR="00631136">
        <w:t xml:space="preserve"> was developed for </w:t>
      </w:r>
      <w:r w:rsidR="00643B62">
        <w:t>weather dependent</w:t>
      </w:r>
      <w:r w:rsidR="00631136">
        <w:t xml:space="preserve"> heaters (air conditioners), this </w:t>
      </w:r>
      <w:r w:rsidR="002D2E0C">
        <w:t xml:space="preserve">has </w:t>
      </w:r>
      <w:r w:rsidR="00B34B27">
        <w:t xml:space="preserve">involved deciding on ways to align the </w:t>
      </w:r>
      <w:r w:rsidR="009E2BE1">
        <w:t>performance calculation</w:t>
      </w:r>
      <w:r w:rsidR="000E03CA">
        <w:t xml:space="preserve"> approache</w:t>
      </w:r>
      <w:r w:rsidR="009E2BE1">
        <w:t xml:space="preserve">s for </w:t>
      </w:r>
      <w:r w:rsidR="00643B62">
        <w:t>weather independent</w:t>
      </w:r>
      <w:r w:rsidR="009E2BE1">
        <w:t xml:space="preserve"> heaters </w:t>
      </w:r>
      <w:r w:rsidR="002E483A">
        <w:t>with performance calculation</w:t>
      </w:r>
      <w:r w:rsidR="000E03CA">
        <w:t xml:space="preserve"> approache</w:t>
      </w:r>
      <w:r w:rsidR="002E483A">
        <w:t xml:space="preserve">s </w:t>
      </w:r>
      <w:r w:rsidR="000E03CA">
        <w:t xml:space="preserve">already established </w:t>
      </w:r>
      <w:r w:rsidR="003650AD">
        <w:t xml:space="preserve">by </w:t>
      </w:r>
      <w:r w:rsidR="000E03CA">
        <w:t>the ACCM</w:t>
      </w:r>
      <w:r w:rsidR="002E483A">
        <w:t>.</w:t>
      </w:r>
    </w:p>
    <w:p w14:paraId="1AFC54A0" w14:textId="01868AC7" w:rsidR="00E31535" w:rsidRPr="00A94043" w:rsidRDefault="00996B98" w:rsidP="00E31535">
      <w:r w:rsidRPr="00A94043">
        <w:t xml:space="preserve">Individual components of the methodology, such as the definition of capacity, load and make-up heat </w:t>
      </w:r>
      <w:r w:rsidR="007B2271">
        <w:t>were</w:t>
      </w:r>
      <w:r w:rsidRPr="00A94043">
        <w:t xml:space="preserve"> discussed in detail by the TWG, and some of these are describe</w:t>
      </w:r>
      <w:r w:rsidR="00EB2BD6" w:rsidRPr="00A94043">
        <w:t>d</w:t>
      </w:r>
      <w:r w:rsidRPr="00A94043">
        <w:t xml:space="preserve"> in more detail below. </w:t>
      </w:r>
      <w:r w:rsidR="00E31535" w:rsidRPr="00A94043">
        <w:t xml:space="preserve">The analysis presented in previous TWG papers and discussions within the TWG have yielded the following approach for </w:t>
      </w:r>
      <w:r w:rsidR="00EB2BD6" w:rsidRPr="00A94043">
        <w:t>the space heater</w:t>
      </w:r>
      <w:r w:rsidR="00E31535" w:rsidRPr="00A94043">
        <w:t xml:space="preserve"> </w:t>
      </w:r>
      <w:r w:rsidR="00F325D4" w:rsidRPr="00A94043">
        <w:t>comparison</w:t>
      </w:r>
      <w:r w:rsidR="00E31535" w:rsidRPr="00A94043">
        <w:t xml:space="preserve"> methodology:</w:t>
      </w:r>
    </w:p>
    <w:p w14:paraId="64CC1406" w14:textId="55703C90" w:rsidR="00643B62" w:rsidRPr="00643B62" w:rsidRDefault="00643B62" w:rsidP="00643B62">
      <w:pPr>
        <w:pStyle w:val="Bullets-Major"/>
        <w:rPr>
          <w:rFonts w:ascii="Arial" w:hAnsi="Arial" w:cs="Arial"/>
          <w:sz w:val="20"/>
          <w:lang w:eastAsia="en-AU"/>
        </w:rPr>
      </w:pPr>
      <w:r w:rsidRPr="00643B62">
        <w:rPr>
          <w:lang w:eastAsia="en-AU"/>
        </w:rPr>
        <w:t>load will be defined in accordance with the ACCM based on the rated full capacity of the heater. For air conditioners the rated full capacity of the air conditioner is defined at 7</w:t>
      </w:r>
      <w:r w:rsidRPr="005F262D">
        <w:rPr>
          <w:rFonts w:ascii="Cambria" w:hAnsi="Cambria"/>
        </w:rPr>
        <w:t>°</w:t>
      </w:r>
      <w:r w:rsidRPr="00A94043">
        <w:t>C</w:t>
      </w:r>
      <w:r w:rsidRPr="00643B62">
        <w:rPr>
          <w:lang w:eastAsia="en-AU"/>
        </w:rPr>
        <w:t xml:space="preserve"> outdoor temperature (the capacity of an air conditioner changes with outdoor temperature). This implies </w:t>
      </w:r>
      <w:r w:rsidRPr="00643B62">
        <w:rPr>
          <w:lang w:eastAsia="en-AU"/>
        </w:rPr>
        <w:lastRenderedPageBreak/>
        <w:t>that an air conditioner has the same load</w:t>
      </w:r>
      <w:r w:rsidR="0018583B">
        <w:rPr>
          <w:lang w:eastAsia="en-AU"/>
        </w:rPr>
        <w:t xml:space="preserve"> as</w:t>
      </w:r>
      <w:r w:rsidRPr="00643B62">
        <w:rPr>
          <w:lang w:eastAsia="en-AU"/>
        </w:rPr>
        <w:t xml:space="preserve">, and should be compared with, a </w:t>
      </w:r>
      <w:r>
        <w:rPr>
          <w:lang w:eastAsia="en-AU"/>
        </w:rPr>
        <w:t>weather independent</w:t>
      </w:r>
      <w:r w:rsidRPr="00643B62">
        <w:rPr>
          <w:lang w:eastAsia="en-AU"/>
        </w:rPr>
        <w:t xml:space="preserve"> heater that has the same rated capacity as the air-conditioner’s rated full capacity at 7</w:t>
      </w:r>
      <w:r w:rsidRPr="005F262D">
        <w:rPr>
          <w:rFonts w:ascii="Cambria" w:hAnsi="Cambria"/>
        </w:rPr>
        <w:t>°</w:t>
      </w:r>
      <w:r w:rsidRPr="00A94043">
        <w:t>C</w:t>
      </w:r>
      <w:r w:rsidRPr="00643B62">
        <w:rPr>
          <w:lang w:eastAsia="en-AU"/>
        </w:rPr>
        <w:t xml:space="preserve">. For a </w:t>
      </w:r>
      <w:r>
        <w:rPr>
          <w:lang w:eastAsia="en-AU"/>
        </w:rPr>
        <w:t>weather independent</w:t>
      </w:r>
      <w:r w:rsidRPr="00643B62">
        <w:rPr>
          <w:lang w:eastAsia="en-AU"/>
        </w:rPr>
        <w:t xml:space="preserve"> heater, the resulting load is equal to its rated full capacity at -3</w:t>
      </w:r>
      <w:r w:rsidRPr="005F262D">
        <w:rPr>
          <w:rFonts w:ascii="Cambria" w:hAnsi="Cambria"/>
        </w:rPr>
        <w:t>°</w:t>
      </w:r>
      <w:r w:rsidRPr="00A94043">
        <w:t>C</w:t>
      </w:r>
      <w:r w:rsidRPr="00643B62">
        <w:rPr>
          <w:lang w:eastAsia="en-AU"/>
        </w:rPr>
        <w:t>.</w:t>
      </w:r>
    </w:p>
    <w:p w14:paraId="4B994112" w14:textId="714B5C55" w:rsidR="00E31535" w:rsidRPr="00A94043" w:rsidRDefault="00E31535" w:rsidP="00D90977">
      <w:pPr>
        <w:pStyle w:val="ListParagraph"/>
        <w:numPr>
          <w:ilvl w:val="0"/>
          <w:numId w:val="6"/>
        </w:numPr>
      </w:pPr>
      <w:r w:rsidRPr="00A94043">
        <w:t xml:space="preserve">make-up heat will not be required for </w:t>
      </w:r>
      <w:r w:rsidR="00643B62">
        <w:t>weather independent</w:t>
      </w:r>
      <w:r w:rsidRPr="00A94043">
        <w:t xml:space="preserve"> heaters, similar to the treatment of make-up cooling for air conditioners</w:t>
      </w:r>
    </w:p>
    <w:p w14:paraId="51622A80" w14:textId="7D6720CA" w:rsidR="00E31535" w:rsidRPr="00A94043" w:rsidRDefault="009C4A11" w:rsidP="00D90977">
      <w:pPr>
        <w:pStyle w:val="ListParagraph"/>
        <w:numPr>
          <w:ilvl w:val="0"/>
          <w:numId w:val="6"/>
        </w:numPr>
      </w:pPr>
      <w:r>
        <w:t xml:space="preserve">for </w:t>
      </w:r>
      <w:r w:rsidR="00643B62">
        <w:t>weather independent</w:t>
      </w:r>
      <w:r>
        <w:t xml:space="preserve"> heaters, </w:t>
      </w:r>
      <w:r w:rsidR="00E31535" w:rsidRPr="00A94043">
        <w:t>the Heating Seasonal Energy Consumption</w:t>
      </w:r>
      <w:r w:rsidR="00415897">
        <w:t xml:space="preserve"> (</w:t>
      </w:r>
      <w:r w:rsidR="00E31535" w:rsidRPr="00A94043">
        <w:t>HSEC</w:t>
      </w:r>
      <w:r w:rsidR="00415897">
        <w:t>)</w:t>
      </w:r>
      <w:r w:rsidR="00E31535" w:rsidRPr="00A94043">
        <w:t xml:space="preserve"> of fixed</w:t>
      </w:r>
      <w:r w:rsidR="004B37DC">
        <w:t>-capacity</w:t>
      </w:r>
      <w:r w:rsidR="00E31535" w:rsidRPr="00A94043">
        <w:t xml:space="preserve"> or two-</w:t>
      </w:r>
      <w:r w:rsidR="00600CDA">
        <w:t xml:space="preserve">setting </w:t>
      </w:r>
      <w:r w:rsidR="00E31535" w:rsidRPr="00A94043">
        <w:t>capacity heaters without thermostatic control will be calculated using a 10% and 5% penalty, respectively, from the Heating Seasonal Energy Consumption value calculated for products with thermostatic control</w:t>
      </w:r>
    </w:p>
    <w:p w14:paraId="6E737DCB" w14:textId="5C0B1BC2" w:rsidR="00996B98" w:rsidRPr="00A94043" w:rsidRDefault="00E31535" w:rsidP="00D90977">
      <w:pPr>
        <w:pStyle w:val="ListParagraph"/>
        <w:numPr>
          <w:ilvl w:val="0"/>
          <w:numId w:val="6"/>
        </w:numPr>
      </w:pPr>
      <w:r w:rsidRPr="00A94043">
        <w:t>for fixed</w:t>
      </w:r>
      <w:r w:rsidR="00643B62">
        <w:t xml:space="preserve"> </w:t>
      </w:r>
      <w:r w:rsidR="00643B62" w:rsidRPr="00972A3D">
        <w:t>(no</w:t>
      </w:r>
      <w:r w:rsidR="00972A3D" w:rsidRPr="00720ADF">
        <w:t>n-</w:t>
      </w:r>
      <w:r w:rsidR="00643B62" w:rsidRPr="00972A3D">
        <w:t>portable)</w:t>
      </w:r>
      <w:r w:rsidRPr="00A94043">
        <w:t xml:space="preserve"> </w:t>
      </w:r>
      <w:r w:rsidR="00643B62">
        <w:t>weather independent</w:t>
      </w:r>
      <w:r w:rsidRPr="00A94043">
        <w:t xml:space="preserve"> heaters the cooling hours will be considered as inactive (standby) hours</w:t>
      </w:r>
    </w:p>
    <w:p w14:paraId="5FADC36A" w14:textId="3134CF66" w:rsidR="00996B98" w:rsidRPr="00A94043" w:rsidRDefault="00996B98" w:rsidP="00D90977">
      <w:pPr>
        <w:pStyle w:val="ListParagraph"/>
        <w:numPr>
          <w:ilvl w:val="0"/>
          <w:numId w:val="6"/>
        </w:numPr>
      </w:pPr>
      <w:r w:rsidRPr="00A94043">
        <w:t xml:space="preserve">for portable </w:t>
      </w:r>
      <w:r w:rsidR="00643B62">
        <w:t>weather independent</w:t>
      </w:r>
      <w:r w:rsidRPr="00A94043">
        <w:t xml:space="preserve"> heaters the cooling season</w:t>
      </w:r>
      <w:r w:rsidR="0029062B">
        <w:t xml:space="preserve"> (both the cooling hours and the inactive hours which occur during the cooling season)</w:t>
      </w:r>
      <w:r w:rsidRPr="00A94043">
        <w:t xml:space="preserve"> will be considered as disconnected hours</w:t>
      </w:r>
    </w:p>
    <w:p w14:paraId="1B725270" w14:textId="3FC8E4D2" w:rsidR="00996B98" w:rsidRPr="00A94043" w:rsidRDefault="00996B98" w:rsidP="00D90977">
      <w:pPr>
        <w:pStyle w:val="ListParagraph"/>
        <w:numPr>
          <w:ilvl w:val="0"/>
          <w:numId w:val="6"/>
        </w:numPr>
      </w:pPr>
      <w:r w:rsidRPr="00A94043">
        <w:t xml:space="preserve">the Annual Energy Use and heating performance factor will include the annual inactive </w:t>
      </w:r>
      <w:r w:rsidR="00BF6367">
        <w:t xml:space="preserve">(standby) </w:t>
      </w:r>
      <w:r w:rsidRPr="00A94043">
        <w:t>energy consumption</w:t>
      </w:r>
    </w:p>
    <w:p w14:paraId="26DBB552" w14:textId="0D6F635E" w:rsidR="00844CE5" w:rsidRPr="00A94043" w:rsidRDefault="00844CE5" w:rsidP="00D90977">
      <w:pPr>
        <w:pStyle w:val="ListParagraph"/>
        <w:numPr>
          <w:ilvl w:val="0"/>
          <w:numId w:val="6"/>
        </w:numPr>
      </w:pPr>
      <w:r w:rsidRPr="00A94043">
        <w:t>gas decorative appliances will be evaluated using the method for gas space heaters</w:t>
      </w:r>
    </w:p>
    <w:p w14:paraId="29138397" w14:textId="77777777" w:rsidR="00EB7DC5" w:rsidRDefault="6752D71F" w:rsidP="00D90977">
      <w:pPr>
        <w:pStyle w:val="ListParagraph"/>
        <w:numPr>
          <w:ilvl w:val="0"/>
          <w:numId w:val="6"/>
        </w:numPr>
      </w:pPr>
      <w:r w:rsidRPr="00A94043">
        <w:t>for ducted heaters (both gas and air-conditioner), the duct losses will not be included in the annual energy use and heating performance factor calculations</w:t>
      </w:r>
      <w:r w:rsidR="00BF6367">
        <w:t xml:space="preserve">. </w:t>
      </w:r>
    </w:p>
    <w:p w14:paraId="7F2821EF" w14:textId="49BB20E0" w:rsidR="00072EBE" w:rsidRPr="004101A8" w:rsidRDefault="007310B9" w:rsidP="004101A8">
      <w:r>
        <w:t xml:space="preserve">The </w:t>
      </w:r>
      <w:r w:rsidR="007C6DB3">
        <w:t xml:space="preserve">comparison methodology </w:t>
      </w:r>
      <w:r w:rsidR="009D2DC0">
        <w:t xml:space="preserve">establishes a standardised </w:t>
      </w:r>
      <w:r w:rsidR="00F52120">
        <w:t>approach for</w:t>
      </w:r>
      <w:r w:rsidR="009D2DC0">
        <w:t xml:space="preserve"> evaluating the energy </w:t>
      </w:r>
      <w:r w:rsidR="00072EBE" w:rsidRPr="004101A8">
        <w:t>performance of different heater types</w:t>
      </w:r>
      <w:r w:rsidR="009502CA">
        <w:t>,</w:t>
      </w:r>
      <w:r w:rsidR="00A90C8E">
        <w:t xml:space="preserve"> </w:t>
      </w:r>
      <w:r w:rsidR="006C28E6">
        <w:t>based on</w:t>
      </w:r>
      <w:r w:rsidR="00A90C8E">
        <w:t xml:space="preserve"> align</w:t>
      </w:r>
      <w:r w:rsidR="006C28E6">
        <w:t>ing</w:t>
      </w:r>
      <w:r w:rsidR="00A90C8E">
        <w:t xml:space="preserve"> underlying </w:t>
      </w:r>
      <w:r w:rsidR="008945D9">
        <w:t xml:space="preserve">calculation </w:t>
      </w:r>
      <w:r w:rsidR="0055120D">
        <w:t xml:space="preserve">methods and </w:t>
      </w:r>
      <w:r w:rsidR="00A90C8E">
        <w:t>assumptions where possible</w:t>
      </w:r>
      <w:r w:rsidR="000F294D">
        <w:t xml:space="preserve">. It </w:t>
      </w:r>
      <w:r w:rsidR="00EA4B2E">
        <w:t>offers a</w:t>
      </w:r>
      <w:r w:rsidR="00396AD7">
        <w:t xml:space="preserve"> transparent,</w:t>
      </w:r>
      <w:r w:rsidR="00072EBE" w:rsidRPr="004101A8">
        <w:t xml:space="preserve"> consistent</w:t>
      </w:r>
      <w:r w:rsidR="00396AD7">
        <w:t>,</w:t>
      </w:r>
      <w:r w:rsidR="00072EBE" w:rsidRPr="004101A8">
        <w:t xml:space="preserve"> and fair</w:t>
      </w:r>
      <w:r w:rsidR="00396AD7">
        <w:t xml:space="preserve"> </w:t>
      </w:r>
      <w:r w:rsidR="000F294D">
        <w:t xml:space="preserve">basis for </w:t>
      </w:r>
      <w:r w:rsidR="00072EBE" w:rsidRPr="004101A8">
        <w:t xml:space="preserve">comparing </w:t>
      </w:r>
      <w:r w:rsidR="00125B54">
        <w:t xml:space="preserve">energy </w:t>
      </w:r>
      <w:r w:rsidR="00072EBE" w:rsidRPr="004101A8">
        <w:t>performance across different heater types and fuels.</w:t>
      </w:r>
    </w:p>
    <w:p w14:paraId="36100933" w14:textId="7217A060" w:rsidR="00CB1543" w:rsidRPr="00A94043" w:rsidRDefault="6AC15157" w:rsidP="003F1EC9">
      <w:r w:rsidRPr="00A94043">
        <w:t xml:space="preserve">Work </w:t>
      </w:r>
      <w:r w:rsidR="00933A67" w:rsidRPr="00A94043">
        <w:t xml:space="preserve">will </w:t>
      </w:r>
      <w:r w:rsidRPr="00A94043">
        <w:t>continue to develop calculation methods for more complex heaters such as electric</w:t>
      </w:r>
      <w:r w:rsidR="004F1D54">
        <w:t xml:space="preserve"> </w:t>
      </w:r>
      <w:r w:rsidRPr="00A94043">
        <w:t>resistance underfloor heating</w:t>
      </w:r>
      <w:r w:rsidR="00643B62">
        <w:t xml:space="preserve"> systems (including directly under flooring, in-screed and in-slab)</w:t>
      </w:r>
      <w:r w:rsidRPr="00A94043">
        <w:t xml:space="preserve"> and hydronic </w:t>
      </w:r>
      <w:r w:rsidR="00EF01BB" w:rsidRPr="00A94043">
        <w:t>(gas, electric</w:t>
      </w:r>
      <w:r w:rsidR="004F1D54">
        <w:t xml:space="preserve"> </w:t>
      </w:r>
      <w:r w:rsidR="00EF01BB" w:rsidRPr="00A94043">
        <w:t>resistance, solar or heat</w:t>
      </w:r>
      <w:r w:rsidR="004F1D54">
        <w:t xml:space="preserve"> </w:t>
      </w:r>
      <w:r w:rsidR="00EF01BB" w:rsidRPr="00A94043">
        <w:t xml:space="preserve">pump) </w:t>
      </w:r>
      <w:r w:rsidRPr="00A94043">
        <w:t>heating systems</w:t>
      </w:r>
      <w:r w:rsidR="005E5428">
        <w:t>.</w:t>
      </w:r>
      <w:r w:rsidR="00585BEF">
        <w:t xml:space="preserve"> The calculation methods for more complex heaters would be</w:t>
      </w:r>
      <w:r w:rsidRPr="00A94043">
        <w:t xml:space="preserve"> based on a similar approach</w:t>
      </w:r>
      <w:r w:rsidR="00585BEF">
        <w:t xml:space="preserve"> to the calculation methods already developed for the simpler heaters</w:t>
      </w:r>
      <w:r w:rsidR="00AC1B91">
        <w:t>,</w:t>
      </w:r>
      <w:r w:rsidR="0030346E">
        <w:t xml:space="preserve"> and</w:t>
      </w:r>
      <w:r w:rsidR="00916669">
        <w:t xml:space="preserve"> </w:t>
      </w:r>
      <w:r w:rsidR="00DC0085">
        <w:t xml:space="preserve">include </w:t>
      </w:r>
      <w:r w:rsidRPr="00A94043">
        <w:t>consideration of the distribution system losses and effects of thermal mass</w:t>
      </w:r>
      <w:r w:rsidR="7C6EAED5" w:rsidRPr="00A94043">
        <w:t xml:space="preserve">, outdoor temperature and solar radiation as appropriate for each </w:t>
      </w:r>
      <w:r w:rsidR="00DC0085">
        <w:t xml:space="preserve">complex </w:t>
      </w:r>
      <w:r w:rsidR="7C6EAED5" w:rsidRPr="00A94043">
        <w:t>technology type</w:t>
      </w:r>
      <w:r w:rsidRPr="00A94043">
        <w:t>.</w:t>
      </w:r>
    </w:p>
    <w:p w14:paraId="41DDC130" w14:textId="2BD93980" w:rsidR="00CB1543" w:rsidRPr="00A94043" w:rsidRDefault="00996B98" w:rsidP="00996B98">
      <w:pPr>
        <w:pStyle w:val="Heading2"/>
      </w:pPr>
      <w:bookmarkStart w:id="40" w:name="_Toc175311918"/>
      <w:r w:rsidRPr="00A94043">
        <w:t>Definition of Nominal Capacity</w:t>
      </w:r>
      <w:bookmarkEnd w:id="40"/>
    </w:p>
    <w:p w14:paraId="6064A480" w14:textId="3481046E" w:rsidR="002E72C1" w:rsidRPr="00A94043" w:rsidRDefault="00CB1543" w:rsidP="00CB1543">
      <w:r w:rsidRPr="00A94043">
        <w:t xml:space="preserve">Defining the nominal capacity of the product, or comparison point, is a significant challenge in developing a </w:t>
      </w:r>
      <w:r w:rsidR="00F325D4" w:rsidRPr="00A94043">
        <w:t>comparison</w:t>
      </w:r>
      <w:r w:rsidRPr="00A94043">
        <w:t xml:space="preserve"> methodology</w:t>
      </w:r>
      <w:r w:rsidR="005C021B">
        <w:t>. This is</w:t>
      </w:r>
      <w:r w:rsidRPr="00A94043">
        <w:t xml:space="preserve"> because the capacity of </w:t>
      </w:r>
      <w:r w:rsidR="00836774">
        <w:t xml:space="preserve">a </w:t>
      </w:r>
      <w:r w:rsidR="00643B62">
        <w:t>weather dependent</w:t>
      </w:r>
      <w:r w:rsidR="00836774">
        <w:t xml:space="preserve"> heater (</w:t>
      </w:r>
      <w:r w:rsidRPr="00A94043">
        <w:t>air conditioner</w:t>
      </w:r>
      <w:r w:rsidR="00836774">
        <w:t>)</w:t>
      </w:r>
      <w:r w:rsidRPr="00A94043">
        <w:t xml:space="preserve"> varies with outdoor temperature </w:t>
      </w:r>
      <w:r w:rsidR="005C021B">
        <w:t xml:space="preserve">but </w:t>
      </w:r>
      <w:r w:rsidRPr="00A94043">
        <w:t xml:space="preserve">the capacity of a </w:t>
      </w:r>
      <w:r w:rsidR="00643B62">
        <w:t>weather independent</w:t>
      </w:r>
      <w:r w:rsidRPr="00A94043">
        <w:t xml:space="preserve"> heater</w:t>
      </w:r>
      <w:r w:rsidR="008C24EB">
        <w:t xml:space="preserve"> (</w:t>
      </w:r>
      <w:r w:rsidRPr="00A94043">
        <w:t>such as a gas, electric</w:t>
      </w:r>
      <w:r w:rsidR="004F1D54">
        <w:t xml:space="preserve"> </w:t>
      </w:r>
      <w:r w:rsidRPr="00A94043">
        <w:t>resistance or solid fuel heater</w:t>
      </w:r>
      <w:r w:rsidR="008C24EB">
        <w:t>)</w:t>
      </w:r>
      <w:r w:rsidRPr="00A94043">
        <w:t xml:space="preserve"> does not.</w:t>
      </w:r>
      <w:r w:rsidR="00103105">
        <w:t xml:space="preserve"> The ACCM defines the nominal capacity of an air conditioner to be its full capacity at 7degC, and defines the load at which its thermal performance is evaluated based on this nominal capacity.</w:t>
      </w:r>
      <w:r w:rsidRPr="00A94043">
        <w:t xml:space="preserve"> </w:t>
      </w:r>
      <w:r w:rsidR="00D631E3">
        <w:t xml:space="preserve">To enable </w:t>
      </w:r>
      <w:r w:rsidR="00952D24">
        <w:t xml:space="preserve">performance </w:t>
      </w:r>
      <w:r w:rsidR="00D631E3">
        <w:t xml:space="preserve">comparisons between </w:t>
      </w:r>
      <w:r w:rsidR="00643B62">
        <w:t xml:space="preserve">weather dependent </w:t>
      </w:r>
      <w:r w:rsidR="00D631E3">
        <w:t xml:space="preserve">and </w:t>
      </w:r>
      <w:r w:rsidR="00643B62">
        <w:t>weather independent</w:t>
      </w:r>
      <w:r w:rsidR="00D631E3">
        <w:t xml:space="preserve"> heater</w:t>
      </w:r>
      <w:r w:rsidR="004F4F9F">
        <w:t>s,</w:t>
      </w:r>
      <w:r w:rsidR="00D631E3">
        <w:t xml:space="preserve"> </w:t>
      </w:r>
      <w:r w:rsidR="004F79A1">
        <w:t xml:space="preserve">a decision is needed on </w:t>
      </w:r>
      <w:r w:rsidRPr="00A94043">
        <w:t xml:space="preserve">the load at which the </w:t>
      </w:r>
      <w:r w:rsidR="00103105">
        <w:t xml:space="preserve">performance </w:t>
      </w:r>
      <w:r w:rsidR="003B6F4D">
        <w:t xml:space="preserve">of </w:t>
      </w:r>
      <w:r w:rsidR="004F4F9F">
        <w:t>a</w:t>
      </w:r>
      <w:r w:rsidR="004F4F9F" w:rsidRPr="00A94043">
        <w:t xml:space="preserve"> </w:t>
      </w:r>
      <w:r w:rsidR="00103105">
        <w:t>weather independent</w:t>
      </w:r>
      <w:r w:rsidRPr="00A94043">
        <w:t xml:space="preserve"> heater is </w:t>
      </w:r>
      <w:r w:rsidR="009125AC">
        <w:t xml:space="preserve">to be </w:t>
      </w:r>
      <w:r w:rsidRPr="00A94043">
        <w:t xml:space="preserve">evaluated. </w:t>
      </w:r>
    </w:p>
    <w:p w14:paraId="12E9C9E8" w14:textId="5493C873" w:rsidR="00DB65BE" w:rsidRDefault="002E72C1" w:rsidP="002E72C1">
      <w:r w:rsidRPr="00A94043">
        <w:t>For air conditioners, heating capacity increases with increasing outdoor temperature, meaning that the colder it gets outside, the less heating capacity the product has available. The heating capacity of a fixed capacity air conditioner under non-frosting conditions (outdoor temperature &lt; -7</w:t>
      </w:r>
      <w:r w:rsidRPr="00A94043">
        <w:rPr>
          <w:rFonts w:asciiTheme="minorHAnsi" w:hAnsiTheme="minorHAnsi" w:cstheme="minorBidi"/>
        </w:rPr>
        <w:t>°</w:t>
      </w:r>
      <w:r w:rsidRPr="00A94043">
        <w:t>C or &gt;5.5</w:t>
      </w:r>
      <w:r w:rsidRPr="00A94043">
        <w:rPr>
          <w:rFonts w:asciiTheme="minorHAnsi" w:hAnsiTheme="minorHAnsi" w:cstheme="minorBidi"/>
        </w:rPr>
        <w:t>°</w:t>
      </w:r>
      <w:r w:rsidRPr="00A94043">
        <w:t xml:space="preserve">C) is defined in </w:t>
      </w:r>
      <w:r w:rsidRPr="00A94043">
        <w:lastRenderedPageBreak/>
        <w:t>AS/NZS 3823.4.2 as a straight line function of outdoor temperature from the heating capacity measured at 7</w:t>
      </w:r>
      <w:r w:rsidRPr="00A94043">
        <w:rPr>
          <w:rFonts w:asciiTheme="minorHAnsi" w:hAnsiTheme="minorHAnsi" w:cstheme="minorBidi"/>
        </w:rPr>
        <w:t>°</w:t>
      </w:r>
      <w:r w:rsidRPr="00A94043">
        <w:t>C, which is the rated full heating capacity of the air conditioner, down to the heating capacity at -7</w:t>
      </w:r>
      <w:r w:rsidRPr="00A94043">
        <w:rPr>
          <w:rFonts w:asciiTheme="minorHAnsi" w:hAnsiTheme="minorHAnsi" w:cstheme="minorBidi"/>
        </w:rPr>
        <w:t>°</w:t>
      </w:r>
      <w:r w:rsidRPr="00A94043">
        <w:t>C. For conditions in which frosting may occur (outdoor temperatures between -7</w:t>
      </w:r>
      <w:r w:rsidRPr="00A94043">
        <w:rPr>
          <w:rFonts w:asciiTheme="minorHAnsi" w:hAnsiTheme="minorHAnsi" w:cstheme="minorBidi"/>
        </w:rPr>
        <w:t>°</w:t>
      </w:r>
      <w:r w:rsidRPr="00A94043">
        <w:t>C and 5.5</w:t>
      </w:r>
      <w:r w:rsidRPr="00A94043">
        <w:rPr>
          <w:rFonts w:asciiTheme="minorHAnsi" w:hAnsiTheme="minorHAnsi" w:cstheme="minorBidi"/>
        </w:rPr>
        <w:t>°</w:t>
      </w:r>
      <w:r w:rsidRPr="00A94043">
        <w:t>C), this is adjusted, creating a second straight line from the heating capacity at -7</w:t>
      </w:r>
      <w:r w:rsidRPr="00A94043">
        <w:rPr>
          <w:rFonts w:asciiTheme="minorHAnsi" w:hAnsiTheme="minorHAnsi" w:cstheme="minorBidi"/>
        </w:rPr>
        <w:t>°</w:t>
      </w:r>
      <w:r w:rsidRPr="00A94043">
        <w:t>C (both frosting and non-frosting are equal at this point) through the measured frosting heating capacity at 2</w:t>
      </w:r>
      <w:r w:rsidRPr="00A94043">
        <w:rPr>
          <w:rFonts w:asciiTheme="minorHAnsi" w:hAnsiTheme="minorHAnsi" w:cstheme="minorBidi"/>
        </w:rPr>
        <w:t>°</w:t>
      </w:r>
      <w:r w:rsidRPr="00A94043">
        <w:t>C. Measuring the air conditioner performance at -7</w:t>
      </w:r>
      <w:r w:rsidRPr="00A94043">
        <w:rPr>
          <w:rFonts w:asciiTheme="minorHAnsi" w:hAnsiTheme="minorHAnsi" w:cstheme="minorBidi"/>
        </w:rPr>
        <w:t>°</w:t>
      </w:r>
      <w:r w:rsidRPr="00A94043">
        <w:t>C is optional, with a default value of heating capacity defined as 0.64 times the heating capacity at 7</w:t>
      </w:r>
      <w:r w:rsidRPr="00A94043">
        <w:rPr>
          <w:rFonts w:asciiTheme="minorHAnsi" w:hAnsiTheme="minorHAnsi" w:cstheme="minorBidi"/>
        </w:rPr>
        <w:t>°</w:t>
      </w:r>
      <w:r w:rsidRPr="00A94043">
        <w:t>C (which results in the heating capacity at 0</w:t>
      </w:r>
      <w:r w:rsidRPr="00A94043">
        <w:rPr>
          <w:rFonts w:asciiTheme="minorHAnsi" w:hAnsiTheme="minorHAnsi" w:cstheme="minorBidi"/>
        </w:rPr>
        <w:t>°</w:t>
      </w:r>
      <w:r w:rsidRPr="00A94043">
        <w:t>C being 0.82 times the heating capacity at 7</w:t>
      </w:r>
      <w:r w:rsidRPr="00A94043">
        <w:rPr>
          <w:rFonts w:asciiTheme="minorHAnsi" w:hAnsiTheme="minorHAnsi" w:cstheme="minorBidi"/>
        </w:rPr>
        <w:t>°</w:t>
      </w:r>
      <w:r w:rsidRPr="00A94043">
        <w:t>C).</w:t>
      </w:r>
      <w:r w:rsidR="003C1779" w:rsidRPr="00A94043">
        <w:t xml:space="preserve"> This default corresponds to an 18% loss in heating capacity at 0</w:t>
      </w:r>
      <w:r w:rsidR="003C1779" w:rsidRPr="00A94043">
        <w:rPr>
          <w:rFonts w:asciiTheme="minorHAnsi" w:hAnsiTheme="minorHAnsi" w:cstheme="minorBidi"/>
        </w:rPr>
        <w:t>°</w:t>
      </w:r>
      <w:r w:rsidR="003C1779" w:rsidRPr="00A94043">
        <w:t>C compared to the rated value at 7</w:t>
      </w:r>
      <w:r w:rsidR="003C1779" w:rsidRPr="00A94043">
        <w:rPr>
          <w:rFonts w:asciiTheme="minorHAnsi" w:hAnsiTheme="minorHAnsi" w:cstheme="minorBidi"/>
        </w:rPr>
        <w:t>°</w:t>
      </w:r>
      <w:r w:rsidR="003C1779" w:rsidRPr="00A94043">
        <w:t>C, and a 36% loss at -7</w:t>
      </w:r>
      <w:r w:rsidR="003C1779" w:rsidRPr="00A94043">
        <w:rPr>
          <w:rFonts w:asciiTheme="minorHAnsi" w:hAnsiTheme="minorHAnsi" w:cstheme="minorBidi"/>
        </w:rPr>
        <w:t>°</w:t>
      </w:r>
      <w:r w:rsidR="003C1779" w:rsidRPr="00A94043">
        <w:t>C</w:t>
      </w:r>
      <w:r w:rsidR="00D53E57">
        <w:t>.</w:t>
      </w:r>
    </w:p>
    <w:p w14:paraId="13EB9E56" w14:textId="6166C0A2" w:rsidR="00B51AAB" w:rsidRDefault="00D53E57" w:rsidP="00F65455">
      <w:r>
        <w:t>I</w:t>
      </w:r>
      <w:r w:rsidR="003C1779" w:rsidRPr="00A94043">
        <w:t xml:space="preserve">ndividual </w:t>
      </w:r>
      <w:r w:rsidR="00103105">
        <w:t>air conditioners may</w:t>
      </w:r>
      <w:r w:rsidR="00103105" w:rsidRPr="00A94043">
        <w:t xml:space="preserve"> </w:t>
      </w:r>
      <w:r w:rsidR="003C1779" w:rsidRPr="00A94043">
        <w:t>vary significantly from these values</w:t>
      </w:r>
      <w:r w:rsidR="00433BB9">
        <w:t xml:space="preserve">, with </w:t>
      </w:r>
      <w:r w:rsidR="007C3E2A">
        <w:t>register</w:t>
      </w:r>
      <w:r w:rsidR="001C551B">
        <w:t>ed</w:t>
      </w:r>
      <w:r w:rsidR="00433BB9">
        <w:t xml:space="preserve"> </w:t>
      </w:r>
      <w:r w:rsidR="006C3A98">
        <w:t xml:space="preserve">capacity values </w:t>
      </w:r>
      <w:r w:rsidR="000E1DF7">
        <w:t xml:space="preserve">either </w:t>
      </w:r>
      <w:r w:rsidR="006C3A98">
        <w:t>higher or lower than the defaults</w:t>
      </w:r>
      <w:r w:rsidR="00BE1091">
        <w:t>.</w:t>
      </w:r>
      <w:r w:rsidR="00900AC6" w:rsidRPr="00900AC6">
        <w:t xml:space="preserve"> </w:t>
      </w:r>
      <w:r w:rsidR="00FA4CE5">
        <w:t xml:space="preserve">According to </w:t>
      </w:r>
      <w:r w:rsidR="005B5BBB">
        <w:t>GEMS data</w:t>
      </w:r>
      <w:r w:rsidR="00653AF5">
        <w:t xml:space="preserve"> on </w:t>
      </w:r>
      <w:r w:rsidR="000358C5">
        <w:t>registered</w:t>
      </w:r>
      <w:r w:rsidR="00314AF5">
        <w:t xml:space="preserve"> </w:t>
      </w:r>
      <w:r w:rsidR="00900AC6">
        <w:t>reverse cycle (not cooling only) air conditioners</w:t>
      </w:r>
      <w:r w:rsidR="00DF0CDB">
        <w:t xml:space="preserve"> </w:t>
      </w:r>
      <w:r w:rsidR="00837CED">
        <w:t>downloaded 4/4/2024</w:t>
      </w:r>
      <w:r w:rsidR="00F65455">
        <w:t xml:space="preserve">, </w:t>
      </w:r>
      <w:r w:rsidR="004C331B">
        <w:t>2</w:t>
      </w:r>
      <w:r w:rsidR="004B4E14">
        <w:t xml:space="preserve">5% </w:t>
      </w:r>
      <w:r w:rsidR="008F0076">
        <w:t xml:space="preserve">of registered air conditioners </w:t>
      </w:r>
      <w:r w:rsidR="004C331B">
        <w:t xml:space="preserve">do not </w:t>
      </w:r>
      <w:r w:rsidR="004B4E14">
        <w:t xml:space="preserve">have </w:t>
      </w:r>
      <w:r w:rsidR="004C331B">
        <w:t xml:space="preserve">any </w:t>
      </w:r>
      <w:r w:rsidR="004B4E14">
        <w:t>low temperature capacity data provided</w:t>
      </w:r>
      <w:r w:rsidR="00F65455">
        <w:t>. O</w:t>
      </w:r>
      <w:r w:rsidR="004C331B">
        <w:t xml:space="preserve">f </w:t>
      </w:r>
      <w:r w:rsidR="001F0F1D">
        <w:t xml:space="preserve">the 75% of registered air conditioners for which a valid </w:t>
      </w:r>
      <w:r w:rsidR="00380F85">
        <w:t xml:space="preserve">low temperature capacity </w:t>
      </w:r>
      <w:r w:rsidR="007B7043">
        <w:t xml:space="preserve">value </w:t>
      </w:r>
      <w:r w:rsidR="001F0F1D">
        <w:t xml:space="preserve">was </w:t>
      </w:r>
      <w:r w:rsidR="00380F85">
        <w:t>provided</w:t>
      </w:r>
      <w:r w:rsidR="00B51AAB">
        <w:t>:</w:t>
      </w:r>
    </w:p>
    <w:p w14:paraId="1ED2BD15" w14:textId="57AEF5FA" w:rsidR="0082209F" w:rsidRDefault="00DF0CDB" w:rsidP="00D90977">
      <w:pPr>
        <w:pStyle w:val="ListParagraph"/>
        <w:numPr>
          <w:ilvl w:val="0"/>
          <w:numId w:val="6"/>
        </w:numPr>
      </w:pPr>
      <w:r>
        <w:t xml:space="preserve">there is </w:t>
      </w:r>
      <w:r w:rsidR="0037532C">
        <w:t xml:space="preserve">an </w:t>
      </w:r>
      <w:r w:rsidR="00C459F1">
        <w:t>almost-</w:t>
      </w:r>
      <w:r w:rsidR="0037532C">
        <w:t xml:space="preserve">even split between </w:t>
      </w:r>
      <w:r w:rsidR="00380F85">
        <w:t xml:space="preserve">the air conditioners </w:t>
      </w:r>
      <w:r w:rsidR="0037532C">
        <w:t>with more</w:t>
      </w:r>
      <w:r w:rsidR="00CA33C4">
        <w:t xml:space="preserve"> (37%)</w:t>
      </w:r>
      <w:r w:rsidR="0037532C">
        <w:t xml:space="preserve"> and those with less </w:t>
      </w:r>
      <w:r w:rsidR="00CA33C4">
        <w:t xml:space="preserve">(38%) </w:t>
      </w:r>
      <w:r w:rsidR="0037532C">
        <w:t xml:space="preserve">capacity at </w:t>
      </w:r>
      <w:r w:rsidR="003A122F" w:rsidRPr="006B75FA">
        <w:t>2</w:t>
      </w:r>
      <w:r w:rsidR="003A122F" w:rsidRPr="00DB526E">
        <w:t>°</w:t>
      </w:r>
      <w:r w:rsidR="003A122F" w:rsidRPr="006B75FA">
        <w:t>C than the 2</w:t>
      </w:r>
      <w:r w:rsidR="003A122F" w:rsidRPr="00DB526E">
        <w:t>°</w:t>
      </w:r>
      <w:r w:rsidR="003A122F" w:rsidRPr="006B75FA">
        <w:t>C default value</w:t>
      </w:r>
      <w:r w:rsidR="003A122F" w:rsidRPr="003A122F">
        <w:t xml:space="preserve"> </w:t>
      </w:r>
      <w:r w:rsidR="003A122F" w:rsidRPr="006B75FA">
        <w:t>of 0.8</w:t>
      </w:r>
      <w:r w:rsidR="003A122F" w:rsidRPr="0043653B">
        <w:t>2</w:t>
      </w:r>
      <w:r w:rsidR="003A122F" w:rsidRPr="006B75FA">
        <w:t xml:space="preserve"> times the heating </w:t>
      </w:r>
      <w:r w:rsidR="003A122F">
        <w:t xml:space="preserve">full </w:t>
      </w:r>
      <w:r w:rsidR="003A122F" w:rsidRPr="006B75FA">
        <w:t>capacity at 7</w:t>
      </w:r>
      <w:r w:rsidR="003A122F" w:rsidRPr="00DB526E">
        <w:t>°</w:t>
      </w:r>
      <w:r w:rsidR="003A122F" w:rsidRPr="006B75FA">
        <w:t>C</w:t>
      </w:r>
      <w:r w:rsidR="00B51AAB">
        <w:t xml:space="preserve">. </w:t>
      </w:r>
    </w:p>
    <w:p w14:paraId="2366DB8A" w14:textId="6498C7B3" w:rsidR="00D54E9D" w:rsidRDefault="005B0D0B" w:rsidP="00D90977">
      <w:pPr>
        <w:pStyle w:val="ListParagraph"/>
        <w:numPr>
          <w:ilvl w:val="0"/>
          <w:numId w:val="6"/>
        </w:numPr>
      </w:pPr>
      <w:r w:rsidRPr="006B75FA">
        <w:t xml:space="preserve">12% have </w:t>
      </w:r>
      <w:r w:rsidR="00414664" w:rsidRPr="00B41271">
        <w:t>more</w:t>
      </w:r>
      <w:r w:rsidRPr="006B75FA">
        <w:t xml:space="preserve"> capacity at 2</w:t>
      </w:r>
      <w:r w:rsidRPr="00FD1B49">
        <w:t>°</w:t>
      </w:r>
      <w:r w:rsidRPr="006B75FA">
        <w:t>C than the heating capacity at 7</w:t>
      </w:r>
      <w:r w:rsidRPr="00FD1B49">
        <w:t>°</w:t>
      </w:r>
      <w:r w:rsidRPr="006B75FA">
        <w:t>C</w:t>
      </w:r>
      <w:r w:rsidR="00904148">
        <w:t xml:space="preserve"> (</w:t>
      </w:r>
      <w:r w:rsidRPr="006B75FA">
        <w:t xml:space="preserve">an average of 1.12 times the heating </w:t>
      </w:r>
      <w:r>
        <w:t xml:space="preserve">full </w:t>
      </w:r>
      <w:r w:rsidRPr="006B75FA">
        <w:t>capacity at 7</w:t>
      </w:r>
      <w:r w:rsidRPr="00FD1B49">
        <w:t>°</w:t>
      </w:r>
      <w:r w:rsidRPr="006B75FA">
        <w:t>C</w:t>
      </w:r>
      <w:r w:rsidR="00904148">
        <w:t>)</w:t>
      </w:r>
      <w:r w:rsidR="00DA347D">
        <w:t>.</w:t>
      </w:r>
    </w:p>
    <w:p w14:paraId="609DB739" w14:textId="53DE5FA9" w:rsidR="002E72C1" w:rsidRPr="00A94043" w:rsidRDefault="002E72C1" w:rsidP="002E72C1">
      <w:r w:rsidRPr="00A94043">
        <w:t xml:space="preserve">These functions are shown in </w:t>
      </w:r>
      <w:r w:rsidRPr="00A94043">
        <w:rPr>
          <w:color w:val="2B579A"/>
          <w:shd w:val="clear" w:color="auto" w:fill="E6E6E6"/>
        </w:rPr>
        <w:fldChar w:fldCharType="begin"/>
      </w:r>
      <w:r w:rsidRPr="00A94043">
        <w:instrText xml:space="preserve"> REF _Ref147144300 \h </w:instrText>
      </w:r>
      <w:r w:rsidRPr="00A94043">
        <w:rPr>
          <w:color w:val="2B579A"/>
          <w:shd w:val="clear" w:color="auto" w:fill="E6E6E6"/>
        </w:rPr>
      </w:r>
      <w:r w:rsidRPr="00A94043">
        <w:rPr>
          <w:color w:val="2B579A"/>
          <w:shd w:val="clear" w:color="auto" w:fill="E6E6E6"/>
        </w:rPr>
        <w:fldChar w:fldCharType="separate"/>
      </w:r>
      <w:r w:rsidR="007068DD" w:rsidRPr="00A94043">
        <w:t xml:space="preserve">Figure </w:t>
      </w:r>
      <w:r w:rsidR="007068DD">
        <w:rPr>
          <w:noProof/>
        </w:rPr>
        <w:t>2</w:t>
      </w:r>
      <w:r w:rsidRPr="00A94043">
        <w:rPr>
          <w:color w:val="2B579A"/>
          <w:shd w:val="clear" w:color="auto" w:fill="E6E6E6"/>
        </w:rPr>
        <w:fldChar w:fldCharType="end"/>
      </w:r>
      <w:r w:rsidRPr="00A94043">
        <w:t xml:space="preserve">, along with the heating capacity of a </w:t>
      </w:r>
      <w:r w:rsidR="00103105">
        <w:t>weather independent</w:t>
      </w:r>
      <w:r w:rsidRPr="00A94043">
        <w:t xml:space="preserve"> heater </w:t>
      </w:r>
      <w:r w:rsidR="001804F2">
        <w:t>with</w:t>
      </w:r>
      <w:r w:rsidRPr="00A94043">
        <w:t xml:space="preserve"> the same rated full heating capacity as the example air conditioner. Note that the default values result in the air conditioner having excess capacity, compared to load, for outdoor temperatures above 1</w:t>
      </w:r>
      <w:r w:rsidRPr="00A94043">
        <w:rPr>
          <w:rFonts w:asciiTheme="minorHAnsi" w:hAnsiTheme="minorHAnsi" w:cstheme="minorBidi"/>
        </w:rPr>
        <w:t>°</w:t>
      </w:r>
      <w:r w:rsidRPr="00A94043">
        <w:t>C, and requiring make-up heat for outdoor temperatures below 1</w:t>
      </w:r>
      <w:r w:rsidRPr="00A94043">
        <w:rPr>
          <w:rFonts w:asciiTheme="minorHAnsi" w:hAnsiTheme="minorHAnsi" w:cstheme="minorBidi"/>
        </w:rPr>
        <w:t>°</w:t>
      </w:r>
      <w:r w:rsidRPr="00A94043">
        <w:t>C. Essentially, in defining this load it has been assumed that the air conditioner will be sized to meet the load at an outdoor temperature of 1</w:t>
      </w:r>
      <w:r w:rsidRPr="00A94043">
        <w:rPr>
          <w:rFonts w:asciiTheme="minorHAnsi" w:hAnsiTheme="minorHAnsi" w:cstheme="minorBidi"/>
        </w:rPr>
        <w:t>°</w:t>
      </w:r>
      <w:r w:rsidRPr="00A94043">
        <w:t>C.</w:t>
      </w:r>
    </w:p>
    <w:p w14:paraId="3B5BA447" w14:textId="59BBD59B" w:rsidR="00996B98" w:rsidRPr="00A94043" w:rsidRDefault="00CB1543" w:rsidP="00E31535">
      <w:r w:rsidRPr="00A94043">
        <w:t xml:space="preserve">Comparing a </w:t>
      </w:r>
      <w:r w:rsidR="00103105">
        <w:t>weather independent</w:t>
      </w:r>
      <w:r w:rsidR="00103105" w:rsidRPr="00A94043">
        <w:t xml:space="preserve"> </w:t>
      </w:r>
      <w:r w:rsidRPr="00A94043">
        <w:t>heater with an air conditioner of the same full capacity at 7</w:t>
      </w:r>
      <w:r w:rsidRPr="00A94043">
        <w:rPr>
          <w:rFonts w:ascii="Symbol" w:eastAsia="Symbol" w:hAnsi="Symbol" w:cs="Symbol"/>
        </w:rPr>
        <w:t>°</w:t>
      </w:r>
      <w:r w:rsidRPr="00A94043">
        <w:t xml:space="preserve">C is the most straightforward and is </w:t>
      </w:r>
      <w:r w:rsidR="00CC2ECD">
        <w:t xml:space="preserve">the option </w:t>
      </w:r>
      <w:r w:rsidRPr="00A94043">
        <w:t xml:space="preserve">preferred by the </w:t>
      </w:r>
      <w:r w:rsidR="00A54BA5" w:rsidRPr="00A94043">
        <w:t>TWG.</w:t>
      </w:r>
      <w:r w:rsidR="002E72C1" w:rsidRPr="00A94043">
        <w:t xml:space="preserve"> This results in no change to the methodology for air conditioners, and </w:t>
      </w:r>
      <w:r w:rsidR="00103105">
        <w:t>weather independent</w:t>
      </w:r>
      <w:r w:rsidR="002E72C1" w:rsidRPr="00A94043">
        <w:t xml:space="preserve"> heaters are evaluated with a load at -3</w:t>
      </w:r>
      <w:r w:rsidR="002E72C1" w:rsidRPr="00A94043">
        <w:rPr>
          <w:rFonts w:ascii="Symbol" w:eastAsia="Symbol" w:hAnsi="Symbol" w:cs="Symbol"/>
        </w:rPr>
        <w:t>°</w:t>
      </w:r>
      <w:r w:rsidR="002E72C1" w:rsidRPr="00A94043">
        <w:t>C which is equal to their capacity.</w:t>
      </w:r>
    </w:p>
    <w:p w14:paraId="64E6D85B" w14:textId="023C813E" w:rsidR="00996B98" w:rsidRDefault="00996B98" w:rsidP="00B237BF">
      <w:pPr>
        <w:pStyle w:val="Caption"/>
        <w:keepLines/>
      </w:pPr>
      <w:bookmarkStart w:id="41" w:name="_Ref147144300"/>
      <w:bookmarkStart w:id="42" w:name="_Toc136964338"/>
      <w:bookmarkStart w:id="43" w:name="_Toc175309964"/>
      <w:r w:rsidRPr="00A94043">
        <w:lastRenderedPageBreak/>
        <w:t xml:space="preserve">Figure </w:t>
      </w:r>
      <w:r>
        <w:fldChar w:fldCharType="begin"/>
      </w:r>
      <w:r>
        <w:instrText>SEQ Figure \* ARABIC</w:instrText>
      </w:r>
      <w:r>
        <w:fldChar w:fldCharType="separate"/>
      </w:r>
      <w:r w:rsidR="007068DD">
        <w:rPr>
          <w:noProof/>
        </w:rPr>
        <w:t>2</w:t>
      </w:r>
      <w:r>
        <w:fldChar w:fldCharType="end"/>
      </w:r>
      <w:bookmarkEnd w:id="41"/>
      <w:r w:rsidRPr="00A94043">
        <w:t xml:space="preserve">: Comparison of Air Conditioner Capacity, </w:t>
      </w:r>
      <w:r w:rsidR="00103105">
        <w:t>Weather Independent</w:t>
      </w:r>
      <w:r w:rsidRPr="00A94043">
        <w:t xml:space="preserve"> Heater Capacity and Residential Load</w:t>
      </w:r>
      <w:bookmarkEnd w:id="42"/>
      <w:bookmarkEnd w:id="43"/>
    </w:p>
    <w:p w14:paraId="1EE1254D" w14:textId="0D6C979B" w:rsidR="00FC6978" w:rsidRPr="00FC6978" w:rsidRDefault="00FC6978" w:rsidP="006A4B56">
      <w:r>
        <w:rPr>
          <w:noProof/>
        </w:rPr>
        <w:drawing>
          <wp:inline distT="0" distB="0" distL="0" distR="0" wp14:anchorId="1A00DA18" wp14:editId="1BE2F624">
            <wp:extent cx="6112510" cy="3993515"/>
            <wp:effectExtent l="0" t="0" r="2540" b="6985"/>
            <wp:docPr id="1896128890" name="Chart 1" descr="Figure 2 is a graph demonstrating the normalised heating capacity and residential load for an air conditioner and a weather independent heater. The y axis shows the normalised heating capacity or load, and the x axis shows the outdoor temperature. Four lines are shown on the graph: 1) weather independent heater at full capacity, 2) air conditioner at full capacity (no frosting), 3) air conditioner at full capacity (frosting), and 4) residential load.">
              <a:extLst xmlns:a="http://schemas.openxmlformats.org/drawingml/2006/main">
                <a:ext uri="{FF2B5EF4-FFF2-40B4-BE49-F238E27FC236}">
                  <a16:creationId xmlns:a16="http://schemas.microsoft.com/office/drawing/2014/main" id="{BB16835B-377D-4F12-A528-1C1499981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707004A" w14:textId="36FED1E9" w:rsidR="00996B98" w:rsidRPr="00A94043" w:rsidRDefault="00996B98" w:rsidP="00B237BF">
      <w:pPr>
        <w:keepNext/>
        <w:keepLines/>
        <w:spacing w:after="0" w:line="240" w:lineRule="auto"/>
        <w:jc w:val="center"/>
      </w:pPr>
    </w:p>
    <w:p w14:paraId="14B30B5E" w14:textId="43834A2E" w:rsidR="002E72C1" w:rsidRPr="00A94043" w:rsidRDefault="00996B98" w:rsidP="00B237BF">
      <w:pPr>
        <w:keepLines/>
      </w:pPr>
      <w:r w:rsidRPr="00A94043">
        <w:t>*Normalised by the full heating capacity of the air-conditioner at 7</w:t>
      </w:r>
      <w:r w:rsidRPr="00A94043">
        <w:rPr>
          <w:rFonts w:ascii="Symbol" w:eastAsia="Symbol" w:hAnsi="Symbol" w:cs="Symbol"/>
        </w:rPr>
        <w:t>°</w:t>
      </w:r>
      <w:r w:rsidRPr="00A94043">
        <w:t>C.</w:t>
      </w:r>
    </w:p>
    <w:p w14:paraId="33C7E493" w14:textId="77777777" w:rsidR="002E72C1" w:rsidRPr="00A94043" w:rsidRDefault="002E72C1" w:rsidP="002E72C1">
      <w:pPr>
        <w:pStyle w:val="Heading2"/>
      </w:pPr>
      <w:bookmarkStart w:id="44" w:name="_Toc175311919"/>
      <w:r w:rsidRPr="00A94043">
        <w:t>Definition of Load</w:t>
      </w:r>
      <w:bookmarkEnd w:id="44"/>
    </w:p>
    <w:p w14:paraId="25F004AE" w14:textId="55D3602D" w:rsidR="002E72C1" w:rsidRPr="00A94043" w:rsidRDefault="002E72C1" w:rsidP="002E72C1">
      <w:r w:rsidRPr="00A94043">
        <w:t xml:space="preserve">The heating load for the space heater </w:t>
      </w:r>
      <w:r w:rsidR="00F325D4" w:rsidRPr="00A94043">
        <w:t>comparison</w:t>
      </w:r>
      <w:r w:rsidRPr="00A94043">
        <w:t xml:space="preserve"> methodology is proposed to be the same as for the ACCM, which is defined by AS/NZS 3823.4.2 as a straight</w:t>
      </w:r>
      <w:r w:rsidR="003C1779" w:rsidRPr="00A94043">
        <w:t>-</w:t>
      </w:r>
      <w:r w:rsidRPr="00A94043">
        <w:t>line function of outdoor temperature from zero load at t</w:t>
      </w:r>
      <w:r w:rsidRPr="00A94043">
        <w:rPr>
          <w:vertAlign w:val="subscript"/>
        </w:rPr>
        <w:t>0</w:t>
      </w:r>
      <w:r w:rsidRPr="00A94043">
        <w:t xml:space="preserve"> to full load at t</w:t>
      </w:r>
      <w:r w:rsidRPr="00A94043">
        <w:rPr>
          <w:vertAlign w:val="subscript"/>
        </w:rPr>
        <w:t>100</w:t>
      </w:r>
      <w:r w:rsidRPr="00A94043">
        <w:t xml:space="preserve">. </w:t>
      </w:r>
      <w:r w:rsidR="00ED1D3B">
        <w:t xml:space="preserve">This </w:t>
      </w:r>
      <w:r w:rsidR="00B26634">
        <w:t xml:space="preserve">approach </w:t>
      </w:r>
      <w:r w:rsidR="003B4F81">
        <w:t>is based on the international standard and uses a straight line from max</w:t>
      </w:r>
      <w:r w:rsidR="00FE36D7">
        <w:t xml:space="preserve">imum heating load at the coldest outdoor temperature to zero heating load at a defined temperature, or “zero load temperature”. </w:t>
      </w:r>
      <w:r w:rsidR="000E2C83">
        <w:t xml:space="preserve">The maximum heating load scales with the capacity of the heater, assuming that an appropriately sized heater will be installed depending on the </w:t>
      </w:r>
      <w:r w:rsidR="00ED1D3B">
        <w:t>desired</w:t>
      </w:r>
      <w:r w:rsidR="000E2C83">
        <w:t xml:space="preserve"> usage and house </w:t>
      </w:r>
      <w:r w:rsidR="00ED1D3B">
        <w:t>construction</w:t>
      </w:r>
      <w:r w:rsidR="000E2C83">
        <w:t xml:space="preserve">. </w:t>
      </w:r>
      <w:r w:rsidRPr="00A94043">
        <w:t>For residential applications, for all climate zones, t</w:t>
      </w:r>
      <w:r w:rsidRPr="00A94043">
        <w:rPr>
          <w:vertAlign w:val="subscript"/>
        </w:rPr>
        <w:t>0</w:t>
      </w:r>
      <w:r w:rsidRPr="00A94043">
        <w:t xml:space="preserve"> = 15</w:t>
      </w:r>
      <w:r w:rsidRPr="00A94043">
        <w:rPr>
          <w:rFonts w:asciiTheme="minorHAnsi" w:hAnsiTheme="minorHAnsi" w:cstheme="minorBidi"/>
        </w:rPr>
        <w:t>°</w:t>
      </w:r>
      <w:r w:rsidRPr="00A94043">
        <w:t>C and t</w:t>
      </w:r>
      <w:r w:rsidRPr="00A94043">
        <w:rPr>
          <w:vertAlign w:val="subscript"/>
        </w:rPr>
        <w:t>100</w:t>
      </w:r>
      <w:r w:rsidRPr="00A94043">
        <w:t xml:space="preserve"> = 0</w:t>
      </w:r>
      <w:r w:rsidRPr="00A94043">
        <w:rPr>
          <w:rFonts w:asciiTheme="minorHAnsi" w:hAnsiTheme="minorHAnsi" w:cstheme="minorBidi"/>
        </w:rPr>
        <w:t>°</w:t>
      </w:r>
      <w:r w:rsidRPr="00A94043">
        <w:t>C. AS/NZS 3823.4.2 defines full load at t</w:t>
      </w:r>
      <w:r w:rsidRPr="00A94043">
        <w:rPr>
          <w:vertAlign w:val="subscript"/>
        </w:rPr>
        <w:t>100</w:t>
      </w:r>
      <w:r w:rsidRPr="00A94043">
        <w:t xml:space="preserve"> to be 0.82 times the capacity of the air conditioner at 7</w:t>
      </w:r>
      <w:r w:rsidRPr="00A94043">
        <w:rPr>
          <w:rFonts w:asciiTheme="minorHAnsi" w:hAnsiTheme="minorHAnsi" w:cstheme="minorBidi"/>
        </w:rPr>
        <w:t>°</w:t>
      </w:r>
      <w:r w:rsidRPr="00A94043">
        <w:t xml:space="preserve">C. As discussed above, the heating capacity of an air conditioner has a strong dependence on outdoor temperature, and it is proposed that </w:t>
      </w:r>
      <w:r w:rsidR="00765AFD">
        <w:t>weather independent</w:t>
      </w:r>
      <w:r w:rsidRPr="00A94043">
        <w:t xml:space="preserve"> heaters (such as gas, electric</w:t>
      </w:r>
      <w:r w:rsidR="004F1D54">
        <w:t xml:space="preserve"> </w:t>
      </w:r>
      <w:r w:rsidRPr="00A94043">
        <w:t>resistance and solid</w:t>
      </w:r>
      <w:r w:rsidR="000C6ABB">
        <w:t xml:space="preserve"> </w:t>
      </w:r>
      <w:r w:rsidRPr="00A94043">
        <w:t>fuel heaters) are compared with an air conditioner of the same full capacity at 7</w:t>
      </w:r>
      <w:r w:rsidRPr="00A94043">
        <w:rPr>
          <w:rFonts w:ascii="Symbol" w:eastAsia="Symbol" w:hAnsi="Symbol" w:cs="Symbol"/>
        </w:rPr>
        <w:t>°</w:t>
      </w:r>
      <w:r w:rsidRPr="00A94043">
        <w:t xml:space="preserve">C, meaning that for the space heater </w:t>
      </w:r>
      <w:r w:rsidR="00F325D4" w:rsidRPr="00A94043">
        <w:t>comparison</w:t>
      </w:r>
      <w:r w:rsidRPr="00A94043">
        <w:t xml:space="preserve"> methodology, full load at 0</w:t>
      </w:r>
      <w:r w:rsidRPr="00A94043">
        <w:rPr>
          <w:rFonts w:asciiTheme="minorHAnsi" w:hAnsiTheme="minorHAnsi" w:cstheme="minorBidi"/>
        </w:rPr>
        <w:t>°</w:t>
      </w:r>
      <w:r w:rsidRPr="00A94043">
        <w:t xml:space="preserve">C is 0.82 times the nominal capacity of the space heater, as shown in </w:t>
      </w:r>
      <w:r w:rsidRPr="00A94043">
        <w:rPr>
          <w:color w:val="2B579A"/>
          <w:shd w:val="clear" w:color="auto" w:fill="E6E6E6"/>
        </w:rPr>
        <w:fldChar w:fldCharType="begin"/>
      </w:r>
      <w:r w:rsidRPr="00A94043">
        <w:instrText xml:space="preserve"> REF _Ref147144300 \h </w:instrText>
      </w:r>
      <w:r w:rsidRPr="00A94043">
        <w:rPr>
          <w:color w:val="2B579A"/>
          <w:shd w:val="clear" w:color="auto" w:fill="E6E6E6"/>
        </w:rPr>
      </w:r>
      <w:r w:rsidRPr="00A94043">
        <w:rPr>
          <w:color w:val="2B579A"/>
          <w:shd w:val="clear" w:color="auto" w:fill="E6E6E6"/>
        </w:rPr>
        <w:fldChar w:fldCharType="separate"/>
      </w:r>
      <w:r w:rsidR="007068DD" w:rsidRPr="00A94043">
        <w:t xml:space="preserve">Figure </w:t>
      </w:r>
      <w:r w:rsidR="007068DD">
        <w:rPr>
          <w:noProof/>
        </w:rPr>
        <w:t>2</w:t>
      </w:r>
      <w:r w:rsidRPr="00A94043">
        <w:rPr>
          <w:color w:val="2B579A"/>
          <w:shd w:val="clear" w:color="auto" w:fill="E6E6E6"/>
        </w:rPr>
        <w:fldChar w:fldCharType="end"/>
      </w:r>
      <w:r w:rsidRPr="00A94043">
        <w:t>.</w:t>
      </w:r>
    </w:p>
    <w:p w14:paraId="4ECAE2C5" w14:textId="27D7F953" w:rsidR="00E31535" w:rsidRPr="00A94043" w:rsidRDefault="00E31535" w:rsidP="00E31535">
      <w:r w:rsidRPr="00A94043">
        <w:t xml:space="preserve">This is a simplification of the actual operation of heaters as a function of outdoor temperature, for the purposes of providing a basis for product comparison. In the real world, as the outdoor air cools down at night after a hot day, the interior of the house will remain significantly warmer than the outdoor </w:t>
      </w:r>
      <w:r w:rsidRPr="00A94043">
        <w:lastRenderedPageBreak/>
        <w:t>temperature, and may not need heating for outdoor temperatures well below 15</w:t>
      </w:r>
      <w:r w:rsidRPr="00A94043">
        <w:rPr>
          <w:rFonts w:asciiTheme="minorHAnsi" w:hAnsiTheme="minorHAnsi" w:cstheme="minorBidi"/>
        </w:rPr>
        <w:t>°</w:t>
      </w:r>
      <w:r w:rsidRPr="00A94043">
        <w:t>C, while on a cool morning the house may continue to need heating after the outdoor temperature has risen above 15</w:t>
      </w:r>
      <w:r w:rsidRPr="00A94043">
        <w:rPr>
          <w:rFonts w:asciiTheme="minorHAnsi" w:hAnsiTheme="minorHAnsi" w:cstheme="minorBidi"/>
        </w:rPr>
        <w:t>°</w:t>
      </w:r>
      <w:r w:rsidRPr="00A94043">
        <w:t>C, as the floors, walls and house contents slowly come up to temperature. There will also be variations from person to person, and house to house, with some well-designed houses maintaining indoor temperatures significantly above the outdoor temperature without additional heating.</w:t>
      </w:r>
    </w:p>
    <w:p w14:paraId="586A7F66" w14:textId="77777777" w:rsidR="00E31535" w:rsidRPr="00A94043" w:rsidRDefault="00E31535" w:rsidP="00E31535">
      <w:r w:rsidRPr="00A94043">
        <w:t>Note that, in addition to defining the heating load, AS/NZS 3823.4.2 defines the outdoor temperature bins, or hours per year during which heating is required for each outdoor temperature. These are defined as a fraction of the total hours per year during which each outdoor temperature occurs. For example, at 10</w:t>
      </w:r>
      <w:r w:rsidRPr="00A94043">
        <w:rPr>
          <w:rFonts w:asciiTheme="minorHAnsi" w:hAnsiTheme="minorHAnsi" w:cstheme="minorBidi"/>
        </w:rPr>
        <w:t>°</w:t>
      </w:r>
      <w:r w:rsidRPr="00A94043">
        <w:t>C it is assumed that only 50% of the total annual hours counted require heating, resulting in 112 hours of heating being required at 10</w:t>
      </w:r>
      <w:r w:rsidRPr="00A94043">
        <w:rPr>
          <w:rFonts w:asciiTheme="minorHAnsi" w:hAnsiTheme="minorHAnsi" w:cstheme="minorBidi"/>
        </w:rPr>
        <w:t>°</w:t>
      </w:r>
      <w:r w:rsidRPr="00A94043">
        <w:t>C in the Average Zone, out of a total of 224 hours per year at 10</w:t>
      </w:r>
      <w:r w:rsidRPr="00A94043">
        <w:rPr>
          <w:rFonts w:asciiTheme="minorHAnsi" w:hAnsiTheme="minorHAnsi" w:cstheme="minorBidi"/>
        </w:rPr>
        <w:t>°</w:t>
      </w:r>
      <w:r w:rsidRPr="00A94043">
        <w:t>C in a typical year in that zone.</w:t>
      </w:r>
    </w:p>
    <w:p w14:paraId="56F9AF14" w14:textId="3EA2E981" w:rsidR="002E72C1" w:rsidRPr="00A94043" w:rsidRDefault="002E72C1" w:rsidP="002E72C1">
      <w:r w:rsidRPr="00A94043">
        <w:t>For residential applications evaluated under the ACCM: for the hot climate zone, there are no heating hours for an outdoor temperature less than 3</w:t>
      </w:r>
      <w:r w:rsidRPr="00A94043">
        <w:rPr>
          <w:rFonts w:asciiTheme="minorHAnsi" w:hAnsiTheme="minorHAnsi" w:cstheme="minorBidi"/>
        </w:rPr>
        <w:t>°</w:t>
      </w:r>
      <w:r w:rsidRPr="00A94043">
        <w:t>C; for the average climate zone there are no heating hours below -4</w:t>
      </w:r>
      <w:r w:rsidRPr="00A94043">
        <w:rPr>
          <w:rFonts w:asciiTheme="minorHAnsi" w:hAnsiTheme="minorHAnsi" w:cstheme="minorBidi"/>
        </w:rPr>
        <w:t>°</w:t>
      </w:r>
      <w:r w:rsidRPr="00A94043">
        <w:t>C; and for the cold climate zone there are no heating hours below -6</w:t>
      </w:r>
      <w:r w:rsidRPr="00A94043">
        <w:rPr>
          <w:rFonts w:asciiTheme="minorHAnsi" w:hAnsiTheme="minorHAnsi" w:cstheme="minorBidi"/>
        </w:rPr>
        <w:t>°</w:t>
      </w:r>
      <w:r w:rsidRPr="00A94043">
        <w:t>C.</w:t>
      </w:r>
    </w:p>
    <w:p w14:paraId="642D73EB" w14:textId="0122C337" w:rsidR="00DA3BBF" w:rsidRDefault="00DA3BBF" w:rsidP="002E72C1"/>
    <w:p w14:paraId="091064C7" w14:textId="0E719EF5" w:rsidR="00FF11CB" w:rsidRPr="00FF11CB" w:rsidRDefault="00FF11CB" w:rsidP="00FF11CB">
      <w:r w:rsidRPr="00FF11CB">
        <w:t xml:space="preserve">The </w:t>
      </w:r>
      <w:r w:rsidRPr="00C71134">
        <w:rPr>
          <w:i/>
          <w:iCs/>
        </w:rPr>
        <w:t>Heating Seasonal Total Load</w:t>
      </w:r>
      <w:r w:rsidRPr="00FF11CB">
        <w:t xml:space="preserve"> (</w:t>
      </w:r>
      <w:r w:rsidRPr="00C71134">
        <w:rPr>
          <w:i/>
          <w:iCs/>
        </w:rPr>
        <w:t>HSTL</w:t>
      </w:r>
      <w:r w:rsidRPr="00FF11CB">
        <w:t>), or total</w:t>
      </w:r>
      <w:r>
        <w:t xml:space="preserve"> amount of</w:t>
      </w:r>
      <w:r w:rsidRPr="00FF11CB">
        <w:t xml:space="preserve"> heating </w:t>
      </w:r>
      <w:r>
        <w:t>to be supplied in each climate zone</w:t>
      </w:r>
      <w:r w:rsidRPr="00FF11CB">
        <w:t xml:space="preserve">, is calculated by adding up the heating load at each outdoor temperature, multiplied by the </w:t>
      </w:r>
      <w:r>
        <w:t xml:space="preserve">number of hours heating is required at each outdoor temperature </w:t>
      </w:r>
      <w:r w:rsidRPr="00FF11CB">
        <w:t>as defined by AS/NZS 3823.4.2</w:t>
      </w:r>
      <w:r>
        <w:t xml:space="preserve">, as summarised in </w:t>
      </w:r>
      <w:r>
        <w:fldChar w:fldCharType="begin"/>
      </w:r>
      <w:r>
        <w:instrText xml:space="preserve"> REF _Ref158724884 \h </w:instrText>
      </w:r>
      <w:r>
        <w:fldChar w:fldCharType="separate"/>
      </w:r>
      <w:r w:rsidR="007068DD" w:rsidRPr="00A94043">
        <w:t xml:space="preserve">Table </w:t>
      </w:r>
      <w:r w:rsidR="007068DD">
        <w:rPr>
          <w:noProof/>
        </w:rPr>
        <w:t>1</w:t>
      </w:r>
      <w:r>
        <w:fldChar w:fldCharType="end"/>
      </w:r>
      <w:r w:rsidRPr="00FF11CB">
        <w:t xml:space="preserve">. </w:t>
      </w:r>
    </w:p>
    <w:p w14:paraId="54F6ED79" w14:textId="67B76663" w:rsidR="00FF11CB" w:rsidRPr="00FF11CB" w:rsidRDefault="00D73D08" w:rsidP="00FF11CB">
      <m:oMathPara>
        <m:oMath>
          <m:f>
            <m:fPr>
              <m:ctrlPr>
                <w:rPr>
                  <w:rFonts w:ascii="Cambria Math" w:hAnsi="Cambria Math"/>
                  <w:i/>
                </w:rPr>
              </m:ctrlPr>
            </m:fPr>
            <m:num>
              <m:r>
                <w:rPr>
                  <w:rFonts w:ascii="Cambria Math" w:hAnsi="Cambria Math"/>
                </w:rPr>
                <m:t>HSTL</m:t>
              </m:r>
            </m:num>
            <m:den>
              <m:r>
                <w:rPr>
                  <w:rFonts w:ascii="Cambria Math" w:hAnsi="Cambria Math"/>
                </w:rPr>
                <m:t>Capacity</m:t>
              </m:r>
            </m:den>
          </m:f>
          <m:r>
            <w:rPr>
              <w:rFonts w:ascii="Cambria Math" w:hAnsi="Cambria Math"/>
            </w:rPr>
            <m:t>=</m:t>
          </m:r>
          <m:nary>
            <m:naryPr>
              <m:chr m:val="∑"/>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Load</m:t>
                  </m:r>
                </m:num>
                <m:den>
                  <m:r>
                    <w:rPr>
                      <w:rFonts w:ascii="Cambria Math" w:hAnsi="Cambria Math"/>
                    </w:rPr>
                    <m:t>Capacity</m:t>
                  </m:r>
                </m:den>
              </m:f>
              <m:r>
                <w:rPr>
                  <w:rFonts w:ascii="Cambria Math" w:hAnsi="Cambria Math"/>
                </w:rPr>
                <m:t>×Hours</m:t>
              </m:r>
            </m:e>
          </m:nary>
        </m:oMath>
      </m:oMathPara>
    </w:p>
    <w:p w14:paraId="20012A3A" w14:textId="5EE6F74D" w:rsidR="00FF11CB" w:rsidRPr="00FF11CB" w:rsidRDefault="00FF11CB" w:rsidP="00C71134">
      <w:pPr>
        <w:ind w:left="720"/>
      </w:pPr>
      <w:r w:rsidRPr="00FF11CB">
        <w:t xml:space="preserve">where </w:t>
      </w:r>
      <w:r w:rsidRPr="00FF11CB">
        <w:rPr>
          <w:i/>
          <w:iCs/>
        </w:rPr>
        <w:t>HSTL</w:t>
      </w:r>
      <w:r w:rsidRPr="00FF11CB">
        <w:t xml:space="preserve"> = Heating Seasonal Total Load (kWh/year), </w:t>
      </w:r>
      <w:r w:rsidRPr="00FF11CB">
        <w:rPr>
          <w:i/>
          <w:iCs/>
        </w:rPr>
        <w:t>Load</w:t>
      </w:r>
      <w:r w:rsidRPr="00FF11CB">
        <w:t xml:space="preserve"> is the heating load as a function of outdoor temperature (kW), </w:t>
      </w:r>
      <w:r w:rsidRPr="00FF11CB">
        <w:rPr>
          <w:i/>
          <w:iCs/>
        </w:rPr>
        <w:t>Capacity</w:t>
      </w:r>
      <w:r w:rsidRPr="00FF11CB">
        <w:t xml:space="preserve"> = </w:t>
      </w:r>
      <w:r w:rsidRPr="00FF11CB">
        <w:rPr>
          <w:i/>
          <w:iCs/>
        </w:rPr>
        <w:t>Rated Capacity</w:t>
      </w:r>
      <w:r w:rsidRPr="00FF11CB">
        <w:t xml:space="preserve"> (kW), and </w:t>
      </w:r>
      <w:r w:rsidRPr="00FF11CB">
        <w:rPr>
          <w:i/>
          <w:iCs/>
        </w:rPr>
        <w:t>Hours</w:t>
      </w:r>
      <w:r w:rsidRPr="00FF11CB">
        <w:t xml:space="preserve"> are the hours of operation in heating mode, as a function of outdoor temperature, as defined by the temperature bins specified in AS/NZS 3823.4.2.</w:t>
      </w:r>
    </w:p>
    <w:p w14:paraId="0E690817" w14:textId="648732EB" w:rsidR="00FF11CB" w:rsidRPr="00A94043" w:rsidRDefault="00FF11CB" w:rsidP="002E72C1"/>
    <w:p w14:paraId="155A3562" w14:textId="1FD32DE3" w:rsidR="00DA3BBF" w:rsidRPr="00A94043" w:rsidRDefault="00DA3BBF" w:rsidP="00A94043">
      <w:pPr>
        <w:pStyle w:val="Caption"/>
      </w:pPr>
      <w:bookmarkStart w:id="45" w:name="_Ref158724884"/>
      <w:bookmarkStart w:id="46" w:name="_Toc175311867"/>
      <w:r w:rsidRPr="00A94043">
        <w:t xml:space="preserve">Table </w:t>
      </w:r>
      <w:r>
        <w:fldChar w:fldCharType="begin"/>
      </w:r>
      <w:r>
        <w:instrText>SEQ Table \* ARABIC</w:instrText>
      </w:r>
      <w:r>
        <w:fldChar w:fldCharType="separate"/>
      </w:r>
      <w:r w:rsidR="007068DD">
        <w:rPr>
          <w:noProof/>
        </w:rPr>
        <w:t>1</w:t>
      </w:r>
      <w:r>
        <w:fldChar w:fldCharType="end"/>
      </w:r>
      <w:bookmarkEnd w:id="45"/>
      <w:r w:rsidRPr="00A94043">
        <w:t>: Heating Seasonal Total Load</w:t>
      </w:r>
      <w:r w:rsidR="00FF11CB">
        <w:t xml:space="preserve"> per Capacity</w:t>
      </w:r>
      <w:r w:rsidRPr="00A94043">
        <w:t>, by Climate Zone</w:t>
      </w:r>
      <w:r w:rsidR="00670C60">
        <w:t>, according to the Comparison Methodology</w:t>
      </w:r>
      <w:bookmarkEnd w:id="46"/>
    </w:p>
    <w:tbl>
      <w:tblPr>
        <w:tblStyle w:val="TableGrid"/>
        <w:tblW w:w="0" w:type="auto"/>
        <w:tblLook w:val="04A0" w:firstRow="1" w:lastRow="0" w:firstColumn="1" w:lastColumn="0" w:noHBand="0" w:noVBand="1"/>
        <w:tblCaption w:val="Heating Seasonal Total Load per Capacity, by Climate Zone, according to the Comparison Methodology"/>
        <w:tblDescription w:val="This table describes the Heating Seasonal Total Load per Capacity, by Climate Zone, according to the Comparison Methodology. It provides information about heating seasonal total load per capacity and that minus make-up heat for weather independent heaters for hot zone, average zone and cold zone."/>
      </w:tblPr>
      <w:tblGrid>
        <w:gridCol w:w="4390"/>
        <w:gridCol w:w="1742"/>
        <w:gridCol w:w="1742"/>
        <w:gridCol w:w="1742"/>
      </w:tblGrid>
      <w:tr w:rsidR="00DA3BBF" w:rsidRPr="00A94043" w14:paraId="36614032" w14:textId="77777777" w:rsidTr="00756877">
        <w:trPr>
          <w:tblHeader/>
        </w:trPr>
        <w:tc>
          <w:tcPr>
            <w:tcW w:w="4390" w:type="dxa"/>
          </w:tcPr>
          <w:p w14:paraId="14D5F0CC" w14:textId="0E4A2283" w:rsidR="00DA3BBF" w:rsidRPr="00A94043" w:rsidRDefault="00F779F7" w:rsidP="002E72C1">
            <w:pPr>
              <w:rPr>
                <w:b/>
                <w:bCs/>
              </w:rPr>
            </w:pPr>
            <w:r w:rsidRPr="00A94043">
              <w:rPr>
                <w:b/>
                <w:bCs/>
              </w:rPr>
              <w:t>Heating Seasonal Total Load</w:t>
            </w:r>
            <w:r>
              <w:rPr>
                <w:b/>
                <w:bCs/>
              </w:rPr>
              <w:t xml:space="preserve"> (HSTL)</w:t>
            </w:r>
          </w:p>
        </w:tc>
        <w:tc>
          <w:tcPr>
            <w:tcW w:w="1742" w:type="dxa"/>
          </w:tcPr>
          <w:p w14:paraId="6E8378E1" w14:textId="54393FF1" w:rsidR="00DA3BBF" w:rsidRPr="00A94043" w:rsidRDefault="00DA3BBF" w:rsidP="00A94043">
            <w:pPr>
              <w:jc w:val="center"/>
              <w:rPr>
                <w:b/>
                <w:bCs/>
              </w:rPr>
            </w:pPr>
            <w:r w:rsidRPr="00A94043">
              <w:rPr>
                <w:b/>
                <w:bCs/>
              </w:rPr>
              <w:t>Hot Zone</w:t>
            </w:r>
          </w:p>
        </w:tc>
        <w:tc>
          <w:tcPr>
            <w:tcW w:w="1742" w:type="dxa"/>
          </w:tcPr>
          <w:p w14:paraId="44C14779" w14:textId="0B89033D" w:rsidR="00DA3BBF" w:rsidRPr="00A94043" w:rsidRDefault="00DA3BBF" w:rsidP="00A94043">
            <w:pPr>
              <w:jc w:val="center"/>
              <w:rPr>
                <w:b/>
                <w:bCs/>
              </w:rPr>
            </w:pPr>
            <w:r w:rsidRPr="00A94043">
              <w:rPr>
                <w:b/>
                <w:bCs/>
              </w:rPr>
              <w:t>Average Zone</w:t>
            </w:r>
          </w:p>
        </w:tc>
        <w:tc>
          <w:tcPr>
            <w:tcW w:w="1742" w:type="dxa"/>
          </w:tcPr>
          <w:p w14:paraId="45DFD0FC" w14:textId="005909BA" w:rsidR="00DA3BBF" w:rsidRPr="00A94043" w:rsidRDefault="00DA3BBF" w:rsidP="00A94043">
            <w:pPr>
              <w:jc w:val="center"/>
              <w:rPr>
                <w:b/>
                <w:bCs/>
              </w:rPr>
            </w:pPr>
            <w:r w:rsidRPr="00A94043">
              <w:rPr>
                <w:b/>
                <w:bCs/>
              </w:rPr>
              <w:t>Cold Zone</w:t>
            </w:r>
          </w:p>
        </w:tc>
      </w:tr>
      <w:tr w:rsidR="00DA3BBF" w:rsidRPr="00A94043" w14:paraId="75F64A0A" w14:textId="77777777" w:rsidTr="00A94043">
        <w:tc>
          <w:tcPr>
            <w:tcW w:w="4390" w:type="dxa"/>
          </w:tcPr>
          <w:p w14:paraId="09CC4EE0" w14:textId="413B5B75" w:rsidR="00DA3BBF" w:rsidRPr="00A94043" w:rsidRDefault="00F779F7" w:rsidP="002E72C1">
            <w:pPr>
              <w:rPr>
                <w:b/>
                <w:bCs/>
              </w:rPr>
            </w:pPr>
            <w:r>
              <w:rPr>
                <w:b/>
                <w:bCs/>
              </w:rPr>
              <w:t>HSTL</w:t>
            </w:r>
            <w:r w:rsidR="00FF11CB">
              <w:rPr>
                <w:b/>
                <w:bCs/>
              </w:rPr>
              <w:t xml:space="preserve"> per Capacity</w:t>
            </w:r>
            <w:r w:rsidR="00DA3BBF" w:rsidRPr="00A94043">
              <w:rPr>
                <w:b/>
                <w:bCs/>
              </w:rPr>
              <w:t xml:space="preserve"> (kWh/year</w:t>
            </w:r>
            <w:r w:rsidR="00FF11CB">
              <w:rPr>
                <w:b/>
                <w:bCs/>
              </w:rPr>
              <w:t>/kW</w:t>
            </w:r>
            <w:r w:rsidR="00DA3BBF" w:rsidRPr="00A94043">
              <w:rPr>
                <w:b/>
                <w:bCs/>
              </w:rPr>
              <w:t>)</w:t>
            </w:r>
          </w:p>
        </w:tc>
        <w:tc>
          <w:tcPr>
            <w:tcW w:w="1742" w:type="dxa"/>
          </w:tcPr>
          <w:p w14:paraId="7DFA9DEB" w14:textId="3509985A" w:rsidR="00DA3BBF" w:rsidRPr="00A94043" w:rsidRDefault="00DA3BBF" w:rsidP="00A94043">
            <w:pPr>
              <w:jc w:val="center"/>
            </w:pPr>
            <w:r w:rsidRPr="00A94043">
              <w:t>83.91</w:t>
            </w:r>
          </w:p>
        </w:tc>
        <w:tc>
          <w:tcPr>
            <w:tcW w:w="1742" w:type="dxa"/>
          </w:tcPr>
          <w:p w14:paraId="12894991" w14:textId="5BDFD7EA" w:rsidR="00DA3BBF" w:rsidRPr="00A94043" w:rsidRDefault="00DA3BBF" w:rsidP="00A94043">
            <w:pPr>
              <w:jc w:val="center"/>
            </w:pPr>
            <w:r w:rsidRPr="00A94043">
              <w:t>543.06</w:t>
            </w:r>
          </w:p>
        </w:tc>
        <w:tc>
          <w:tcPr>
            <w:tcW w:w="1742" w:type="dxa"/>
          </w:tcPr>
          <w:p w14:paraId="37D809A1" w14:textId="00530A8A" w:rsidR="00DA3BBF" w:rsidRPr="00A94043" w:rsidRDefault="00DA3BBF" w:rsidP="00A94043">
            <w:pPr>
              <w:jc w:val="center"/>
            </w:pPr>
            <w:r w:rsidRPr="00A94043">
              <w:t>1305.82</w:t>
            </w:r>
          </w:p>
        </w:tc>
      </w:tr>
      <w:tr w:rsidR="00DA3BBF" w:rsidRPr="00A94043" w14:paraId="3C59F5AB" w14:textId="77777777" w:rsidTr="00A94043">
        <w:tc>
          <w:tcPr>
            <w:tcW w:w="4390" w:type="dxa"/>
          </w:tcPr>
          <w:p w14:paraId="472AE5B7" w14:textId="3E03A9A6" w:rsidR="00DA3BBF" w:rsidRPr="00A94043" w:rsidRDefault="00F779F7" w:rsidP="00A94043">
            <w:pPr>
              <w:spacing w:after="0"/>
              <w:rPr>
                <w:b/>
                <w:bCs/>
              </w:rPr>
            </w:pPr>
            <w:r>
              <w:rPr>
                <w:b/>
                <w:bCs/>
              </w:rPr>
              <w:t>HSTL</w:t>
            </w:r>
            <w:r w:rsidR="00FF11CB">
              <w:rPr>
                <w:b/>
                <w:bCs/>
              </w:rPr>
              <w:t xml:space="preserve"> per Capacity</w:t>
            </w:r>
            <w:r w:rsidR="00DA3BBF" w:rsidRPr="00A94043">
              <w:rPr>
                <w:b/>
                <w:bCs/>
              </w:rPr>
              <w:t xml:space="preserve"> </w:t>
            </w:r>
          </w:p>
          <w:p w14:paraId="706D2959" w14:textId="77777777" w:rsidR="00DA3BBF" w:rsidRPr="00A94043" w:rsidRDefault="00DA3BBF" w:rsidP="00A94043">
            <w:pPr>
              <w:spacing w:after="0"/>
              <w:rPr>
                <w:b/>
                <w:bCs/>
              </w:rPr>
            </w:pPr>
            <w:r w:rsidRPr="00A94043">
              <w:rPr>
                <w:b/>
                <w:bCs/>
              </w:rPr>
              <w:t xml:space="preserve">minus Make-up Heat </w:t>
            </w:r>
          </w:p>
          <w:p w14:paraId="048358B3" w14:textId="715B68A1" w:rsidR="00DA3BBF" w:rsidRPr="00A94043" w:rsidRDefault="00DA3BBF" w:rsidP="00A94043">
            <w:pPr>
              <w:spacing w:after="0"/>
              <w:rPr>
                <w:b/>
                <w:bCs/>
              </w:rPr>
            </w:pPr>
            <w:r w:rsidRPr="00A94043">
              <w:rPr>
                <w:b/>
                <w:bCs/>
              </w:rPr>
              <w:t xml:space="preserve">for </w:t>
            </w:r>
            <w:r w:rsidR="00765AFD">
              <w:rPr>
                <w:b/>
                <w:bCs/>
              </w:rPr>
              <w:t>Weather Independent</w:t>
            </w:r>
            <w:r w:rsidRPr="00A94043">
              <w:rPr>
                <w:b/>
                <w:bCs/>
              </w:rPr>
              <w:t xml:space="preserve"> Heaters (kWh/year</w:t>
            </w:r>
            <w:r w:rsidR="00FF11CB">
              <w:rPr>
                <w:b/>
                <w:bCs/>
              </w:rPr>
              <w:t>/kW</w:t>
            </w:r>
            <w:r w:rsidRPr="00A94043">
              <w:rPr>
                <w:b/>
                <w:bCs/>
              </w:rPr>
              <w:t>)</w:t>
            </w:r>
          </w:p>
        </w:tc>
        <w:tc>
          <w:tcPr>
            <w:tcW w:w="1742" w:type="dxa"/>
          </w:tcPr>
          <w:p w14:paraId="3DEE7044" w14:textId="0F9DADF1" w:rsidR="00DA3BBF" w:rsidRPr="00A94043" w:rsidRDefault="00DA3BBF" w:rsidP="00A94043">
            <w:pPr>
              <w:jc w:val="center"/>
            </w:pPr>
            <w:r w:rsidRPr="00A94043">
              <w:t>83.91</w:t>
            </w:r>
          </w:p>
        </w:tc>
        <w:tc>
          <w:tcPr>
            <w:tcW w:w="1742" w:type="dxa"/>
          </w:tcPr>
          <w:p w14:paraId="7F55C51A" w14:textId="3C5B74CB" w:rsidR="00DA3BBF" w:rsidRPr="00A94043" w:rsidRDefault="00DA3BBF" w:rsidP="00A94043">
            <w:pPr>
              <w:jc w:val="center"/>
            </w:pPr>
            <w:r w:rsidRPr="00A94043">
              <w:t>543.02</w:t>
            </w:r>
          </w:p>
        </w:tc>
        <w:tc>
          <w:tcPr>
            <w:tcW w:w="1742" w:type="dxa"/>
          </w:tcPr>
          <w:p w14:paraId="187785F0" w14:textId="4EF34AF6" w:rsidR="00DA3BBF" w:rsidRPr="00A94043" w:rsidRDefault="00DA3BBF" w:rsidP="00A94043">
            <w:pPr>
              <w:jc w:val="center"/>
            </w:pPr>
            <w:r w:rsidRPr="00A94043">
              <w:t>1303.31</w:t>
            </w:r>
          </w:p>
        </w:tc>
      </w:tr>
    </w:tbl>
    <w:p w14:paraId="75AA4ADD" w14:textId="77777777" w:rsidR="00DA3BBF" w:rsidRPr="00A94043" w:rsidRDefault="00DA3BBF" w:rsidP="002E72C1"/>
    <w:p w14:paraId="71C5299D" w14:textId="39DD4D13" w:rsidR="00AB2575" w:rsidRPr="00A94043" w:rsidRDefault="00AE23CE" w:rsidP="002E72C1">
      <w:r>
        <w:t>T</w:t>
      </w:r>
      <w:r w:rsidR="001974AA">
        <w:t xml:space="preserve">he </w:t>
      </w:r>
      <w:r w:rsidR="00084BD6">
        <w:t xml:space="preserve">ACCM recognises three </w:t>
      </w:r>
      <w:r w:rsidR="00437B5C">
        <w:t xml:space="preserve">broad </w:t>
      </w:r>
      <w:r w:rsidR="00084BD6">
        <w:t>climate zones</w:t>
      </w:r>
      <w:r w:rsidR="006801DB">
        <w:t>—</w:t>
      </w:r>
      <w:r w:rsidR="0000609E">
        <w:t>h</w:t>
      </w:r>
      <w:r w:rsidR="005E4CD8">
        <w:t xml:space="preserve">ot, </w:t>
      </w:r>
      <w:r w:rsidR="0000609E">
        <w:t>a</w:t>
      </w:r>
      <w:r w:rsidR="005E4CD8">
        <w:t xml:space="preserve">verage and </w:t>
      </w:r>
      <w:r w:rsidR="0000609E">
        <w:t>c</w:t>
      </w:r>
      <w:r w:rsidR="005E4CD8">
        <w:t>old</w:t>
      </w:r>
      <w:r>
        <w:t>.</w:t>
      </w:r>
      <w:r w:rsidR="001C1A83">
        <w:t xml:space="preserve"> </w:t>
      </w:r>
      <w:r w:rsidR="00CA0C24">
        <w:t>There are 69 National House Energy Rating Scheme (NatHERS) climate zones for Australia</w:t>
      </w:r>
      <w:r w:rsidR="00945A8F">
        <w:t>,</w:t>
      </w:r>
      <w:r w:rsidR="00CA0C24">
        <w:t xml:space="preserve"> and </w:t>
      </w:r>
      <w:r w:rsidR="004577B4">
        <w:t xml:space="preserve">6 climate zones </w:t>
      </w:r>
      <w:r w:rsidR="00945A8F">
        <w:t xml:space="preserve">used </w:t>
      </w:r>
      <w:r w:rsidR="00E91AC2">
        <w:t>in</w:t>
      </w:r>
      <w:r w:rsidR="00DC308C">
        <w:t xml:space="preserve"> </w:t>
      </w:r>
      <w:r w:rsidR="002E6EAD">
        <w:t xml:space="preserve">New Zealand </w:t>
      </w:r>
      <w:r w:rsidR="009648E4">
        <w:t xml:space="preserve">for the purposes of the </w:t>
      </w:r>
      <w:r w:rsidR="005B68B1">
        <w:t xml:space="preserve">New Zealand </w:t>
      </w:r>
      <w:r w:rsidR="005E60A2">
        <w:t>b</w:t>
      </w:r>
      <w:r w:rsidR="0046617F">
        <w:t xml:space="preserve">uilding </w:t>
      </w:r>
      <w:r w:rsidR="005E60A2">
        <w:t>c</w:t>
      </w:r>
      <w:r w:rsidR="0046617F">
        <w:t>ode</w:t>
      </w:r>
      <w:r w:rsidR="00CA0C24">
        <w:t xml:space="preserve">. </w:t>
      </w:r>
      <w:r w:rsidR="00157A66">
        <w:t>Th</w:t>
      </w:r>
      <w:r w:rsidR="006801DB">
        <w:t>e th</w:t>
      </w:r>
      <w:r w:rsidR="00157A66">
        <w:t xml:space="preserve">ree </w:t>
      </w:r>
      <w:r w:rsidR="005F6CAA">
        <w:t xml:space="preserve">particular </w:t>
      </w:r>
      <w:r>
        <w:t xml:space="preserve">climate zones </w:t>
      </w:r>
      <w:r w:rsidR="00C44CB5">
        <w:t xml:space="preserve">in Australia </w:t>
      </w:r>
      <w:r w:rsidR="001D5AEC">
        <w:t>used</w:t>
      </w:r>
      <w:r w:rsidR="00C269AD">
        <w:t xml:space="preserve"> </w:t>
      </w:r>
      <w:r w:rsidR="009E029C">
        <w:t>as the</w:t>
      </w:r>
      <w:r w:rsidR="006801DB">
        <w:t xml:space="preserve"> </w:t>
      </w:r>
      <w:r w:rsidR="009E029C">
        <w:t xml:space="preserve">reference climates </w:t>
      </w:r>
      <w:r>
        <w:t>represent</w:t>
      </w:r>
      <w:r w:rsidR="006801DB">
        <w:t>ing</w:t>
      </w:r>
      <w:r>
        <w:t xml:space="preserve"> the hot, average and cold climate</w:t>
      </w:r>
      <w:r w:rsidR="00187301">
        <w:t xml:space="preserve"> zones</w:t>
      </w:r>
      <w:r w:rsidR="00891793">
        <w:t xml:space="preserve"> </w:t>
      </w:r>
      <w:r w:rsidR="001D5AEC">
        <w:t>respectively are</w:t>
      </w:r>
      <w:r w:rsidR="00191FB4">
        <w:t xml:space="preserve"> </w:t>
      </w:r>
      <w:r w:rsidR="001F50D0">
        <w:t xml:space="preserve">Rockhampton, </w:t>
      </w:r>
      <w:r w:rsidR="00CA0C24">
        <w:t>Richmond</w:t>
      </w:r>
      <w:r w:rsidR="00900750">
        <w:t xml:space="preserve"> in </w:t>
      </w:r>
      <w:r w:rsidR="00AA4310">
        <w:t>North-w</w:t>
      </w:r>
      <w:r w:rsidR="00900750">
        <w:t>estern Sydney</w:t>
      </w:r>
      <w:r w:rsidR="00891793">
        <w:t>,</w:t>
      </w:r>
      <w:r w:rsidR="00CA0C24">
        <w:t xml:space="preserve"> </w:t>
      </w:r>
      <w:r w:rsidR="001F50D0">
        <w:t xml:space="preserve">and Canberra. </w:t>
      </w:r>
      <w:r w:rsidR="00FC6803">
        <w:t>The</w:t>
      </w:r>
      <w:r w:rsidR="009B75FC">
        <w:t xml:space="preserve"> </w:t>
      </w:r>
      <w:r w:rsidR="00464BA7">
        <w:t xml:space="preserve">information generated </w:t>
      </w:r>
      <w:r w:rsidR="002F5F2E">
        <w:t>for the three broad</w:t>
      </w:r>
      <w:r w:rsidR="009B75FC">
        <w:t xml:space="preserve"> climate</w:t>
      </w:r>
      <w:r w:rsidR="004F6CE7">
        <w:t xml:space="preserve"> </w:t>
      </w:r>
      <w:r w:rsidR="009B75FC">
        <w:lastRenderedPageBreak/>
        <w:t>zone</w:t>
      </w:r>
      <w:r w:rsidR="00D563D3">
        <w:t>s</w:t>
      </w:r>
      <w:r w:rsidR="002E2FCC">
        <w:t xml:space="preserve"> </w:t>
      </w:r>
      <w:r w:rsidR="008010F2">
        <w:t>may</w:t>
      </w:r>
      <w:r w:rsidR="008632A0">
        <w:t xml:space="preserve"> only be </w:t>
      </w:r>
      <w:r w:rsidR="00464BA7">
        <w:t xml:space="preserve">indicative </w:t>
      </w:r>
      <w:r w:rsidR="00977848">
        <w:t xml:space="preserve">for much of the population </w:t>
      </w:r>
      <w:r w:rsidR="002F5F2E">
        <w:t xml:space="preserve">living </w:t>
      </w:r>
      <w:r w:rsidR="008F1435">
        <w:t xml:space="preserve">in </w:t>
      </w:r>
      <w:r w:rsidR="007E700F">
        <w:t>th</w:t>
      </w:r>
      <w:r w:rsidR="00B1600B">
        <w:t xml:space="preserve">ose </w:t>
      </w:r>
      <w:r w:rsidR="008F1435">
        <w:t>zones</w:t>
      </w:r>
      <w:r w:rsidR="00AE2736">
        <w:t xml:space="preserve">. It would also be possible to </w:t>
      </w:r>
      <w:r w:rsidR="001C1A83">
        <w:t>use th</w:t>
      </w:r>
      <w:r w:rsidR="003C2181">
        <w:t>e</w:t>
      </w:r>
      <w:r w:rsidR="001C1A83">
        <w:t xml:space="preserve"> </w:t>
      </w:r>
      <w:r w:rsidR="005B2C0E">
        <w:t xml:space="preserve">calculation </w:t>
      </w:r>
      <w:r w:rsidR="001C1A83">
        <w:t xml:space="preserve">approach </w:t>
      </w:r>
      <w:r w:rsidR="003C2181">
        <w:t xml:space="preserve">described above </w:t>
      </w:r>
      <w:r w:rsidR="005B2C0E">
        <w:t xml:space="preserve">as the basis for </w:t>
      </w:r>
      <w:r w:rsidR="000900B6">
        <w:t>identify</w:t>
      </w:r>
      <w:r w:rsidR="005B2C0E">
        <w:t>ing</w:t>
      </w:r>
      <w:r w:rsidR="000900B6">
        <w:t xml:space="preserve"> the </w:t>
      </w:r>
      <w:r w:rsidR="00DB4171">
        <w:t>HSTL</w:t>
      </w:r>
      <w:r w:rsidR="000900B6">
        <w:t xml:space="preserve"> of </w:t>
      </w:r>
      <w:r w:rsidR="0065504A">
        <w:t>more specific climate zone</w:t>
      </w:r>
      <w:r w:rsidR="000B4A9C">
        <w:t>s</w:t>
      </w:r>
      <w:r w:rsidR="00A01C2A">
        <w:t xml:space="preserve">. </w:t>
      </w:r>
      <w:r w:rsidR="000718CB">
        <w:t>This</w:t>
      </w:r>
      <w:r w:rsidR="000604A5">
        <w:t xml:space="preserve"> could provide a basis for </w:t>
      </w:r>
      <w:r w:rsidR="000718CB">
        <w:t xml:space="preserve">providing consumers with </w:t>
      </w:r>
      <w:r w:rsidR="00014609">
        <w:t>energy performance inform</w:t>
      </w:r>
      <w:r w:rsidR="00133E61">
        <w:t>a</w:t>
      </w:r>
      <w:r w:rsidR="00014609">
        <w:t>tion</w:t>
      </w:r>
      <w:r w:rsidR="00845103">
        <w:t xml:space="preserve"> </w:t>
      </w:r>
      <w:r w:rsidR="00950EB0">
        <w:t xml:space="preserve">that </w:t>
      </w:r>
      <w:r w:rsidR="004E541F">
        <w:t xml:space="preserve">is more </w:t>
      </w:r>
      <w:r w:rsidR="00D606F1">
        <w:t>reflective of</w:t>
      </w:r>
      <w:r w:rsidR="004E541F">
        <w:t xml:space="preserve"> their </w:t>
      </w:r>
      <w:r w:rsidR="00645634">
        <w:t xml:space="preserve">geographical </w:t>
      </w:r>
      <w:r w:rsidR="003349AC">
        <w:t>location</w:t>
      </w:r>
      <w:r w:rsidR="005702F7">
        <w:t>.</w:t>
      </w:r>
    </w:p>
    <w:p w14:paraId="48530257" w14:textId="7A37B471" w:rsidR="00E31535" w:rsidRPr="00A94043" w:rsidRDefault="00E31535" w:rsidP="00E31535">
      <w:pPr>
        <w:pStyle w:val="Heading2"/>
      </w:pPr>
      <w:bookmarkStart w:id="47" w:name="_Toc175311920"/>
      <w:r w:rsidRPr="00A94043">
        <w:t>Make-up heat</w:t>
      </w:r>
      <w:bookmarkEnd w:id="47"/>
    </w:p>
    <w:p w14:paraId="4526711D" w14:textId="2DDE24A0" w:rsidR="005D5A55" w:rsidRPr="00A94043" w:rsidRDefault="005D5A55" w:rsidP="00E31535">
      <w:r w:rsidRPr="00A94043">
        <w:rPr>
          <w:rFonts w:asciiTheme="minorHAnsi" w:hAnsiTheme="minorHAnsi" w:cstheme="minorHAnsi"/>
          <w:szCs w:val="22"/>
        </w:rPr>
        <w:t xml:space="preserve">Make-up heat is </w:t>
      </w:r>
      <w:r w:rsidR="005F319C" w:rsidRPr="00A94043">
        <w:rPr>
          <w:rFonts w:asciiTheme="minorHAnsi" w:hAnsiTheme="minorHAnsi" w:cstheme="minorHAnsi"/>
          <w:szCs w:val="22"/>
        </w:rPr>
        <w:t xml:space="preserve">the additional energy consumption required to deliver </w:t>
      </w:r>
      <w:r w:rsidRPr="00A94043">
        <w:rPr>
          <w:rFonts w:asciiTheme="minorHAnsi" w:hAnsiTheme="minorHAnsi" w:cstheme="minorHAnsi"/>
          <w:szCs w:val="22"/>
        </w:rPr>
        <w:t>load (or heating) which exceeds the capacity of the product. For air conditioners, their capacity typically decreases with decreasing outdoor temperature, while the load increases. For air conditioners without low temperature extended capacity this can result in the air conditioner’s heating capacity being significantly lower than the load for temperatures below 1</w:t>
      </w:r>
      <w:r w:rsidRPr="00A94043">
        <w:rPr>
          <w:rFonts w:asciiTheme="minorHAnsi" w:hAnsiTheme="minorHAnsi" w:cstheme="minorBidi"/>
        </w:rPr>
        <w:t>°</w:t>
      </w:r>
      <w:r w:rsidRPr="00A94043">
        <w:t xml:space="preserve">C. The ACCM assumes that this additional make-up heat would be supplied by an electric resistance heater, and thereby </w:t>
      </w:r>
      <w:r w:rsidR="008F537A">
        <w:t>imparts</w:t>
      </w:r>
      <w:r w:rsidR="00964E9D">
        <w:t xml:space="preserve"> a performance </w:t>
      </w:r>
      <w:r w:rsidRPr="00A94043">
        <w:t>penal</w:t>
      </w:r>
      <w:r w:rsidR="00964E9D">
        <w:t>ty</w:t>
      </w:r>
      <w:r w:rsidR="00C900BA">
        <w:t xml:space="preserve"> </w:t>
      </w:r>
      <w:r w:rsidR="008F537A">
        <w:t>on</w:t>
      </w:r>
      <w:r w:rsidRPr="00A94043">
        <w:t xml:space="preserve"> any air conditioner</w:t>
      </w:r>
      <w:r w:rsidR="00C900BA">
        <w:t xml:space="preserve"> lacking</w:t>
      </w:r>
      <w:r w:rsidRPr="00A94043">
        <w:t xml:space="preserve"> sufficient capacity at low temperatures.</w:t>
      </w:r>
    </w:p>
    <w:p w14:paraId="7409C9F8" w14:textId="1DBEDF97" w:rsidR="002E72C1" w:rsidRPr="00A94043" w:rsidRDefault="005D5A55" w:rsidP="00E31535">
      <w:r w:rsidRPr="00A94043">
        <w:t xml:space="preserve">For </w:t>
      </w:r>
      <w:r w:rsidR="00765AFD">
        <w:t>weather independent</w:t>
      </w:r>
      <w:r w:rsidRPr="00A94043">
        <w:t xml:space="preserve"> heaters, such as gas, electric</w:t>
      </w:r>
      <w:r w:rsidR="004F1D54">
        <w:t xml:space="preserve"> </w:t>
      </w:r>
      <w:r w:rsidRPr="00A94043">
        <w:t>resistance and solid</w:t>
      </w:r>
      <w:r w:rsidR="000C6ABB">
        <w:t xml:space="preserve"> </w:t>
      </w:r>
      <w:r w:rsidRPr="00A94043">
        <w:t>fuel heaters, the proposed capacity and load definitions would result in a tiny amount of make-up heat being required for temperature below -3</w:t>
      </w:r>
      <w:r w:rsidRPr="00A94043">
        <w:rPr>
          <w:rFonts w:asciiTheme="minorHAnsi" w:hAnsiTheme="minorHAnsi" w:cstheme="minorBidi"/>
        </w:rPr>
        <w:t>°</w:t>
      </w:r>
      <w:r w:rsidRPr="00A94043">
        <w:t>C</w:t>
      </w:r>
      <w:r w:rsidR="00B63F16">
        <w:t>.</w:t>
      </w:r>
      <w:r w:rsidRPr="00A94043">
        <w:t xml:space="preserve"> </w:t>
      </w:r>
      <w:r w:rsidR="007A5A6A">
        <w:t>H</w:t>
      </w:r>
      <w:r w:rsidRPr="00A94043">
        <w:t>owever</w:t>
      </w:r>
      <w:r w:rsidR="007A5A6A">
        <w:t xml:space="preserve">, based on TWG consultations and </w:t>
      </w:r>
      <w:r w:rsidRPr="00A94043">
        <w:t>for simplicity</w:t>
      </w:r>
      <w:r w:rsidR="00AC1C13">
        <w:t>,</w:t>
      </w:r>
      <w:r w:rsidRPr="00A94043">
        <w:t xml:space="preserve"> </w:t>
      </w:r>
      <w:r w:rsidR="007A5A6A">
        <w:t xml:space="preserve">it is proposed that </w:t>
      </w:r>
      <w:r w:rsidRPr="00A94043">
        <w:t xml:space="preserve">this make-up heat will not be included in the space heater </w:t>
      </w:r>
      <w:r w:rsidR="00F325D4" w:rsidRPr="00A94043">
        <w:t>comparison</w:t>
      </w:r>
      <w:r w:rsidRPr="00A94043">
        <w:t xml:space="preserve"> methodology for these products.</w:t>
      </w:r>
      <w:r w:rsidR="00DA3BBF" w:rsidRPr="00A94043">
        <w:t xml:space="preserve"> This effectively reduces the heating seasonal total load for these products by 0.01% in the Average Zone and 0.2% in the Cold Zone, as summarised in </w:t>
      </w:r>
      <w:r w:rsidR="00DA3BBF" w:rsidRPr="00A94043">
        <w:fldChar w:fldCharType="begin"/>
      </w:r>
      <w:r w:rsidR="00DA3BBF" w:rsidRPr="00A94043">
        <w:instrText xml:space="preserve"> REF _Ref158724884 \h </w:instrText>
      </w:r>
      <w:r w:rsidR="00DA3BBF" w:rsidRPr="00A94043">
        <w:fldChar w:fldCharType="separate"/>
      </w:r>
      <w:r w:rsidR="007068DD" w:rsidRPr="00A94043">
        <w:t xml:space="preserve">Table </w:t>
      </w:r>
      <w:r w:rsidR="007068DD">
        <w:rPr>
          <w:noProof/>
        </w:rPr>
        <w:t>1</w:t>
      </w:r>
      <w:r w:rsidR="00DA3BBF" w:rsidRPr="00A94043">
        <w:fldChar w:fldCharType="end"/>
      </w:r>
      <w:r w:rsidR="00DA3BBF" w:rsidRPr="00A94043">
        <w:t>.</w:t>
      </w:r>
    </w:p>
    <w:p w14:paraId="34A830AA" w14:textId="77777777" w:rsidR="00E31535" w:rsidRPr="00A94043" w:rsidRDefault="00E31535" w:rsidP="00E31535">
      <w:pPr>
        <w:pStyle w:val="Heading2"/>
      </w:pPr>
      <w:bookmarkStart w:id="48" w:name="_Toc99633212"/>
      <w:bookmarkStart w:id="49" w:name="_Toc146638688"/>
      <w:bookmarkStart w:id="50" w:name="_Toc175311921"/>
      <w:bookmarkStart w:id="51" w:name="_Hlk97117225"/>
      <w:r w:rsidRPr="00A94043">
        <w:t>Heating Seasonal Energy Consumption</w:t>
      </w:r>
      <w:bookmarkEnd w:id="48"/>
      <w:bookmarkEnd w:id="49"/>
      <w:bookmarkEnd w:id="50"/>
    </w:p>
    <w:bookmarkEnd w:id="51"/>
    <w:p w14:paraId="0EC27153" w14:textId="6C000B50" w:rsidR="005F319C" w:rsidRPr="00A94043" w:rsidRDefault="005F319C" w:rsidP="00E31535">
      <w:pPr>
        <w:rPr>
          <w:rFonts w:cstheme="minorHAnsi"/>
        </w:rPr>
      </w:pPr>
      <w:r w:rsidRPr="00A94043">
        <w:rPr>
          <w:rFonts w:cstheme="minorHAnsi"/>
        </w:rPr>
        <w:t>The energy consumed during heating, o</w:t>
      </w:r>
      <w:r w:rsidR="003C1779" w:rsidRPr="00A94043">
        <w:rPr>
          <w:rFonts w:cstheme="minorHAnsi"/>
        </w:rPr>
        <w:t>r</w:t>
      </w:r>
      <w:r w:rsidRPr="00A94043">
        <w:rPr>
          <w:rFonts w:cstheme="minorHAnsi"/>
        </w:rPr>
        <w:t xml:space="preserve"> Heating Seasonal Energy Consumption (HSEC) depends on how a product adjusts its operation to match the load being demanded. AS/NZS 3823.4.2 defines HSEC for air conditioners based on whether the product is:</w:t>
      </w:r>
    </w:p>
    <w:p w14:paraId="1A19247C" w14:textId="14AE5DF7" w:rsidR="005F319C" w:rsidRPr="007211DE" w:rsidRDefault="001F21BC" w:rsidP="00D90977">
      <w:pPr>
        <w:pStyle w:val="ListParagraph"/>
        <w:numPr>
          <w:ilvl w:val="0"/>
          <w:numId w:val="6"/>
        </w:numPr>
        <w:rPr>
          <w:rFonts w:cstheme="minorHAnsi"/>
        </w:rPr>
      </w:pPr>
      <w:r>
        <w:rPr>
          <w:rFonts w:cstheme="minorHAnsi"/>
        </w:rPr>
        <w:t>f</w:t>
      </w:r>
      <w:r w:rsidR="00E72438" w:rsidRPr="007211DE">
        <w:rPr>
          <w:rFonts w:cstheme="minorHAnsi"/>
        </w:rPr>
        <w:t>ixed</w:t>
      </w:r>
      <w:r w:rsidR="00D14A4F">
        <w:rPr>
          <w:rFonts w:cstheme="minorHAnsi"/>
        </w:rPr>
        <w:t>-</w:t>
      </w:r>
      <w:r w:rsidR="005F319C" w:rsidRPr="007211DE">
        <w:rPr>
          <w:rFonts w:cstheme="minorHAnsi"/>
        </w:rPr>
        <w:t xml:space="preserve">capacity: </w:t>
      </w:r>
      <w:r w:rsidR="00E72438">
        <w:rPr>
          <w:rFonts w:cstheme="minorHAnsi"/>
        </w:rPr>
        <w:t>o</w:t>
      </w:r>
      <w:r w:rsidR="00E72438" w:rsidRPr="007211DE">
        <w:rPr>
          <w:rFonts w:cstheme="minorHAnsi"/>
        </w:rPr>
        <w:t>n</w:t>
      </w:r>
      <w:r w:rsidR="005F319C" w:rsidRPr="007211DE">
        <w:rPr>
          <w:rFonts w:cstheme="minorHAnsi"/>
        </w:rPr>
        <w:t xml:space="preserve">/off operation, and therefore </w:t>
      </w:r>
      <w:r w:rsidR="00E335EA" w:rsidRPr="007211DE">
        <w:rPr>
          <w:rFonts w:cstheme="minorHAnsi"/>
        </w:rPr>
        <w:t xml:space="preserve">with </w:t>
      </w:r>
      <w:r w:rsidR="005F319C" w:rsidRPr="007211DE">
        <w:rPr>
          <w:rFonts w:cstheme="minorHAnsi"/>
        </w:rPr>
        <w:t>measurement of performance at full capacity only</w:t>
      </w:r>
    </w:p>
    <w:p w14:paraId="675E2532" w14:textId="4B7B7A3D" w:rsidR="005F319C" w:rsidRPr="007211DE" w:rsidRDefault="00E72438" w:rsidP="00D90977">
      <w:pPr>
        <w:pStyle w:val="ListParagraph"/>
        <w:numPr>
          <w:ilvl w:val="0"/>
          <w:numId w:val="6"/>
        </w:numPr>
        <w:rPr>
          <w:rFonts w:cstheme="minorHAnsi"/>
        </w:rPr>
      </w:pPr>
      <w:r>
        <w:rPr>
          <w:rFonts w:cstheme="minorHAnsi"/>
        </w:rPr>
        <w:t>v</w:t>
      </w:r>
      <w:r w:rsidRPr="007211DE">
        <w:rPr>
          <w:rFonts w:cstheme="minorHAnsi"/>
        </w:rPr>
        <w:t xml:space="preserve">ariable </w:t>
      </w:r>
      <w:r w:rsidR="005F319C" w:rsidRPr="007211DE">
        <w:rPr>
          <w:rFonts w:cstheme="minorHAnsi"/>
        </w:rPr>
        <w:t xml:space="preserve">capacity: </w:t>
      </w:r>
      <w:r>
        <w:rPr>
          <w:rFonts w:cstheme="minorHAnsi"/>
        </w:rPr>
        <w:t>t</w:t>
      </w:r>
      <w:r w:rsidRPr="007211DE">
        <w:rPr>
          <w:rFonts w:cstheme="minorHAnsi"/>
        </w:rPr>
        <w:t>wo</w:t>
      </w:r>
      <w:r w:rsidR="005F319C" w:rsidRPr="007211DE">
        <w:rPr>
          <w:rFonts w:cstheme="minorHAnsi"/>
        </w:rPr>
        <w:t>-stage, multi-stage or continuously variable capacity, with measurement at full capacity, minimum capacity and optionally half capacity.</w:t>
      </w:r>
    </w:p>
    <w:p w14:paraId="778FC7E9" w14:textId="70C72302" w:rsidR="00E31535" w:rsidRPr="00A94043" w:rsidRDefault="00E31535" w:rsidP="00E31535">
      <w:pPr>
        <w:rPr>
          <w:rFonts w:cstheme="minorHAnsi"/>
        </w:rPr>
      </w:pPr>
      <w:r w:rsidRPr="00A94043">
        <w:rPr>
          <w:rFonts w:cstheme="minorHAnsi"/>
        </w:rPr>
        <w:t>For fixed</w:t>
      </w:r>
      <w:r w:rsidR="00D14A4F">
        <w:rPr>
          <w:rFonts w:cstheme="minorHAnsi"/>
        </w:rPr>
        <w:t>-</w:t>
      </w:r>
      <w:r w:rsidRPr="00A94043">
        <w:rPr>
          <w:rFonts w:cstheme="minorHAnsi"/>
        </w:rPr>
        <w:t>capacity units, the Heating Seasonal Energy Consumption (HSEC) is the energy consumed by both the product and the make-up heater while in active mode, and defined as the sum of:</w:t>
      </w:r>
    </w:p>
    <w:p w14:paraId="61F53EFD" w14:textId="77777777" w:rsidR="00E31535" w:rsidRPr="00A94043" w:rsidRDefault="00E31535" w:rsidP="00D90977">
      <w:pPr>
        <w:pStyle w:val="ListParagraph"/>
        <w:numPr>
          <w:ilvl w:val="0"/>
          <w:numId w:val="12"/>
        </w:numPr>
        <w:rPr>
          <w:rFonts w:cstheme="minorHAnsi"/>
        </w:rPr>
      </w:pPr>
      <w:r w:rsidRPr="00A94043">
        <w:rPr>
          <w:rFonts w:cstheme="minorHAnsi"/>
        </w:rPr>
        <w:t xml:space="preserve">the product of the full load power at each outdoor temperature, adjusted by the ratio of load to capacity (limited to a maximum of 1) and a part load factor (PLF) to account for cycling of the product when operating at partial load, and the reference bin hours; and </w:t>
      </w:r>
    </w:p>
    <w:p w14:paraId="187E47CE" w14:textId="77777777" w:rsidR="00E31535" w:rsidRPr="00A94043" w:rsidRDefault="00E31535" w:rsidP="00D90977">
      <w:pPr>
        <w:pStyle w:val="ListParagraph"/>
        <w:numPr>
          <w:ilvl w:val="0"/>
          <w:numId w:val="12"/>
        </w:numPr>
        <w:rPr>
          <w:rFonts w:cstheme="minorHAnsi"/>
        </w:rPr>
      </w:pPr>
      <w:r w:rsidRPr="00A94043">
        <w:rPr>
          <w:rFonts w:cstheme="minorHAnsi"/>
        </w:rPr>
        <w:t xml:space="preserve">the product of the make-up heat and the reference bin hours. </w:t>
      </w:r>
    </w:p>
    <w:p w14:paraId="3F955FC9" w14:textId="77777777" w:rsidR="00E31535" w:rsidRPr="00A94043" w:rsidRDefault="6252BF9E" w:rsidP="7A07A9F3">
      <w:pPr>
        <w:rPr>
          <w:rFonts w:cstheme="minorBidi"/>
        </w:rPr>
      </w:pPr>
      <w:r w:rsidRPr="00A94043">
        <w:rPr>
          <w:rFonts w:cstheme="minorBidi"/>
        </w:rPr>
        <w:t xml:space="preserve">This is expressed in the equation below: </w:t>
      </w:r>
    </w:p>
    <w:p w14:paraId="6DC28713" w14:textId="06A88EC3" w:rsidR="00E31535" w:rsidRPr="00A94043" w:rsidRDefault="00E31535" w:rsidP="001B02B1">
      <w:pPr>
        <w:ind w:left="1440" w:firstLine="720"/>
        <w:rPr>
          <w:rFonts w:ascii="Cambria Math" w:hAnsi="Cambria Math" w:cstheme="minorHAnsi"/>
          <w:i/>
          <w:iCs/>
        </w:rPr>
      </w:pPr>
      <m:oMathPara>
        <m:oMathParaPr>
          <m:jc m:val="center"/>
        </m:oMathParaPr>
        <m:oMath>
          <m:r>
            <w:rPr>
              <w:rFonts w:ascii="Cambria Math" w:hAnsi="Cambria Math" w:cstheme="minorHAnsi"/>
            </w:rPr>
            <m:t>HSEC</m:t>
          </m:r>
          <m:r>
            <m:rPr>
              <m:sty m:val="p"/>
            </m:rPr>
            <w:rPr>
              <w:rFonts w:ascii="Cambria Math" w:hAnsi="Cambria Math" w:cstheme="minorHAnsi"/>
            </w:rPr>
            <m:t>=</m:t>
          </m:r>
          <m:nary>
            <m:naryPr>
              <m:chr m:val="∑"/>
              <m:limLoc m:val="undOvr"/>
              <m:supHide m:val="1"/>
              <m:ctrlPr>
                <w:rPr>
                  <w:rFonts w:ascii="Cambria Math" w:hAnsi="Cambria Math" w:cstheme="minorHAnsi"/>
                </w:rPr>
              </m:ctrlPr>
            </m:naryPr>
            <m:sub>
              <m:r>
                <w:rPr>
                  <w:rFonts w:ascii="Cambria Math" w:hAnsi="Cambria Math" w:cstheme="minorHAnsi"/>
                </w:rPr>
                <m:t>T</m:t>
              </m:r>
              <m:r>
                <m:rPr>
                  <m:sty m:val="p"/>
                </m:rPr>
                <w:rPr>
                  <w:rFonts w:ascii="Cambria Math" w:hAnsi="Cambria Math" w:cstheme="minorHAnsi"/>
                </w:rPr>
                <m:t xml:space="preserve"> </m:t>
              </m:r>
              <m:r>
                <w:rPr>
                  <w:rFonts w:ascii="Cambria Math" w:hAnsi="Cambria Math" w:cstheme="minorHAnsi"/>
                </w:rPr>
                <m:t>where</m:t>
              </m:r>
              <m:r>
                <m:rPr>
                  <m:sty m:val="p"/>
                </m:rPr>
                <w:rPr>
                  <w:rFonts w:ascii="Cambria Math" w:hAnsi="Cambria Math" w:cstheme="minorHAnsi"/>
                </w:rPr>
                <m:t xml:space="preserve"> </m:t>
              </m:r>
              <m:r>
                <w:rPr>
                  <w:rFonts w:ascii="Cambria Math" w:hAnsi="Cambria Math" w:cstheme="minorHAnsi"/>
                </w:rPr>
                <m:t>Load</m:t>
              </m:r>
              <m:r>
                <m:rPr>
                  <m:sty m:val="p"/>
                </m:rPr>
                <w:rPr>
                  <w:rFonts w:ascii="Cambria Math" w:hAnsi="Cambria Math" w:cstheme="minorHAnsi"/>
                </w:rPr>
                <m:t>≤</m:t>
              </m:r>
              <m:r>
                <w:rPr>
                  <w:rFonts w:ascii="Cambria Math" w:hAnsi="Cambria Math" w:cstheme="minorHAnsi"/>
                </w:rPr>
                <m:t>Full</m:t>
              </m:r>
              <m:r>
                <m:rPr>
                  <m:sty m:val="p"/>
                </m:rPr>
                <w:rPr>
                  <w:rFonts w:ascii="Cambria Math" w:hAnsi="Cambria Math" w:cstheme="minorHAnsi"/>
                </w:rPr>
                <m:t xml:space="preserve"> </m:t>
              </m:r>
              <m:r>
                <w:rPr>
                  <w:rFonts w:ascii="Cambria Math" w:hAnsi="Cambria Math" w:cstheme="minorHAnsi"/>
                </w:rPr>
                <m:t>Capacity</m:t>
              </m:r>
            </m:sub>
            <m:sup/>
            <m:e>
              <m:f>
                <m:fPr>
                  <m:ctrlPr>
                    <w:rPr>
                      <w:rFonts w:ascii="Cambria Math" w:hAnsi="Cambria Math" w:cstheme="minorHAnsi"/>
                    </w:rPr>
                  </m:ctrlPr>
                </m:fPr>
                <m:num>
                  <m:r>
                    <w:rPr>
                      <w:rFonts w:ascii="Cambria Math" w:hAnsi="Cambria Math" w:cstheme="minorHAnsi"/>
                    </w:rPr>
                    <m:t>Full</m:t>
                  </m:r>
                  <m:r>
                    <m:rPr>
                      <m:sty m:val="p"/>
                    </m:rPr>
                    <w:rPr>
                      <w:rFonts w:ascii="Cambria Math" w:hAnsi="Cambria Math" w:cstheme="minorHAnsi"/>
                    </w:rPr>
                    <m:t xml:space="preserve"> </m:t>
                  </m:r>
                  <m:r>
                    <w:rPr>
                      <w:rFonts w:ascii="Cambria Math" w:hAnsi="Cambria Math" w:cstheme="minorHAnsi"/>
                    </w:rPr>
                    <m:t>Power</m:t>
                  </m:r>
                  <m:r>
                    <m:rPr>
                      <m:sty m:val="p"/>
                    </m:rPr>
                    <w:rPr>
                      <w:rFonts w:ascii="Cambria Math" w:hAnsi="Cambria Math" w:cstheme="minorHAnsi"/>
                    </w:rPr>
                    <m:t>×</m:t>
                  </m:r>
                  <m:f>
                    <m:fPr>
                      <m:ctrlPr>
                        <w:rPr>
                          <w:rFonts w:ascii="Cambria Math" w:hAnsi="Cambria Math" w:cstheme="minorHAnsi"/>
                        </w:rPr>
                      </m:ctrlPr>
                    </m:fPr>
                    <m:num>
                      <m:r>
                        <w:rPr>
                          <w:rFonts w:ascii="Cambria Math" w:hAnsi="Cambria Math" w:cstheme="minorHAnsi"/>
                        </w:rPr>
                        <m:t>Load</m:t>
                      </m:r>
                    </m:num>
                    <m:den>
                      <m:r>
                        <w:rPr>
                          <w:rFonts w:ascii="Cambria Math" w:hAnsi="Cambria Math" w:cstheme="minorHAnsi"/>
                        </w:rPr>
                        <m:t>Full</m:t>
                      </m:r>
                      <m:r>
                        <m:rPr>
                          <m:sty m:val="p"/>
                        </m:rPr>
                        <w:rPr>
                          <w:rFonts w:ascii="Cambria Math" w:hAnsi="Cambria Math" w:cstheme="minorHAnsi"/>
                        </w:rPr>
                        <m:t xml:space="preserve"> </m:t>
                      </m:r>
                      <m:r>
                        <w:rPr>
                          <w:rFonts w:ascii="Cambria Math" w:hAnsi="Cambria Math" w:cstheme="minorHAnsi"/>
                        </w:rPr>
                        <m:t>Capacity</m:t>
                      </m:r>
                    </m:den>
                  </m:f>
                  <m:r>
                    <m:rPr>
                      <m:sty m:val="p"/>
                    </m:rPr>
                    <w:rPr>
                      <w:rFonts w:ascii="Cambria Math" w:hAnsi="Cambria Math" w:cstheme="minorHAnsi"/>
                    </w:rPr>
                    <m:t>×</m:t>
                  </m:r>
                  <m:r>
                    <w:rPr>
                      <w:rFonts w:ascii="Cambria Math" w:hAnsi="Cambria Math" w:cstheme="minorHAnsi"/>
                    </w:rPr>
                    <m:t>Hours</m:t>
                  </m:r>
                </m:num>
                <m:den>
                  <m:r>
                    <w:rPr>
                      <w:rFonts w:ascii="Cambria Math" w:hAnsi="Cambria Math" w:cstheme="minorHAnsi"/>
                    </w:rPr>
                    <m:t>PLF</m:t>
                  </m:r>
                </m:den>
              </m:f>
            </m:e>
          </m:nary>
          <m:r>
            <w:rPr>
              <w:rFonts w:ascii="Cambria Math" w:hAnsi="Cambria Math" w:cstheme="minorHAnsi"/>
            </w:rPr>
            <m:t>+</m:t>
          </m:r>
          <m:nary>
            <m:naryPr>
              <m:chr m:val="∑"/>
              <m:limLoc m:val="undOvr"/>
              <m:supHide m:val="1"/>
              <m:ctrlPr>
                <w:rPr>
                  <w:rFonts w:ascii="Cambria Math" w:hAnsi="Cambria Math" w:cstheme="minorHAnsi"/>
                  <w:i/>
                  <w:iCs/>
                </w:rPr>
              </m:ctrlPr>
            </m:naryPr>
            <m:sub>
              <m:r>
                <w:rPr>
                  <w:rFonts w:ascii="Cambria Math" w:hAnsi="Cambria Math" w:cstheme="minorHAnsi"/>
                </w:rPr>
                <m:t>T where Load&gt;Full Capacity</m:t>
              </m:r>
            </m:sub>
            <m:sup/>
            <m:e>
              <m:d>
                <m:dPr>
                  <m:begChr m:val="["/>
                  <m:endChr m:val="]"/>
                  <m:ctrlPr>
                    <w:rPr>
                      <w:rFonts w:ascii="Cambria Math" w:hAnsi="Cambria Math" w:cstheme="minorHAnsi"/>
                      <w:i/>
                      <w:iCs/>
                    </w:rPr>
                  </m:ctrlPr>
                </m:dPr>
                <m:e>
                  <m:r>
                    <w:rPr>
                      <w:rFonts w:ascii="Cambria Math" w:hAnsi="Cambria Math" w:cstheme="minorHAnsi"/>
                    </w:rPr>
                    <m:t>Full Power+Make-up Heat</m:t>
                  </m:r>
                </m:e>
              </m:d>
              <m:r>
                <w:rPr>
                  <w:rFonts w:ascii="Cambria Math" w:hAnsi="Cambria Math" w:cstheme="minorHAnsi"/>
                </w:rPr>
                <m:t>×Hours</m:t>
              </m:r>
            </m:e>
          </m:nary>
        </m:oMath>
      </m:oMathPara>
    </w:p>
    <w:p w14:paraId="5AC4E4DA" w14:textId="22970641" w:rsidR="00E31535" w:rsidRPr="00A94043" w:rsidRDefault="00E31535" w:rsidP="00E31535">
      <w:pPr>
        <w:rPr>
          <w:rFonts w:cstheme="minorHAnsi"/>
        </w:rPr>
      </w:pPr>
      <w:r w:rsidRPr="00A94043">
        <w:rPr>
          <w:rFonts w:cstheme="minorHAnsi"/>
        </w:rPr>
        <w:lastRenderedPageBreak/>
        <w:t>The Make-up Heat, is defined for air</w:t>
      </w:r>
      <w:r w:rsidR="003C1779" w:rsidRPr="00A94043">
        <w:rPr>
          <w:rFonts w:cstheme="minorHAnsi"/>
        </w:rPr>
        <w:t xml:space="preserve"> </w:t>
      </w:r>
      <w:r w:rsidRPr="00A94043">
        <w:rPr>
          <w:rFonts w:cstheme="minorHAnsi"/>
        </w:rPr>
        <w:t>conditioners by the load minus the capacity (limited to a minimum of 0), at each outdoor temperature, based on the assumption that consumers will turn on an additional electric</w:t>
      </w:r>
      <w:r w:rsidR="004F1D54">
        <w:rPr>
          <w:rFonts w:cstheme="minorHAnsi"/>
        </w:rPr>
        <w:t xml:space="preserve"> </w:t>
      </w:r>
      <w:r w:rsidRPr="00A94043">
        <w:rPr>
          <w:rFonts w:cstheme="minorHAnsi"/>
        </w:rPr>
        <w:t xml:space="preserve">resistance heater if they require additional heating. </w:t>
      </w:r>
      <w:r w:rsidR="00563D3F">
        <w:rPr>
          <w:rFonts w:cstheme="minorHAnsi"/>
        </w:rPr>
        <w:t>Based on consultations with the TWG</w:t>
      </w:r>
      <w:r w:rsidR="00CC4E0F">
        <w:rPr>
          <w:rFonts w:cstheme="minorHAnsi"/>
        </w:rPr>
        <w:t xml:space="preserve">, it is proposed that </w:t>
      </w:r>
      <w:r w:rsidRPr="00A94043">
        <w:rPr>
          <w:rFonts w:cstheme="minorHAnsi"/>
        </w:rPr>
        <w:t xml:space="preserve">for </w:t>
      </w:r>
      <w:r w:rsidR="00765AFD">
        <w:rPr>
          <w:rFonts w:cstheme="minorHAnsi"/>
        </w:rPr>
        <w:t>weather independent</w:t>
      </w:r>
      <w:r w:rsidRPr="00A94043">
        <w:rPr>
          <w:rFonts w:cstheme="minorHAnsi"/>
        </w:rPr>
        <w:t xml:space="preserve"> heaters (where the capacity does not vary significantly with outdoor temperature), such as gas</w:t>
      </w:r>
      <w:r w:rsidR="003C1779" w:rsidRPr="00A94043">
        <w:t>, electric</w:t>
      </w:r>
      <w:r w:rsidR="004F1D54">
        <w:t xml:space="preserve"> </w:t>
      </w:r>
      <w:r w:rsidR="003C1779" w:rsidRPr="00A94043">
        <w:t>resistance and solid</w:t>
      </w:r>
      <w:r w:rsidR="000C6ABB">
        <w:t xml:space="preserve"> </w:t>
      </w:r>
      <w:r w:rsidR="003C1779" w:rsidRPr="00A94043">
        <w:t>fuel</w:t>
      </w:r>
      <w:r w:rsidRPr="00A94043">
        <w:rPr>
          <w:rFonts w:cstheme="minorHAnsi"/>
        </w:rPr>
        <w:t xml:space="preserve"> heaters, the make-up heat will be</w:t>
      </w:r>
      <w:r w:rsidRPr="00A94043">
        <w:t xml:space="preserve"> </w:t>
      </w:r>
      <w:r w:rsidRPr="00A94043">
        <w:rPr>
          <w:rFonts w:cstheme="minorHAnsi"/>
        </w:rPr>
        <w:t>set to zero.</w:t>
      </w:r>
    </w:p>
    <w:p w14:paraId="4E8C7043" w14:textId="4E4F5375" w:rsidR="00E31535" w:rsidRPr="00A94043" w:rsidRDefault="00E31535" w:rsidP="00E31535">
      <w:pPr>
        <w:rPr>
          <w:rFonts w:cstheme="minorHAnsi"/>
        </w:rPr>
      </w:pPr>
      <w:r w:rsidRPr="00A94043">
        <w:rPr>
          <w:rFonts w:cstheme="minorHAnsi"/>
        </w:rPr>
        <w:t xml:space="preserve">The Part Load Factor (PLF) for air-conditioners is FPL(tj) = 1 – CD(1 – X(tj)), where the degradation coefficient, CD, is determined in accordance with Annex C of the Standard, and has a default value of 0.25, and the operation factor X(tj) is the ratio of load to capacity, limited to a maximum of 1. The PLF represents the loss of efficiency in air-conditioners due to the process of cycling on and off to meet the desired thermostat temperature. For </w:t>
      </w:r>
      <w:r w:rsidR="005F319C" w:rsidRPr="00A94043">
        <w:rPr>
          <w:rFonts w:cstheme="minorHAnsi"/>
        </w:rPr>
        <w:t>other space heater types</w:t>
      </w:r>
      <w:r w:rsidR="0097684A">
        <w:rPr>
          <w:rFonts w:cstheme="minorHAnsi"/>
        </w:rPr>
        <w:t>,</w:t>
      </w:r>
      <w:r w:rsidR="005F319C" w:rsidRPr="00A94043">
        <w:rPr>
          <w:rFonts w:cstheme="minorHAnsi"/>
        </w:rPr>
        <w:t xml:space="preserve"> </w:t>
      </w:r>
      <w:r w:rsidRPr="00A94043">
        <w:rPr>
          <w:rFonts w:cstheme="minorHAnsi"/>
        </w:rPr>
        <w:t xml:space="preserve">it is expected that </w:t>
      </w:r>
      <w:r w:rsidR="005F319C" w:rsidRPr="00A94043">
        <w:rPr>
          <w:rFonts w:cstheme="minorHAnsi"/>
        </w:rPr>
        <w:t>either cycling does not have</w:t>
      </w:r>
      <w:r w:rsidRPr="00A94043">
        <w:rPr>
          <w:rFonts w:cstheme="minorHAnsi"/>
        </w:rPr>
        <w:t xml:space="preserve"> a significant impact on their performance, </w:t>
      </w:r>
      <w:r w:rsidR="005F319C" w:rsidRPr="00A94043">
        <w:rPr>
          <w:rFonts w:cstheme="minorHAnsi"/>
        </w:rPr>
        <w:t xml:space="preserve">or it is already included within their </w:t>
      </w:r>
      <w:r w:rsidRPr="00A94043">
        <w:rPr>
          <w:rFonts w:cstheme="minorHAnsi"/>
        </w:rPr>
        <w:t>respective test standard</w:t>
      </w:r>
      <w:r w:rsidR="005F319C" w:rsidRPr="00A94043">
        <w:rPr>
          <w:rFonts w:cstheme="minorHAnsi"/>
        </w:rPr>
        <w:t xml:space="preserve"> performance values.</w:t>
      </w:r>
    </w:p>
    <w:p w14:paraId="7DF1A911" w14:textId="073FB985" w:rsidR="00455D04" w:rsidRPr="00A94043" w:rsidRDefault="00E31535" w:rsidP="00A94043">
      <w:pPr>
        <w:rPr>
          <w:rFonts w:cstheme="minorHAnsi"/>
        </w:rPr>
      </w:pPr>
      <w:r w:rsidRPr="00A94043">
        <w:rPr>
          <w:rFonts w:cstheme="minorHAnsi"/>
        </w:rPr>
        <w:t xml:space="preserve">For variable capacity units the calculations are more complicated, including additional </w:t>
      </w:r>
      <w:r w:rsidR="005F319C" w:rsidRPr="00A94043">
        <w:rPr>
          <w:rFonts w:cstheme="minorHAnsi"/>
        </w:rPr>
        <w:t>minimum, half</w:t>
      </w:r>
      <w:r w:rsidRPr="00A94043">
        <w:rPr>
          <w:rFonts w:cstheme="minorHAnsi"/>
        </w:rPr>
        <w:t xml:space="preserve"> and extended load capacity and power measurements and equations, but following a similar methodology.</w:t>
      </w:r>
      <w:r w:rsidR="00B237BF" w:rsidRPr="00A94043">
        <w:rPr>
          <w:rFonts w:cstheme="minorHAnsi"/>
        </w:rPr>
        <w:t xml:space="preserve"> The equations for all of the HSEC Calculation Methods (1-5) are included in</w:t>
      </w:r>
      <w:r w:rsidR="00BE666F">
        <w:rPr>
          <w:rFonts w:cstheme="minorHAnsi"/>
        </w:rPr>
        <w:t xml:space="preserve"> </w:t>
      </w:r>
      <w:r w:rsidR="00BE666F">
        <w:rPr>
          <w:rFonts w:cstheme="minorHAnsi"/>
        </w:rPr>
        <w:fldChar w:fldCharType="begin"/>
      </w:r>
      <w:r w:rsidR="00BE666F">
        <w:rPr>
          <w:rFonts w:cstheme="minorHAnsi"/>
        </w:rPr>
        <w:instrText xml:space="preserve"> REF _Ref159253441 \h </w:instrText>
      </w:r>
      <w:r w:rsidR="00BE666F">
        <w:rPr>
          <w:rFonts w:cstheme="minorHAnsi"/>
        </w:rPr>
      </w:r>
      <w:r w:rsidR="00BE666F">
        <w:rPr>
          <w:rFonts w:cstheme="minorHAnsi"/>
        </w:rPr>
        <w:fldChar w:fldCharType="separate"/>
      </w:r>
      <w:r w:rsidR="007068DD" w:rsidRPr="004F5C1E">
        <w:t>Appendix 3:  HSEC Calculation Equations</w:t>
      </w:r>
      <w:r w:rsidR="00BE666F">
        <w:rPr>
          <w:rFonts w:cstheme="minorHAnsi"/>
        </w:rPr>
        <w:fldChar w:fldCharType="end"/>
      </w:r>
      <w:r w:rsidR="00B237BF" w:rsidRPr="00A94043">
        <w:rPr>
          <w:rFonts w:cstheme="minorHAnsi"/>
        </w:rPr>
        <w:t>.</w:t>
      </w:r>
      <w:bookmarkStart w:id="52" w:name="_Ref53742500"/>
      <w:bookmarkStart w:id="53" w:name="_Toc118793534"/>
    </w:p>
    <w:p w14:paraId="71FB4665" w14:textId="7E012DD8" w:rsidR="00E70A27" w:rsidRDefault="0001564A" w:rsidP="00E805F0">
      <w:pPr>
        <w:rPr>
          <w:rFonts w:cstheme="minorHAnsi"/>
        </w:rPr>
      </w:pPr>
      <w:r w:rsidRPr="00A94043">
        <w:rPr>
          <w:rFonts w:cstheme="minorHAnsi"/>
        </w:rPr>
        <w:t>The space heater comparison methodology proposes to use the definition of HSEC that</w:t>
      </w:r>
      <w:r w:rsidR="008E679A">
        <w:rPr>
          <w:rFonts w:cstheme="minorHAnsi"/>
        </w:rPr>
        <w:t>:</w:t>
      </w:r>
      <w:r w:rsidRPr="00A94043">
        <w:rPr>
          <w:rFonts w:cstheme="minorHAnsi"/>
        </w:rPr>
        <w:t xml:space="preserve"> </w:t>
      </w:r>
    </w:p>
    <w:p w14:paraId="15471BE7" w14:textId="3699E6D3" w:rsidR="00193EEB" w:rsidRDefault="0001564A" w:rsidP="00E70A27">
      <w:pPr>
        <w:pStyle w:val="Bullets-Major"/>
      </w:pPr>
      <w:r w:rsidRPr="00A94043">
        <w:t xml:space="preserve">best aligns with the test data available from the existing product test standards for each space heater technology type </w:t>
      </w:r>
    </w:p>
    <w:p w14:paraId="05F7E28D" w14:textId="043C8159" w:rsidR="001030E9" w:rsidRDefault="0001564A" w:rsidP="00B727C8">
      <w:pPr>
        <w:pStyle w:val="Bullets-Major"/>
      </w:pPr>
      <w:r w:rsidRPr="00A94043">
        <w:t>use</w:t>
      </w:r>
      <w:r w:rsidR="008E679A">
        <w:t>s</w:t>
      </w:r>
      <w:r w:rsidRPr="00A94043">
        <w:t xml:space="preserve"> </w:t>
      </w:r>
      <w:r w:rsidRPr="0004719E">
        <w:t>1, 2 or 3 points of performance data</w:t>
      </w:r>
      <w:r w:rsidR="00120814">
        <w:t>,</w:t>
      </w:r>
      <w:r w:rsidRPr="0004719E">
        <w:t xml:space="preserve"> corresponding to the full, “minimum” and “half” capacity values used in the ACCM</w:t>
      </w:r>
    </w:p>
    <w:p w14:paraId="5822EE83" w14:textId="6FE5B30E" w:rsidR="00193EEB" w:rsidRPr="00B930ED" w:rsidRDefault="006C4EBD" w:rsidP="001030E9">
      <w:pPr>
        <w:pStyle w:val="Bullets-Major"/>
      </w:pPr>
      <w:r w:rsidRPr="00B930ED">
        <w:t xml:space="preserve">does not include </w:t>
      </w:r>
      <w:r w:rsidR="0001564A" w:rsidRPr="00B930ED">
        <w:t xml:space="preserve">make-up heat for </w:t>
      </w:r>
      <w:r w:rsidR="00765AFD" w:rsidRPr="00720ADF">
        <w:t>weather independent</w:t>
      </w:r>
      <w:r w:rsidR="0001564A" w:rsidRPr="00B930ED">
        <w:t xml:space="preserve"> (non-air conditioner) products</w:t>
      </w:r>
    </w:p>
    <w:p w14:paraId="4B15446B" w14:textId="5A13120D" w:rsidR="00B930ED" w:rsidRDefault="00B930ED" w:rsidP="001030E9">
      <w:pPr>
        <w:pStyle w:val="Bullets-Major"/>
      </w:pPr>
      <w:r>
        <w:t>does not include a part load factor (PLF) for electric resistance, gas (ducted or non-ducted) or solid-fuel combustion heaters</w:t>
      </w:r>
    </w:p>
    <w:p w14:paraId="4C710DCE" w14:textId="28A86134" w:rsidR="0001564A" w:rsidRDefault="00E10416" w:rsidP="00B727C8">
      <w:pPr>
        <w:pStyle w:val="Bullets-Major"/>
      </w:pPr>
      <w:r>
        <w:t>applies</w:t>
      </w:r>
      <w:r w:rsidR="0001564A" w:rsidRPr="0004719E">
        <w:t xml:space="preserve"> an additional 5% (2 settings) or 10% (fixed</w:t>
      </w:r>
      <w:r w:rsidR="00D14A4F">
        <w:t>-</w:t>
      </w:r>
      <w:r w:rsidR="0001564A" w:rsidRPr="0004719E">
        <w:t xml:space="preserve">capacity) penalty for products </w:t>
      </w:r>
      <w:r w:rsidR="00093F5E">
        <w:t>that</w:t>
      </w:r>
      <w:r w:rsidR="00093F5E" w:rsidRPr="0004719E">
        <w:t xml:space="preserve"> </w:t>
      </w:r>
      <w:r w:rsidR="0001564A" w:rsidRPr="0004719E">
        <w:t>are not thermostatically controlled, not solid</w:t>
      </w:r>
      <w:r w:rsidR="000C6ABB">
        <w:t xml:space="preserve"> </w:t>
      </w:r>
      <w:r w:rsidR="0001564A" w:rsidRPr="0004719E">
        <w:t xml:space="preserve">fuel combustion heaters, </w:t>
      </w:r>
      <w:r w:rsidR="00A05221">
        <w:t>or have fewer</w:t>
      </w:r>
      <w:r w:rsidR="0001564A" w:rsidRPr="0004719E">
        <w:t xml:space="preserve"> than 3 </w:t>
      </w:r>
      <w:r w:rsidR="00962618">
        <w:t xml:space="preserve">capacity </w:t>
      </w:r>
      <w:r w:rsidR="00663388">
        <w:t xml:space="preserve">(heat output) </w:t>
      </w:r>
      <w:r w:rsidR="0001564A" w:rsidRPr="0004719E">
        <w:t>settings.</w:t>
      </w:r>
    </w:p>
    <w:p w14:paraId="7417797C" w14:textId="4A4822EF" w:rsidR="00E805F0" w:rsidRPr="00A94043" w:rsidRDefault="00E805F0" w:rsidP="00E805F0">
      <w:pPr>
        <w:rPr>
          <w:rFonts w:cstheme="minorHAnsi"/>
        </w:rPr>
      </w:pPr>
      <w:r w:rsidRPr="00A94043">
        <w:t>Utilising data from more than one operating point whenever available helps to ensure that efficiency across the product’s operating range is taken into account, and reflected in the annual energy use, as per the current product test standards for each space heater technology type.</w:t>
      </w:r>
    </w:p>
    <w:p w14:paraId="5FE481C0" w14:textId="026983F1" w:rsidR="00E31535" w:rsidRPr="00A94043" w:rsidRDefault="00E31535" w:rsidP="000A67B1">
      <w:pPr>
        <w:spacing w:after="0" w:line="240" w:lineRule="auto"/>
        <w:rPr>
          <w:rFonts w:cstheme="minorHAnsi"/>
        </w:rPr>
      </w:pPr>
      <w:r w:rsidRPr="00A94043">
        <w:rPr>
          <w:rFonts w:cstheme="minorHAnsi"/>
        </w:rPr>
        <w:t>A summary of the HSEC calculation path is shown in</w:t>
      </w:r>
      <w:r w:rsidR="000A67B1" w:rsidRPr="00A94043">
        <w:rPr>
          <w:rFonts w:cstheme="minorHAnsi"/>
        </w:rPr>
        <w:t xml:space="preserve"> </w:t>
      </w:r>
      <w:r w:rsidR="000A67B1" w:rsidRPr="00A94043">
        <w:rPr>
          <w:rFonts w:cstheme="minorHAnsi"/>
          <w:color w:val="2B579A"/>
          <w:shd w:val="clear" w:color="auto" w:fill="E6E6E6"/>
        </w:rPr>
        <w:fldChar w:fldCharType="begin"/>
      </w:r>
      <w:r w:rsidR="000A67B1" w:rsidRPr="00A94043">
        <w:rPr>
          <w:rFonts w:cstheme="minorHAnsi"/>
        </w:rPr>
        <w:instrText xml:space="preserve"> REF _Ref147414222 \h </w:instrText>
      </w:r>
      <w:r w:rsidR="000A67B1" w:rsidRPr="00A94043">
        <w:rPr>
          <w:rFonts w:cstheme="minorHAnsi"/>
          <w:color w:val="2B579A"/>
          <w:shd w:val="clear" w:color="auto" w:fill="E6E6E6"/>
        </w:rPr>
      </w:r>
      <w:r w:rsidR="000A67B1" w:rsidRPr="00A94043">
        <w:rPr>
          <w:rFonts w:cstheme="minorHAnsi"/>
          <w:color w:val="2B579A"/>
          <w:shd w:val="clear" w:color="auto" w:fill="E6E6E6"/>
        </w:rPr>
        <w:fldChar w:fldCharType="separate"/>
      </w:r>
      <w:r w:rsidR="007068DD" w:rsidRPr="00A94043">
        <w:t xml:space="preserve">Figure </w:t>
      </w:r>
      <w:r w:rsidR="007068DD">
        <w:rPr>
          <w:noProof/>
        </w:rPr>
        <w:t>3</w:t>
      </w:r>
      <w:r w:rsidR="000A67B1" w:rsidRPr="00A94043">
        <w:rPr>
          <w:rFonts w:cstheme="minorHAnsi"/>
          <w:color w:val="2B579A"/>
          <w:shd w:val="clear" w:color="auto" w:fill="E6E6E6"/>
        </w:rPr>
        <w:fldChar w:fldCharType="end"/>
      </w:r>
      <w:r w:rsidR="000A67B1" w:rsidRPr="00A94043">
        <w:rPr>
          <w:rFonts w:cstheme="minorHAnsi"/>
        </w:rPr>
        <w:t xml:space="preserve"> </w:t>
      </w:r>
      <w:r w:rsidRPr="00A94043">
        <w:rPr>
          <w:rFonts w:cstheme="minorHAnsi"/>
        </w:rPr>
        <w:t>below.</w:t>
      </w:r>
      <w:r w:rsidR="00FF11CB">
        <w:rPr>
          <w:rFonts w:cstheme="minorHAnsi"/>
        </w:rPr>
        <w:t xml:space="preserve"> Example HSEC calculation results are provided in </w:t>
      </w:r>
      <w:r w:rsidR="00BE666F">
        <w:rPr>
          <w:rFonts w:cstheme="minorHAnsi"/>
        </w:rPr>
        <w:fldChar w:fldCharType="begin"/>
      </w:r>
      <w:r w:rsidR="00BE666F">
        <w:rPr>
          <w:rFonts w:cstheme="minorHAnsi"/>
        </w:rPr>
        <w:instrText xml:space="preserve"> REF _Ref159309845 \h </w:instrText>
      </w:r>
      <w:r w:rsidR="00BE666F">
        <w:rPr>
          <w:rFonts w:cstheme="minorHAnsi"/>
        </w:rPr>
      </w:r>
      <w:r w:rsidR="00BE666F">
        <w:rPr>
          <w:rFonts w:cstheme="minorHAnsi"/>
        </w:rPr>
        <w:fldChar w:fldCharType="separate"/>
      </w:r>
      <w:r w:rsidR="007068DD" w:rsidRPr="004F5C1E">
        <w:t>Appendix 4:  Example data and results</w:t>
      </w:r>
      <w:r w:rsidR="00BE666F">
        <w:rPr>
          <w:rFonts w:cstheme="minorHAnsi"/>
        </w:rPr>
        <w:fldChar w:fldCharType="end"/>
      </w:r>
      <w:r w:rsidR="00BE666F">
        <w:rPr>
          <w:rFonts w:cstheme="minorHAnsi"/>
        </w:rPr>
        <w:t>.</w:t>
      </w:r>
    </w:p>
    <w:p w14:paraId="7D91DFE9" w14:textId="77777777" w:rsidR="000A67B1" w:rsidRPr="00A94043" w:rsidRDefault="000A67B1" w:rsidP="000A67B1">
      <w:pPr>
        <w:spacing w:after="0" w:line="240" w:lineRule="auto"/>
        <w:rPr>
          <w:rFonts w:cstheme="minorHAnsi"/>
        </w:rPr>
      </w:pPr>
    </w:p>
    <w:p w14:paraId="66487E95" w14:textId="209959C5" w:rsidR="00E31535" w:rsidRPr="00A94043" w:rsidRDefault="000A67B1" w:rsidP="000A67B1">
      <w:pPr>
        <w:pStyle w:val="Caption"/>
        <w:rPr>
          <w:rFonts w:cstheme="minorHAnsi"/>
        </w:rPr>
      </w:pPr>
      <w:bookmarkStart w:id="54" w:name="_Ref147414222"/>
      <w:bookmarkStart w:id="55" w:name="_Toc175309965"/>
      <w:r w:rsidRPr="00A94043">
        <w:lastRenderedPageBreak/>
        <w:t xml:space="preserve">Figure </w:t>
      </w:r>
      <w:r w:rsidRPr="00A94043">
        <w:rPr>
          <w:color w:val="2B579A"/>
          <w:shd w:val="clear" w:color="auto" w:fill="E6E6E6"/>
        </w:rPr>
        <w:fldChar w:fldCharType="begin"/>
      </w:r>
      <w:r w:rsidRPr="00A94043">
        <w:instrText>SEQ Figure \* ARABIC</w:instrText>
      </w:r>
      <w:r w:rsidRPr="00A94043">
        <w:rPr>
          <w:color w:val="2B579A"/>
          <w:shd w:val="clear" w:color="auto" w:fill="E6E6E6"/>
        </w:rPr>
        <w:fldChar w:fldCharType="separate"/>
      </w:r>
      <w:r w:rsidR="007068DD">
        <w:rPr>
          <w:noProof/>
        </w:rPr>
        <w:t>3</w:t>
      </w:r>
      <w:r w:rsidRPr="00A94043">
        <w:rPr>
          <w:color w:val="2B579A"/>
          <w:shd w:val="clear" w:color="auto" w:fill="E6E6E6"/>
        </w:rPr>
        <w:fldChar w:fldCharType="end"/>
      </w:r>
      <w:bookmarkEnd w:id="54"/>
      <w:r w:rsidRPr="00A94043">
        <w:t>: Summary of HSEC calculation path based on product sub-type and controls</w:t>
      </w:r>
      <w:bookmarkEnd w:id="52"/>
      <w:bookmarkEnd w:id="53"/>
      <w:bookmarkEnd w:id="55"/>
    </w:p>
    <w:p w14:paraId="062D056E" w14:textId="432F0DE9" w:rsidR="00E31535" w:rsidRPr="00A94043" w:rsidRDefault="00330543" w:rsidP="00E31535">
      <w:r w:rsidRPr="00A94043">
        <w:t xml:space="preserve"> </w:t>
      </w:r>
      <w:r w:rsidR="00370D1B" w:rsidRPr="00A94043">
        <w:rPr>
          <w:noProof/>
          <w:color w:val="2B579A"/>
          <w:shd w:val="clear" w:color="auto" w:fill="E6E6E6"/>
        </w:rPr>
        <w:drawing>
          <wp:inline distT="0" distB="0" distL="0" distR="0" wp14:anchorId="7F356AD3" wp14:editId="558DEF89">
            <wp:extent cx="6115050" cy="3942715"/>
            <wp:effectExtent l="0" t="0" r="0" b="635"/>
            <wp:docPr id="116884270" name="Picture 116884270" descr="This image shows the summary of Heating Seasonal Energy Consumption (HSEC) calculation path based on product sub-type and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4270" name="Picture 116884270" descr="This image shows the summary of Heating Seasonal Energy Consumption (HSEC) calculation path based on product sub-type and controls."/>
                    <pic:cNvPicPr/>
                  </pic:nvPicPr>
                  <pic:blipFill>
                    <a:blip r:embed="rId41"/>
                    <a:stretch>
                      <a:fillRect/>
                    </a:stretch>
                  </pic:blipFill>
                  <pic:spPr>
                    <a:xfrm>
                      <a:off x="0" y="0"/>
                      <a:ext cx="6115050" cy="3942715"/>
                    </a:xfrm>
                    <a:prstGeom prst="rect">
                      <a:avLst/>
                    </a:prstGeom>
                  </pic:spPr>
                </pic:pic>
              </a:graphicData>
            </a:graphic>
          </wp:inline>
        </w:drawing>
      </w:r>
    </w:p>
    <w:p w14:paraId="0F9D1EA4" w14:textId="0D4E6BE4" w:rsidR="00455D04" w:rsidRPr="00A94043" w:rsidRDefault="00455D04">
      <w:pPr>
        <w:spacing w:after="0" w:line="240" w:lineRule="auto"/>
        <w:rPr>
          <w:b/>
          <w:bCs/>
          <w:i/>
          <w:iCs/>
        </w:rPr>
      </w:pPr>
    </w:p>
    <w:p w14:paraId="1B5C931F" w14:textId="156E27D3" w:rsidR="00E31535" w:rsidRPr="00A94043" w:rsidRDefault="00414625" w:rsidP="00E31535">
      <w:pPr>
        <w:keepNext/>
        <w:rPr>
          <w:b/>
          <w:bCs/>
          <w:i/>
          <w:iCs/>
        </w:rPr>
      </w:pPr>
      <w:r w:rsidRPr="00A94043">
        <w:rPr>
          <w:b/>
          <w:bCs/>
          <w:i/>
          <w:iCs/>
        </w:rPr>
        <w:t xml:space="preserve">HSEC </w:t>
      </w:r>
      <w:r w:rsidR="00E31535" w:rsidRPr="00A94043">
        <w:rPr>
          <w:b/>
          <w:bCs/>
          <w:i/>
          <w:iCs/>
        </w:rPr>
        <w:t>Calculation method 1. Fixed</w:t>
      </w:r>
      <w:r w:rsidR="00D14A4F">
        <w:rPr>
          <w:b/>
          <w:bCs/>
          <w:i/>
          <w:iCs/>
        </w:rPr>
        <w:t>-</w:t>
      </w:r>
      <w:r w:rsidR="00E31535" w:rsidRPr="00A94043">
        <w:rPr>
          <w:b/>
          <w:bCs/>
          <w:i/>
          <w:iCs/>
        </w:rPr>
        <w:t>capacity products without thermostatic control:</w:t>
      </w:r>
    </w:p>
    <w:p w14:paraId="4984BEB0" w14:textId="1B2F6B0A" w:rsidR="00E31535" w:rsidRPr="00A94043" w:rsidRDefault="00E31535" w:rsidP="00E31535">
      <w:r w:rsidRPr="00A94043">
        <w:t>For this calculation it is assumed that there is a 10% increase in heating seasonal energy consumption (HSEC) due to less-efficient matching of capacity to load, compared to systems with thermostatic control or more than two capacity settings. The development of this calculation method was discussed in TWG Paper 3.</w:t>
      </w:r>
    </w:p>
    <w:p w14:paraId="04944926" w14:textId="3FE7A2D0" w:rsidR="00E31535" w:rsidRPr="00A94043" w:rsidRDefault="00414625" w:rsidP="00E31535">
      <w:pPr>
        <w:keepNext/>
        <w:rPr>
          <w:b/>
          <w:bCs/>
          <w:i/>
          <w:iCs/>
        </w:rPr>
      </w:pPr>
      <w:r w:rsidRPr="00A94043">
        <w:rPr>
          <w:b/>
          <w:bCs/>
          <w:i/>
          <w:iCs/>
        </w:rPr>
        <w:t xml:space="preserve">HSEC </w:t>
      </w:r>
      <w:r w:rsidR="00E31535" w:rsidRPr="00A94043">
        <w:rPr>
          <w:b/>
          <w:bCs/>
          <w:i/>
          <w:iCs/>
        </w:rPr>
        <w:t>Calculation method 2. Two-setting capacity products without thermostatic control:</w:t>
      </w:r>
    </w:p>
    <w:p w14:paraId="47C6D6CD" w14:textId="5B271691" w:rsidR="00E31535" w:rsidRPr="00A94043" w:rsidRDefault="00E31535" w:rsidP="00E31535">
      <w:r w:rsidRPr="00A94043">
        <w:t>For this calculation it is assumed that there is a 5% increase in heating seasonal energy consumption (HSEC) due to less-efficient matching of capacity to load, compared to systems with thermostatic control or more than two capacity settings.</w:t>
      </w:r>
      <w:r w:rsidR="005F319C" w:rsidRPr="00A94043">
        <w:t xml:space="preserve"> The development of this calculation method was discussed in TWG Paper 3.</w:t>
      </w:r>
    </w:p>
    <w:p w14:paraId="322B3F74" w14:textId="5673527B" w:rsidR="00E31535" w:rsidRPr="00A94043" w:rsidRDefault="00414625" w:rsidP="00E31535">
      <w:pPr>
        <w:keepNext/>
        <w:rPr>
          <w:b/>
          <w:bCs/>
          <w:i/>
          <w:iCs/>
        </w:rPr>
      </w:pPr>
      <w:r w:rsidRPr="00A94043">
        <w:rPr>
          <w:b/>
          <w:bCs/>
          <w:i/>
          <w:iCs/>
        </w:rPr>
        <w:t xml:space="preserve">HSEC </w:t>
      </w:r>
      <w:r w:rsidR="00E31535" w:rsidRPr="00A94043">
        <w:rPr>
          <w:b/>
          <w:bCs/>
          <w:i/>
          <w:iCs/>
        </w:rPr>
        <w:t xml:space="preserve">Calculation method 3. </w:t>
      </w:r>
      <w:r w:rsidR="00844CE5" w:rsidRPr="00A94043">
        <w:rPr>
          <w:b/>
          <w:bCs/>
          <w:i/>
          <w:iCs/>
        </w:rPr>
        <w:t xml:space="preserve">Variable </w:t>
      </w:r>
      <w:r w:rsidR="00E31535" w:rsidRPr="00A94043">
        <w:rPr>
          <w:b/>
          <w:bCs/>
          <w:i/>
          <w:iCs/>
        </w:rPr>
        <w:t>capacity products</w:t>
      </w:r>
      <w:r w:rsidR="00844CE5" w:rsidRPr="00A94043">
        <w:rPr>
          <w:b/>
          <w:bCs/>
          <w:i/>
          <w:iCs/>
        </w:rPr>
        <w:t xml:space="preserve"> (&gt;2 settings) and products</w:t>
      </w:r>
      <w:r w:rsidR="00E31535" w:rsidRPr="00A94043">
        <w:rPr>
          <w:b/>
          <w:bCs/>
          <w:i/>
          <w:iCs/>
        </w:rPr>
        <w:t xml:space="preserve"> with thermostatic control</w:t>
      </w:r>
      <w:r w:rsidR="00844CE5" w:rsidRPr="00A94043">
        <w:rPr>
          <w:b/>
          <w:bCs/>
          <w:i/>
          <w:iCs/>
        </w:rPr>
        <w:t>, with one point of performance data</w:t>
      </w:r>
      <w:r w:rsidR="00E31535" w:rsidRPr="00A94043">
        <w:rPr>
          <w:b/>
          <w:bCs/>
          <w:i/>
          <w:iCs/>
        </w:rPr>
        <w:t>:</w:t>
      </w:r>
    </w:p>
    <w:p w14:paraId="402E1BD5" w14:textId="3DFA8AC5" w:rsidR="00E31535" w:rsidRPr="00A94043" w:rsidRDefault="00E31535" w:rsidP="00E31535">
      <w:r w:rsidRPr="00A94043">
        <w:t>For this calculation the capacity of the heater would be adjusted to match the load, with part load conditions applying until the load is equal to the full capacity of the product, and then full power would be required plus make-up heat for the remaining (cold) outdoor temperatures.</w:t>
      </w:r>
      <w:r w:rsidR="00150734" w:rsidRPr="00A94043">
        <w:t xml:space="preserve"> </w:t>
      </w:r>
      <w:r w:rsidR="00AD3CD9">
        <w:t>Based on</w:t>
      </w:r>
      <w:r w:rsidR="00A15559">
        <w:t xml:space="preserve"> consultation with the </w:t>
      </w:r>
      <w:r w:rsidR="00150734" w:rsidRPr="00A94043">
        <w:t xml:space="preserve">TWG </w:t>
      </w:r>
      <w:r w:rsidR="00A15559">
        <w:t xml:space="preserve">it </w:t>
      </w:r>
      <w:r w:rsidR="00AD3CD9">
        <w:t xml:space="preserve">is proposed </w:t>
      </w:r>
      <w:r w:rsidR="00A15559">
        <w:t xml:space="preserve">that </w:t>
      </w:r>
      <w:r w:rsidR="00150734" w:rsidRPr="00A94043">
        <w:t xml:space="preserve">for </w:t>
      </w:r>
      <w:r w:rsidR="00765AFD">
        <w:t xml:space="preserve">weather independent </w:t>
      </w:r>
      <w:r w:rsidR="00150734" w:rsidRPr="00A94043">
        <w:t>heaters</w:t>
      </w:r>
      <w:r w:rsidR="00135337">
        <w:t>,</w:t>
      </w:r>
      <w:r w:rsidR="00150734" w:rsidRPr="00A94043">
        <w:t xml:space="preserve"> make-up heat is not required.</w:t>
      </w:r>
    </w:p>
    <w:p w14:paraId="43EE9A4A" w14:textId="4CC1483B" w:rsidR="00E31535" w:rsidRPr="00A94043" w:rsidRDefault="00844CE5" w:rsidP="00E31535">
      <w:r w:rsidRPr="00A94043">
        <w:t>This calculation method is used for electric</w:t>
      </w:r>
      <w:r w:rsidR="004F1D54">
        <w:t xml:space="preserve"> </w:t>
      </w:r>
      <w:r w:rsidRPr="00A94043">
        <w:t>resistance heaters, solid</w:t>
      </w:r>
      <w:r w:rsidR="000C6ABB">
        <w:t xml:space="preserve"> </w:t>
      </w:r>
      <w:r w:rsidRPr="00A94043">
        <w:t>fuel combustion heaters with non-adjustable air controls, and gas space heaters only evaluated at maximum gas consumption.</w:t>
      </w:r>
    </w:p>
    <w:p w14:paraId="33A1CF8B" w14:textId="3E9179E6" w:rsidR="00E31535" w:rsidRPr="00A94043" w:rsidRDefault="00414625" w:rsidP="00E31535">
      <w:pPr>
        <w:keepNext/>
        <w:rPr>
          <w:b/>
          <w:bCs/>
          <w:i/>
          <w:iCs/>
        </w:rPr>
      </w:pPr>
      <w:r w:rsidRPr="00A94043">
        <w:rPr>
          <w:b/>
          <w:bCs/>
          <w:i/>
          <w:iCs/>
        </w:rPr>
        <w:lastRenderedPageBreak/>
        <w:t xml:space="preserve">HSEC </w:t>
      </w:r>
      <w:r w:rsidR="00E31535" w:rsidRPr="00A94043">
        <w:rPr>
          <w:b/>
          <w:bCs/>
          <w:i/>
          <w:iCs/>
        </w:rPr>
        <w:t xml:space="preserve">Calculation method 4. </w:t>
      </w:r>
      <w:r w:rsidR="00844CE5" w:rsidRPr="00A94043">
        <w:rPr>
          <w:b/>
          <w:bCs/>
          <w:i/>
          <w:iCs/>
        </w:rPr>
        <w:t>V</w:t>
      </w:r>
      <w:r w:rsidR="005F319C" w:rsidRPr="00A94043">
        <w:rPr>
          <w:b/>
          <w:bCs/>
          <w:i/>
          <w:iCs/>
        </w:rPr>
        <w:t xml:space="preserve">ariable capacity products </w:t>
      </w:r>
      <w:r w:rsidR="00844CE5" w:rsidRPr="00A94043">
        <w:rPr>
          <w:b/>
          <w:bCs/>
          <w:i/>
          <w:iCs/>
        </w:rPr>
        <w:t>and products with</w:t>
      </w:r>
      <w:r w:rsidR="005F319C" w:rsidRPr="00A94043">
        <w:rPr>
          <w:b/>
          <w:bCs/>
          <w:i/>
          <w:iCs/>
        </w:rPr>
        <w:t xml:space="preserve"> thermostatic control, with two points of performance data:</w:t>
      </w:r>
    </w:p>
    <w:p w14:paraId="61A3C5FC" w14:textId="77777777" w:rsidR="00E31535" w:rsidRPr="00A94043" w:rsidRDefault="00E31535" w:rsidP="00E31535">
      <w:r w:rsidRPr="00A94043">
        <w:t>For these products, the HSEC is calculated similarly to calculation 3, but because these products can be measured at minimum (or low) outputs, there is additional data on which to base the calculation of part load efficiency. It is assumed that the user adjusts the settings or fuel quantity to match loads if the product has a variable or multi-setting capacity capability, similar to thermostatic control.</w:t>
      </w:r>
    </w:p>
    <w:p w14:paraId="2751A3CF" w14:textId="76FF4EF1" w:rsidR="005F319C" w:rsidRPr="00A94043" w:rsidRDefault="005F319C" w:rsidP="00B237BF">
      <w:r w:rsidRPr="00A94043">
        <w:t>This calculation method is used for gas space heaters</w:t>
      </w:r>
      <w:r w:rsidR="000F6D30" w:rsidRPr="00A94043">
        <w:t xml:space="preserve"> based on their minimum and maximum gas consumption</w:t>
      </w:r>
      <w:r w:rsidRPr="00A94043">
        <w:t>.</w:t>
      </w:r>
    </w:p>
    <w:p w14:paraId="62EF411E" w14:textId="7E29F1AD" w:rsidR="00E31535" w:rsidRPr="00A94043" w:rsidRDefault="00414625" w:rsidP="00E31535">
      <w:pPr>
        <w:keepNext/>
        <w:rPr>
          <w:b/>
          <w:bCs/>
          <w:i/>
          <w:iCs/>
        </w:rPr>
      </w:pPr>
      <w:r w:rsidRPr="00A94043">
        <w:rPr>
          <w:b/>
          <w:bCs/>
          <w:i/>
          <w:iCs/>
        </w:rPr>
        <w:t xml:space="preserve">HSEC </w:t>
      </w:r>
      <w:r w:rsidR="00E31535" w:rsidRPr="00A94043">
        <w:rPr>
          <w:b/>
          <w:bCs/>
          <w:i/>
          <w:iCs/>
        </w:rPr>
        <w:t xml:space="preserve">Calculation method 5. </w:t>
      </w:r>
      <w:r w:rsidR="00844CE5" w:rsidRPr="00A94043">
        <w:rPr>
          <w:b/>
          <w:bCs/>
          <w:i/>
          <w:iCs/>
        </w:rPr>
        <w:t>V</w:t>
      </w:r>
      <w:r w:rsidR="005F319C" w:rsidRPr="00A94043">
        <w:rPr>
          <w:b/>
          <w:bCs/>
          <w:i/>
          <w:iCs/>
        </w:rPr>
        <w:t xml:space="preserve">ariable capacity products </w:t>
      </w:r>
      <w:r w:rsidR="00844CE5" w:rsidRPr="00A94043">
        <w:rPr>
          <w:b/>
          <w:bCs/>
          <w:i/>
          <w:iCs/>
        </w:rPr>
        <w:t xml:space="preserve">and products </w:t>
      </w:r>
      <w:r w:rsidR="005F319C" w:rsidRPr="00A94043">
        <w:rPr>
          <w:b/>
          <w:bCs/>
          <w:i/>
          <w:iCs/>
        </w:rPr>
        <w:t>with thermostatic control, with three points of performance data:</w:t>
      </w:r>
    </w:p>
    <w:p w14:paraId="40DF6322" w14:textId="5F29CD60" w:rsidR="005F319C" w:rsidRPr="00A94043" w:rsidRDefault="005F319C" w:rsidP="00E31535">
      <w:r w:rsidRPr="00A94043">
        <w:t>For these products, the HSEC is calculated similarly to calculation 3, but because these products can be measured at minimum (or low) outputs, and half (or medium) outputs, there is additional data on which to base the calculation of part load efficiency. It is assumed that the user adjusts the settings or fuel quantity to match loads if the product has a variable or multi-setting capacity capability, similar to thermostatic control.</w:t>
      </w:r>
    </w:p>
    <w:p w14:paraId="09CF4A14" w14:textId="6AC98AB3" w:rsidR="00E31535" w:rsidRPr="00A94043" w:rsidRDefault="005F319C" w:rsidP="00E31535">
      <w:r w:rsidRPr="00A94043">
        <w:t>This calculation method is used for solid</w:t>
      </w:r>
      <w:r w:rsidR="000C6ABB">
        <w:t xml:space="preserve"> </w:t>
      </w:r>
      <w:r w:rsidRPr="00A94043">
        <w:t>fuel combustion heaters with adjustable air controls</w:t>
      </w:r>
      <w:r w:rsidR="000F6D30" w:rsidRPr="00A94043">
        <w:t xml:space="preserve"> based on their high, medium and low burn rates</w:t>
      </w:r>
      <w:r w:rsidRPr="00A94043">
        <w:t xml:space="preserve">, and for ducted gas heaters, based on the nominal gas consumption </w:t>
      </w:r>
      <w:r w:rsidR="00150734" w:rsidRPr="00A94043">
        <w:t xml:space="preserve">and thermal efficiency </w:t>
      </w:r>
      <w:r w:rsidRPr="00A94043">
        <w:t>of the product, and the high load and low load test results.</w:t>
      </w:r>
    </w:p>
    <w:p w14:paraId="588BA553" w14:textId="5235136E" w:rsidR="005F319C" w:rsidRPr="00A94043" w:rsidRDefault="005F319C" w:rsidP="005F319C">
      <w:pPr>
        <w:pStyle w:val="Heading2"/>
      </w:pPr>
      <w:bookmarkStart w:id="56" w:name="_Ref99397626"/>
      <w:bookmarkStart w:id="57" w:name="_Toc99633220"/>
      <w:bookmarkStart w:id="58" w:name="_Toc146638691"/>
      <w:bookmarkStart w:id="59" w:name="_Toc175311922"/>
      <w:r w:rsidRPr="00A94043">
        <w:t>Annual Inactive Energy Consumption</w:t>
      </w:r>
      <w:bookmarkEnd w:id="56"/>
      <w:bookmarkEnd w:id="57"/>
      <w:bookmarkEnd w:id="58"/>
      <w:bookmarkEnd w:id="59"/>
    </w:p>
    <w:p w14:paraId="13E41B1C" w14:textId="77777777" w:rsidR="005F319C" w:rsidRPr="00A94043" w:rsidRDefault="005F319C" w:rsidP="005F319C">
      <w:r w:rsidRPr="00A94043">
        <w:t>Many products continue to consume small amounts of electricity and/or gas when not operating, unless they are physically disconnected, or turned off at the power outlet or gas valve. This is often referred to as their standby or inactive energy consumption and should be included in an overall assessment of their annual energy use.</w:t>
      </w:r>
    </w:p>
    <w:p w14:paraId="1A6C2561" w14:textId="63A67EB0" w:rsidR="005F319C" w:rsidRPr="00A94043" w:rsidRDefault="005F319C" w:rsidP="005F319C">
      <w:r w:rsidRPr="00A94043">
        <w:t>For each space heater technology type the energy consumption in standby or inactive mode is defined either by the existing product test standard, or if these measurements are not include</w:t>
      </w:r>
      <w:r w:rsidR="00AF4B0C" w:rsidRPr="00A94043">
        <w:t>d</w:t>
      </w:r>
      <w:r w:rsidRPr="00A94043">
        <w:t xml:space="preserve"> in the standard, by default values</w:t>
      </w:r>
      <w:r w:rsidR="00F325D4" w:rsidRPr="00A94043">
        <w:t xml:space="preserve"> or the use of AS/NZS IEC 62301</w:t>
      </w:r>
      <w:r w:rsidR="00AF4B0C" w:rsidRPr="00A94043">
        <w:t xml:space="preserve">, as summarised in </w:t>
      </w:r>
      <w:r w:rsidR="00BE666F">
        <w:fldChar w:fldCharType="begin"/>
      </w:r>
      <w:r w:rsidR="00BE666F">
        <w:instrText xml:space="preserve"> REF _Ref158020762 \h </w:instrText>
      </w:r>
      <w:r w:rsidR="00BE666F">
        <w:fldChar w:fldCharType="separate"/>
      </w:r>
      <w:r w:rsidR="007068DD" w:rsidRPr="004F5C1E">
        <w:t>Appendix 2:  Key Characteristics for Each Heater Type</w:t>
      </w:r>
      <w:r w:rsidR="00BE666F">
        <w:fldChar w:fldCharType="end"/>
      </w:r>
      <w:r w:rsidR="00BE666F">
        <w:t>.</w:t>
      </w:r>
    </w:p>
    <w:p w14:paraId="0E86A395" w14:textId="76AE8FA4" w:rsidR="005F319C" w:rsidRPr="00A94043" w:rsidRDefault="005F319C" w:rsidP="005F319C">
      <w:r w:rsidRPr="00A94043">
        <w:t xml:space="preserve">The </w:t>
      </w:r>
      <w:r w:rsidR="00FF11CB">
        <w:t>inactive</w:t>
      </w:r>
      <w:r w:rsidR="00FF11CB" w:rsidRPr="00A94043">
        <w:t xml:space="preserve"> </w:t>
      </w:r>
      <w:r w:rsidRPr="00A94043">
        <w:t>power consumption, multiplied by the number of hours the product is in inactive or standby mode, can then be incorporated into the overall assessment of the product’s annual energy use.</w:t>
      </w:r>
    </w:p>
    <w:p w14:paraId="36B1E38F" w14:textId="4FC11A1B" w:rsidR="005F319C" w:rsidRPr="00A94043" w:rsidRDefault="005F319C" w:rsidP="005F319C">
      <w:r w:rsidRPr="00A94043">
        <w:t xml:space="preserve">The air conditioner </w:t>
      </w:r>
      <w:r w:rsidR="00276CDD">
        <w:t xml:space="preserve">GEMS </w:t>
      </w:r>
      <w:r w:rsidRPr="00A94043">
        <w:t>Determination defines the Annual Inactive Energy Consumption (IAEC) to be the product of the weighted average inactive power consumption</w:t>
      </w:r>
      <w:r w:rsidR="00C71134">
        <w:t>,</w:t>
      </w:r>
      <w:r w:rsidRPr="00A94043">
        <w:t xml:space="preserve"> </w:t>
      </w:r>
      <w:r w:rsidR="0001564A">
        <w:t>(</w:t>
      </w:r>
      <w:r w:rsidR="0001564A" w:rsidRPr="0001564A">
        <w:rPr>
          <w:i/>
          <w:iCs/>
        </w:rPr>
        <w:t>P</w:t>
      </w:r>
      <w:r w:rsidR="0001564A" w:rsidRPr="0001564A">
        <w:rPr>
          <w:i/>
          <w:iCs/>
          <w:vertAlign w:val="subscript"/>
        </w:rPr>
        <w:t>ia</w:t>
      </w:r>
      <w:r w:rsidR="0001564A" w:rsidRPr="00A94043">
        <w:t xml:space="preserve"> </w:t>
      </w:r>
      <w:r w:rsidRPr="00A94043">
        <w:t>or Standby power consumption)</w:t>
      </w:r>
      <w:r w:rsidR="00C71134">
        <w:t>,</w:t>
      </w:r>
      <w:r w:rsidRPr="00A94043">
        <w:t xml:space="preserve"> and the number of hours of inactive mode,</w:t>
      </w:r>
      <w:r w:rsidR="0001564A" w:rsidRPr="0001564A">
        <w:t xml:space="preserve"> (</w:t>
      </w:r>
      <w:r w:rsidR="0001564A">
        <w:rPr>
          <w:i/>
          <w:iCs/>
        </w:rPr>
        <w:t>H</w:t>
      </w:r>
      <w:r w:rsidR="0001564A">
        <w:rPr>
          <w:i/>
          <w:iCs/>
          <w:vertAlign w:val="subscript"/>
        </w:rPr>
        <w:t>ia</w:t>
      </w:r>
      <w:r w:rsidR="0001564A" w:rsidRPr="0001564A">
        <w:t>)</w:t>
      </w:r>
      <w:r w:rsidRPr="00A94043">
        <w:t xml:space="preserve">, as given by AS/NZS 3823.4.2:2014 and reproduced in </w:t>
      </w:r>
      <w:r w:rsidRPr="00A94043">
        <w:rPr>
          <w:color w:val="2B579A"/>
          <w:shd w:val="clear" w:color="auto" w:fill="E6E6E6"/>
        </w:rPr>
        <w:fldChar w:fldCharType="begin"/>
      </w:r>
      <w:r w:rsidRPr="00A94043">
        <w:instrText xml:space="preserve"> REF _Ref135650168 \h  \* MERGEFORMAT </w:instrText>
      </w:r>
      <w:r w:rsidRPr="00A94043">
        <w:rPr>
          <w:color w:val="2B579A"/>
          <w:shd w:val="clear" w:color="auto" w:fill="E6E6E6"/>
        </w:rPr>
      </w:r>
      <w:r w:rsidRPr="00A94043">
        <w:rPr>
          <w:color w:val="2B579A"/>
          <w:shd w:val="clear" w:color="auto" w:fill="E6E6E6"/>
        </w:rPr>
        <w:fldChar w:fldCharType="separate"/>
      </w:r>
      <w:r w:rsidR="007068DD" w:rsidRPr="00A94043">
        <w:t xml:space="preserve">Table </w:t>
      </w:r>
      <w:r w:rsidR="007068DD">
        <w:t>2</w:t>
      </w:r>
      <w:r w:rsidRPr="00A94043">
        <w:rPr>
          <w:color w:val="2B579A"/>
          <w:shd w:val="clear" w:color="auto" w:fill="E6E6E6"/>
        </w:rPr>
        <w:fldChar w:fldCharType="end"/>
      </w:r>
      <w:r w:rsidRPr="00A94043">
        <w:t xml:space="preserve">, calculated in accordance with Annex B of AS/NZS 3823.4.2:2014 and based on rated inputs. For heating only products, the number of cooling mode hours specified in </w:t>
      </w:r>
      <w:r w:rsidRPr="00A94043">
        <w:rPr>
          <w:color w:val="2B579A"/>
          <w:shd w:val="clear" w:color="auto" w:fill="E6E6E6"/>
        </w:rPr>
        <w:fldChar w:fldCharType="begin"/>
      </w:r>
      <w:r w:rsidRPr="00A94043">
        <w:instrText xml:space="preserve"> REF _Ref135650168 \h  \* MERGEFORMAT </w:instrText>
      </w:r>
      <w:r w:rsidRPr="00A94043">
        <w:rPr>
          <w:color w:val="2B579A"/>
          <w:shd w:val="clear" w:color="auto" w:fill="E6E6E6"/>
        </w:rPr>
      </w:r>
      <w:r w:rsidRPr="00A94043">
        <w:rPr>
          <w:color w:val="2B579A"/>
          <w:shd w:val="clear" w:color="auto" w:fill="E6E6E6"/>
        </w:rPr>
        <w:fldChar w:fldCharType="separate"/>
      </w:r>
      <w:r w:rsidR="007068DD" w:rsidRPr="00A94043">
        <w:t xml:space="preserve">Table </w:t>
      </w:r>
      <w:r w:rsidR="007068DD">
        <w:t>2</w:t>
      </w:r>
      <w:r w:rsidRPr="00A94043">
        <w:rPr>
          <w:color w:val="2B579A"/>
          <w:shd w:val="clear" w:color="auto" w:fill="E6E6E6"/>
        </w:rPr>
        <w:fldChar w:fldCharType="end"/>
      </w:r>
      <w:r w:rsidRPr="00A94043">
        <w:t xml:space="preserve"> are considered to be disconnected mode hours.</w:t>
      </w:r>
    </w:p>
    <w:p w14:paraId="6173C7C7" w14:textId="61E1F6B1" w:rsidR="005F319C" w:rsidRPr="00A94043" w:rsidRDefault="005F319C" w:rsidP="005F319C">
      <w:pPr>
        <w:pStyle w:val="Caption"/>
      </w:pPr>
      <w:bookmarkStart w:id="60" w:name="_Ref135650168"/>
      <w:bookmarkStart w:id="61" w:name="_Toc175311868"/>
      <w:r w:rsidRPr="00A94043">
        <w:lastRenderedPageBreak/>
        <w:t xml:space="preserve">Table </w:t>
      </w:r>
      <w:r>
        <w:fldChar w:fldCharType="begin"/>
      </w:r>
      <w:r>
        <w:instrText>SEQ Table \* ARABIC</w:instrText>
      </w:r>
      <w:r>
        <w:fldChar w:fldCharType="separate"/>
      </w:r>
      <w:r w:rsidR="007068DD">
        <w:rPr>
          <w:noProof/>
        </w:rPr>
        <w:t>2</w:t>
      </w:r>
      <w:r>
        <w:fldChar w:fldCharType="end"/>
      </w:r>
      <w:bookmarkEnd w:id="60"/>
      <w:r w:rsidRPr="00A94043">
        <w:t>: Air Conditioner Cooling, Heating and Inactive Mode Hours by Climate Zone</w:t>
      </w:r>
      <w:bookmarkEnd w:id="61"/>
    </w:p>
    <w:tbl>
      <w:tblPr>
        <w:tblStyle w:val="TableGrid"/>
        <w:tblW w:w="0" w:type="auto"/>
        <w:tblLook w:val="04A0" w:firstRow="1" w:lastRow="0" w:firstColumn="1" w:lastColumn="0" w:noHBand="0" w:noVBand="1"/>
        <w:tblCaption w:val="Air Conditioner Cooling, Heating and Inactive Mode Hours by Climate Zone"/>
        <w:tblDescription w:val="This table describes the Air Conditioner Cooling, Heating and Inactive Mode Hours by Climate Zone. It provides information about Hot Zone, Average Zone and Cooling Mode Hours (h), Inactive Mode Hours (h) and Heating Mode Hours (h)."/>
      </w:tblPr>
      <w:tblGrid>
        <w:gridCol w:w="2404"/>
        <w:gridCol w:w="2404"/>
        <w:gridCol w:w="2404"/>
        <w:gridCol w:w="2404"/>
      </w:tblGrid>
      <w:tr w:rsidR="004536E4" w:rsidRPr="00A94043" w14:paraId="520092EE" w14:textId="77777777" w:rsidTr="00F567D8">
        <w:trPr>
          <w:tblHeader/>
        </w:trPr>
        <w:tc>
          <w:tcPr>
            <w:tcW w:w="2404" w:type="dxa"/>
          </w:tcPr>
          <w:p w14:paraId="30074475" w14:textId="3CAC99E2" w:rsidR="004536E4" w:rsidRPr="00053DD9" w:rsidRDefault="00F053D1" w:rsidP="004536E4">
            <w:pPr>
              <w:rPr>
                <w:b/>
                <w:bCs/>
              </w:rPr>
            </w:pPr>
            <w:r w:rsidRPr="00053DD9">
              <w:rPr>
                <w:b/>
                <w:bCs/>
              </w:rPr>
              <w:t>Climate Zone</w:t>
            </w:r>
          </w:p>
        </w:tc>
        <w:tc>
          <w:tcPr>
            <w:tcW w:w="2404" w:type="dxa"/>
          </w:tcPr>
          <w:p w14:paraId="21D9FB98" w14:textId="3F1A926D" w:rsidR="004536E4" w:rsidRPr="00A94043" w:rsidRDefault="004536E4" w:rsidP="00A94043">
            <w:pPr>
              <w:jc w:val="center"/>
              <w:rPr>
                <w:b/>
                <w:bCs/>
              </w:rPr>
            </w:pPr>
            <w:r w:rsidRPr="00A94043">
              <w:rPr>
                <w:b/>
                <w:bCs/>
              </w:rPr>
              <w:t>Cooling Mode Hours (h)</w:t>
            </w:r>
          </w:p>
        </w:tc>
        <w:tc>
          <w:tcPr>
            <w:tcW w:w="2404" w:type="dxa"/>
          </w:tcPr>
          <w:p w14:paraId="4295CDCF" w14:textId="002E57C9" w:rsidR="004536E4" w:rsidRPr="00A94043" w:rsidRDefault="004536E4" w:rsidP="00A94043">
            <w:pPr>
              <w:jc w:val="center"/>
              <w:rPr>
                <w:b/>
                <w:bCs/>
              </w:rPr>
            </w:pPr>
            <w:r w:rsidRPr="00A94043">
              <w:rPr>
                <w:b/>
                <w:bCs/>
              </w:rPr>
              <w:t>Inactive Mode Hours (h)</w:t>
            </w:r>
          </w:p>
        </w:tc>
        <w:tc>
          <w:tcPr>
            <w:tcW w:w="2404" w:type="dxa"/>
          </w:tcPr>
          <w:p w14:paraId="08056501" w14:textId="7CF23259" w:rsidR="004536E4" w:rsidRPr="00A94043" w:rsidRDefault="004536E4" w:rsidP="00A94043">
            <w:pPr>
              <w:jc w:val="center"/>
              <w:rPr>
                <w:b/>
                <w:bCs/>
              </w:rPr>
            </w:pPr>
            <w:r w:rsidRPr="00A94043">
              <w:rPr>
                <w:b/>
                <w:bCs/>
              </w:rPr>
              <w:t>Heating Mode Hours (h)</w:t>
            </w:r>
          </w:p>
        </w:tc>
      </w:tr>
      <w:tr w:rsidR="004536E4" w:rsidRPr="00A94043" w14:paraId="1C61E5B5" w14:textId="77777777" w:rsidTr="004536E4">
        <w:tc>
          <w:tcPr>
            <w:tcW w:w="2404" w:type="dxa"/>
          </w:tcPr>
          <w:p w14:paraId="7B119DCF" w14:textId="745F376B" w:rsidR="004536E4" w:rsidRPr="00A94043" w:rsidRDefault="004536E4" w:rsidP="004536E4">
            <w:pPr>
              <w:rPr>
                <w:b/>
                <w:bCs/>
              </w:rPr>
            </w:pPr>
            <w:r w:rsidRPr="00A94043">
              <w:rPr>
                <w:b/>
                <w:bCs/>
              </w:rPr>
              <w:t>Hot Zone</w:t>
            </w:r>
          </w:p>
        </w:tc>
        <w:tc>
          <w:tcPr>
            <w:tcW w:w="2404" w:type="dxa"/>
          </w:tcPr>
          <w:p w14:paraId="6DDFF6DF" w14:textId="4AD76BE8" w:rsidR="004536E4" w:rsidRPr="00A94043" w:rsidRDefault="004536E4" w:rsidP="00A94043">
            <w:pPr>
              <w:jc w:val="center"/>
            </w:pPr>
            <w:r w:rsidRPr="00A94043">
              <w:t>2247</w:t>
            </w:r>
          </w:p>
        </w:tc>
        <w:tc>
          <w:tcPr>
            <w:tcW w:w="2404" w:type="dxa"/>
          </w:tcPr>
          <w:p w14:paraId="440EBFC6" w14:textId="45A5F698" w:rsidR="004536E4" w:rsidRPr="00A94043" w:rsidRDefault="004536E4" w:rsidP="00A94043">
            <w:pPr>
              <w:jc w:val="center"/>
            </w:pPr>
            <w:r w:rsidRPr="00A94043">
              <w:t>6236</w:t>
            </w:r>
          </w:p>
        </w:tc>
        <w:tc>
          <w:tcPr>
            <w:tcW w:w="2404" w:type="dxa"/>
          </w:tcPr>
          <w:p w14:paraId="04DFE507" w14:textId="0930402D" w:rsidR="004536E4" w:rsidRPr="00A94043" w:rsidRDefault="004536E4" w:rsidP="00A94043">
            <w:pPr>
              <w:jc w:val="center"/>
            </w:pPr>
            <w:r w:rsidRPr="00A94043">
              <w:t>277</w:t>
            </w:r>
          </w:p>
        </w:tc>
      </w:tr>
      <w:tr w:rsidR="004536E4" w:rsidRPr="00A94043" w14:paraId="4FA91F8B" w14:textId="77777777" w:rsidTr="004536E4">
        <w:tc>
          <w:tcPr>
            <w:tcW w:w="2404" w:type="dxa"/>
          </w:tcPr>
          <w:p w14:paraId="72B61204" w14:textId="24AFADBA" w:rsidR="004536E4" w:rsidRPr="00A94043" w:rsidRDefault="004536E4" w:rsidP="004536E4">
            <w:pPr>
              <w:rPr>
                <w:b/>
                <w:bCs/>
              </w:rPr>
            </w:pPr>
            <w:r w:rsidRPr="00A94043">
              <w:rPr>
                <w:b/>
                <w:bCs/>
              </w:rPr>
              <w:t>Average Zone</w:t>
            </w:r>
          </w:p>
        </w:tc>
        <w:tc>
          <w:tcPr>
            <w:tcW w:w="2404" w:type="dxa"/>
          </w:tcPr>
          <w:p w14:paraId="4DDE054F" w14:textId="7E6C201F" w:rsidR="004536E4" w:rsidRPr="00A94043" w:rsidRDefault="004536E4" w:rsidP="00A94043">
            <w:pPr>
              <w:jc w:val="center"/>
            </w:pPr>
            <w:r w:rsidRPr="00A94043">
              <w:t>840</w:t>
            </w:r>
          </w:p>
        </w:tc>
        <w:tc>
          <w:tcPr>
            <w:tcW w:w="2404" w:type="dxa"/>
          </w:tcPr>
          <w:p w14:paraId="597E8A3B" w14:textId="45CB8F92" w:rsidR="004536E4" w:rsidRPr="00A94043" w:rsidRDefault="004536E4" w:rsidP="00A94043">
            <w:pPr>
              <w:jc w:val="center"/>
            </w:pPr>
            <w:r w:rsidRPr="00A94043">
              <w:t>6629</w:t>
            </w:r>
          </w:p>
        </w:tc>
        <w:tc>
          <w:tcPr>
            <w:tcW w:w="2404" w:type="dxa"/>
          </w:tcPr>
          <w:p w14:paraId="6689CDCD" w14:textId="09FAEE2E" w:rsidR="004536E4" w:rsidRPr="00A94043" w:rsidRDefault="004536E4" w:rsidP="00A94043">
            <w:pPr>
              <w:jc w:val="center"/>
            </w:pPr>
            <w:r w:rsidRPr="00A94043">
              <w:t>1291</w:t>
            </w:r>
          </w:p>
        </w:tc>
      </w:tr>
      <w:tr w:rsidR="004536E4" w:rsidRPr="00A94043" w14:paraId="1D6A7E8D" w14:textId="77777777" w:rsidTr="004536E4">
        <w:tc>
          <w:tcPr>
            <w:tcW w:w="2404" w:type="dxa"/>
          </w:tcPr>
          <w:p w14:paraId="262BEAD1" w14:textId="69BCE421" w:rsidR="004536E4" w:rsidRPr="00A94043" w:rsidRDefault="004536E4" w:rsidP="004536E4">
            <w:pPr>
              <w:rPr>
                <w:b/>
                <w:bCs/>
              </w:rPr>
            </w:pPr>
            <w:r w:rsidRPr="00A94043">
              <w:rPr>
                <w:b/>
                <w:bCs/>
              </w:rPr>
              <w:t>Cold Zone</w:t>
            </w:r>
          </w:p>
        </w:tc>
        <w:tc>
          <w:tcPr>
            <w:tcW w:w="2404" w:type="dxa"/>
          </w:tcPr>
          <w:p w14:paraId="7DDC2D29" w14:textId="3EC2F78C" w:rsidR="004536E4" w:rsidRPr="00A94043" w:rsidRDefault="004536E4" w:rsidP="00A94043">
            <w:pPr>
              <w:jc w:val="center"/>
            </w:pPr>
            <w:r w:rsidRPr="00A94043">
              <w:t>545</w:t>
            </w:r>
          </w:p>
        </w:tc>
        <w:tc>
          <w:tcPr>
            <w:tcW w:w="2404" w:type="dxa"/>
          </w:tcPr>
          <w:p w14:paraId="02BD8AEA" w14:textId="0229CC47" w:rsidR="004536E4" w:rsidRPr="00A94043" w:rsidRDefault="004536E4" w:rsidP="00A94043">
            <w:pPr>
              <w:jc w:val="center"/>
            </w:pPr>
            <w:r w:rsidRPr="00A94043">
              <w:t>5555</w:t>
            </w:r>
          </w:p>
        </w:tc>
        <w:tc>
          <w:tcPr>
            <w:tcW w:w="2404" w:type="dxa"/>
          </w:tcPr>
          <w:p w14:paraId="3C86E0CA" w14:textId="0E1F9803" w:rsidR="004536E4" w:rsidRPr="00A94043" w:rsidRDefault="004536E4" w:rsidP="00A94043">
            <w:pPr>
              <w:jc w:val="center"/>
            </w:pPr>
            <w:r w:rsidRPr="00A94043">
              <w:t>2660</w:t>
            </w:r>
          </w:p>
        </w:tc>
      </w:tr>
    </w:tbl>
    <w:p w14:paraId="4DB2D79A" w14:textId="3351C684" w:rsidR="004536E4" w:rsidRPr="00A94043" w:rsidRDefault="004536E4" w:rsidP="00A94043">
      <w:r w:rsidRPr="00A94043">
        <w:t>*For heating only products, disconnected mode replaces cooling mode. For cooling only products, disconnected mode replaces heating mode.</w:t>
      </w:r>
    </w:p>
    <w:p w14:paraId="148BC68B" w14:textId="28E2F934" w:rsidR="005F319C" w:rsidRPr="00B930ED" w:rsidRDefault="00AD3CD9" w:rsidP="00E31535">
      <w:r>
        <w:t xml:space="preserve">Based on </w:t>
      </w:r>
      <w:r w:rsidR="005F446D">
        <w:t xml:space="preserve">TWG </w:t>
      </w:r>
      <w:r>
        <w:t>consultation</w:t>
      </w:r>
      <w:r w:rsidR="005F446D">
        <w:t>s</w:t>
      </w:r>
      <w:r w:rsidR="00FA1EA6">
        <w:t>,</w:t>
      </w:r>
      <w:r>
        <w:t xml:space="preserve"> </w:t>
      </w:r>
      <w:r w:rsidR="005F446D">
        <w:t>it is proposed that</w:t>
      </w:r>
      <w:r w:rsidR="00135337">
        <w:t xml:space="preserve"> </w:t>
      </w:r>
      <w:r w:rsidR="001F636C">
        <w:t xml:space="preserve">under </w:t>
      </w:r>
      <w:r w:rsidR="005F319C" w:rsidRPr="00A94043">
        <w:t>the space heater compar</w:t>
      </w:r>
      <w:r w:rsidR="00F325D4" w:rsidRPr="00A94043">
        <w:t>ison</w:t>
      </w:r>
      <w:r w:rsidR="005F319C" w:rsidRPr="00A94043">
        <w:t xml:space="preserve"> methodology</w:t>
      </w:r>
      <w:r w:rsidR="005F319C" w:rsidRPr="00B930ED">
        <w:t>:</w:t>
      </w:r>
    </w:p>
    <w:p w14:paraId="45F28A61" w14:textId="41B8B3B9" w:rsidR="005F319C" w:rsidRPr="00B930ED" w:rsidRDefault="005F319C" w:rsidP="00D90977">
      <w:pPr>
        <w:pStyle w:val="ListParagraph"/>
        <w:numPr>
          <w:ilvl w:val="0"/>
          <w:numId w:val="6"/>
        </w:numPr>
      </w:pPr>
      <w:r w:rsidRPr="00B930ED">
        <w:t xml:space="preserve">for fixed (non-portable), </w:t>
      </w:r>
      <w:r w:rsidR="00B930ED">
        <w:t>heating</w:t>
      </w:r>
      <w:r w:rsidR="00276CDD">
        <w:t xml:space="preserve"> </w:t>
      </w:r>
      <w:r w:rsidR="00B930ED">
        <w:t xml:space="preserve">only </w:t>
      </w:r>
      <w:r w:rsidRPr="00B930ED">
        <w:t>heaters</w:t>
      </w:r>
      <w:r w:rsidR="00B930ED">
        <w:t xml:space="preserve"> (not reverse cycle air conditioners)</w:t>
      </w:r>
      <w:r w:rsidRPr="00B930ED">
        <w:t xml:space="preserve"> the cooling mode hours will be considered as inactive (standby) hours</w:t>
      </w:r>
    </w:p>
    <w:p w14:paraId="727562EE" w14:textId="0108F8B3" w:rsidR="005F319C" w:rsidRPr="00B930ED" w:rsidRDefault="005F319C" w:rsidP="00D90977">
      <w:pPr>
        <w:pStyle w:val="ListParagraph"/>
        <w:numPr>
          <w:ilvl w:val="0"/>
          <w:numId w:val="6"/>
        </w:numPr>
      </w:pPr>
      <w:r w:rsidRPr="00B930ED">
        <w:t xml:space="preserve">for portable, </w:t>
      </w:r>
      <w:r w:rsidR="00B930ED">
        <w:t xml:space="preserve"> heating</w:t>
      </w:r>
      <w:r w:rsidR="00276CDD">
        <w:t xml:space="preserve"> </w:t>
      </w:r>
      <w:r w:rsidR="00B930ED">
        <w:t>only</w:t>
      </w:r>
      <w:r w:rsidRPr="00B930ED">
        <w:t xml:space="preserve"> heaters</w:t>
      </w:r>
      <w:r w:rsidR="00B930ED">
        <w:t xml:space="preserve"> (not reverse cycle air conditioners)</w:t>
      </w:r>
      <w:r w:rsidRPr="00B930ED">
        <w:t xml:space="preserve"> the cooling season (both the cooling mode hours and the inactive mode hours which occur during the cooling season) will be considered as disconnected hours</w:t>
      </w:r>
      <w:r w:rsidR="00F325D4" w:rsidRPr="00B930ED">
        <w:t>, and the heating season inactive hours considered as inactive (standby) hours</w:t>
      </w:r>
      <w:r w:rsidRPr="00B930ED">
        <w:t>.</w:t>
      </w:r>
    </w:p>
    <w:p w14:paraId="03CAD628" w14:textId="39E88A14" w:rsidR="00F325D4" w:rsidRPr="00A94043" w:rsidRDefault="00F325D4" w:rsidP="00F325D4">
      <w:r w:rsidRPr="00A94043">
        <w:t xml:space="preserve">The more detailed breakdown of cooling and heating season hours and inactive hours </w:t>
      </w:r>
      <w:r w:rsidR="00A45726" w:rsidRPr="00A94043">
        <w:t xml:space="preserve">for each season </w:t>
      </w:r>
      <w:r w:rsidRPr="00A94043">
        <w:t>is provided in</w:t>
      </w:r>
      <w:r w:rsidR="00AA40C1" w:rsidRPr="00A94043">
        <w:t xml:space="preserve"> </w:t>
      </w:r>
      <w:r w:rsidR="00AA40C1" w:rsidRPr="00A94043">
        <w:rPr>
          <w:color w:val="2B579A"/>
          <w:shd w:val="clear" w:color="auto" w:fill="E6E6E6"/>
        </w:rPr>
        <w:fldChar w:fldCharType="begin"/>
      </w:r>
      <w:r w:rsidR="00AA40C1" w:rsidRPr="00A94043">
        <w:instrText xml:space="preserve"> REF _Ref147420496 \h </w:instrText>
      </w:r>
      <w:r w:rsidR="00AA40C1" w:rsidRPr="00A94043">
        <w:rPr>
          <w:color w:val="2B579A"/>
          <w:shd w:val="clear" w:color="auto" w:fill="E6E6E6"/>
        </w:rPr>
      </w:r>
      <w:r w:rsidR="00AA40C1" w:rsidRPr="00A94043">
        <w:rPr>
          <w:color w:val="2B579A"/>
          <w:shd w:val="clear" w:color="auto" w:fill="E6E6E6"/>
        </w:rPr>
        <w:fldChar w:fldCharType="separate"/>
      </w:r>
      <w:r w:rsidR="007068DD" w:rsidRPr="00A94043">
        <w:t xml:space="preserve">Table </w:t>
      </w:r>
      <w:r w:rsidR="007068DD">
        <w:rPr>
          <w:noProof/>
        </w:rPr>
        <w:t>3</w:t>
      </w:r>
      <w:r w:rsidR="00AA40C1" w:rsidRPr="00A94043">
        <w:rPr>
          <w:color w:val="2B579A"/>
          <w:shd w:val="clear" w:color="auto" w:fill="E6E6E6"/>
        </w:rPr>
        <w:fldChar w:fldCharType="end"/>
      </w:r>
      <w:r w:rsidRPr="00A94043">
        <w:t>.</w:t>
      </w:r>
    </w:p>
    <w:p w14:paraId="581BFB52" w14:textId="3CDD8881" w:rsidR="00F325D4" w:rsidRPr="00A94043" w:rsidRDefault="00AA40C1" w:rsidP="00AA40C1">
      <w:pPr>
        <w:pStyle w:val="Caption"/>
      </w:pPr>
      <w:bookmarkStart w:id="62" w:name="_Ref147420496"/>
      <w:bookmarkStart w:id="63" w:name="_Toc175311869"/>
      <w:r w:rsidRPr="00A94043">
        <w:t xml:space="preserve">Table </w:t>
      </w:r>
      <w:r w:rsidRPr="00A94043">
        <w:rPr>
          <w:color w:val="2B579A"/>
          <w:shd w:val="clear" w:color="auto" w:fill="E6E6E6"/>
        </w:rPr>
        <w:fldChar w:fldCharType="begin"/>
      </w:r>
      <w:r w:rsidRPr="00A94043">
        <w:instrText>SEQ Table \* ARABIC</w:instrText>
      </w:r>
      <w:r w:rsidRPr="00A94043">
        <w:rPr>
          <w:color w:val="2B579A"/>
          <w:shd w:val="clear" w:color="auto" w:fill="E6E6E6"/>
        </w:rPr>
        <w:fldChar w:fldCharType="separate"/>
      </w:r>
      <w:r w:rsidR="007068DD">
        <w:rPr>
          <w:noProof/>
        </w:rPr>
        <w:t>3</w:t>
      </w:r>
      <w:r w:rsidRPr="00A94043">
        <w:rPr>
          <w:color w:val="2B579A"/>
          <w:shd w:val="clear" w:color="auto" w:fill="E6E6E6"/>
        </w:rPr>
        <w:fldChar w:fldCharType="end"/>
      </w:r>
      <w:bookmarkEnd w:id="62"/>
      <w:r w:rsidRPr="00A94043">
        <w:t>: Heating and Cooling Season Hours and Inactive Hours</w:t>
      </w:r>
      <w:bookmarkEnd w:id="63"/>
    </w:p>
    <w:tbl>
      <w:tblPr>
        <w:tblStyle w:val="TableGrid"/>
        <w:tblW w:w="0" w:type="auto"/>
        <w:tblLook w:val="04A0" w:firstRow="1" w:lastRow="0" w:firstColumn="1" w:lastColumn="0" w:noHBand="0" w:noVBand="1"/>
      </w:tblPr>
      <w:tblGrid>
        <w:gridCol w:w="2122"/>
        <w:gridCol w:w="1873"/>
        <w:gridCol w:w="1874"/>
        <w:gridCol w:w="1873"/>
        <w:gridCol w:w="1874"/>
      </w:tblGrid>
      <w:tr w:rsidR="00695B41" w:rsidRPr="00A94043" w14:paraId="0DF963CB" w14:textId="77777777" w:rsidTr="00445F2F">
        <w:trPr>
          <w:cantSplit/>
          <w:tblHeader/>
        </w:trPr>
        <w:tc>
          <w:tcPr>
            <w:tcW w:w="2122" w:type="dxa"/>
          </w:tcPr>
          <w:p w14:paraId="4BA8367F" w14:textId="77777777" w:rsidR="00695B41" w:rsidRPr="00053DD9" w:rsidRDefault="00695B41">
            <w:pPr>
              <w:rPr>
                <w:b/>
                <w:bCs/>
              </w:rPr>
            </w:pPr>
            <w:r w:rsidRPr="00053DD9">
              <w:rPr>
                <w:b/>
                <w:bCs/>
              </w:rPr>
              <w:t>Climate Zone</w:t>
            </w:r>
          </w:p>
        </w:tc>
        <w:tc>
          <w:tcPr>
            <w:tcW w:w="1873" w:type="dxa"/>
          </w:tcPr>
          <w:p w14:paraId="0F3F7E8E" w14:textId="547EAA26" w:rsidR="00695B41" w:rsidRPr="00A94043" w:rsidRDefault="00695B41">
            <w:pPr>
              <w:jc w:val="center"/>
              <w:rPr>
                <w:b/>
                <w:bCs/>
              </w:rPr>
            </w:pPr>
            <w:r w:rsidRPr="00A94043">
              <w:rPr>
                <w:b/>
                <w:bCs/>
              </w:rPr>
              <w:t xml:space="preserve">Heating </w:t>
            </w:r>
            <w:r>
              <w:rPr>
                <w:b/>
                <w:bCs/>
              </w:rPr>
              <w:t>Season</w:t>
            </w:r>
            <w:r w:rsidR="00781850">
              <w:rPr>
                <w:b/>
                <w:bCs/>
              </w:rPr>
              <w:t>*</w:t>
            </w:r>
            <w:r>
              <w:rPr>
                <w:b/>
                <w:bCs/>
              </w:rPr>
              <w:t xml:space="preserve"> Active </w:t>
            </w:r>
            <w:r w:rsidRPr="00A94043">
              <w:rPr>
                <w:b/>
                <w:bCs/>
              </w:rPr>
              <w:t>Hours</w:t>
            </w:r>
          </w:p>
        </w:tc>
        <w:tc>
          <w:tcPr>
            <w:tcW w:w="1874" w:type="dxa"/>
          </w:tcPr>
          <w:p w14:paraId="11E6CDF4" w14:textId="1E72F2D6" w:rsidR="00695B41" w:rsidRPr="00A94043" w:rsidRDefault="00695B41">
            <w:pPr>
              <w:jc w:val="center"/>
              <w:rPr>
                <w:b/>
                <w:bCs/>
              </w:rPr>
            </w:pPr>
            <w:r>
              <w:rPr>
                <w:b/>
                <w:bCs/>
              </w:rPr>
              <w:t>Heating Season</w:t>
            </w:r>
            <w:r w:rsidR="00781850">
              <w:rPr>
                <w:b/>
                <w:bCs/>
              </w:rPr>
              <w:t>*</w:t>
            </w:r>
            <w:r>
              <w:rPr>
                <w:b/>
                <w:bCs/>
              </w:rPr>
              <w:t xml:space="preserve"> </w:t>
            </w:r>
            <w:r w:rsidRPr="00A94043">
              <w:rPr>
                <w:b/>
                <w:bCs/>
              </w:rPr>
              <w:t>Inactive Hours</w:t>
            </w:r>
          </w:p>
        </w:tc>
        <w:tc>
          <w:tcPr>
            <w:tcW w:w="1873" w:type="dxa"/>
          </w:tcPr>
          <w:p w14:paraId="5E77BE3D" w14:textId="1B78ED57" w:rsidR="00695B41" w:rsidRPr="00A94043" w:rsidRDefault="00695B41">
            <w:pPr>
              <w:jc w:val="center"/>
              <w:rPr>
                <w:b/>
                <w:bCs/>
              </w:rPr>
            </w:pPr>
            <w:r w:rsidRPr="00A94043">
              <w:rPr>
                <w:b/>
                <w:bCs/>
              </w:rPr>
              <w:t xml:space="preserve">Cooling </w:t>
            </w:r>
            <w:r>
              <w:rPr>
                <w:b/>
                <w:bCs/>
              </w:rPr>
              <w:t>Season</w:t>
            </w:r>
            <w:r w:rsidR="00781850">
              <w:rPr>
                <w:b/>
                <w:bCs/>
              </w:rPr>
              <w:t>*</w:t>
            </w:r>
            <w:r>
              <w:rPr>
                <w:b/>
                <w:bCs/>
              </w:rPr>
              <w:t xml:space="preserve"> Active</w:t>
            </w:r>
            <w:r w:rsidRPr="00A94043">
              <w:rPr>
                <w:b/>
                <w:bCs/>
              </w:rPr>
              <w:t xml:space="preserve"> Hours</w:t>
            </w:r>
          </w:p>
        </w:tc>
        <w:tc>
          <w:tcPr>
            <w:tcW w:w="1874" w:type="dxa"/>
          </w:tcPr>
          <w:p w14:paraId="32CA17A2" w14:textId="20E7F240" w:rsidR="00695B41" w:rsidRPr="00A94043" w:rsidRDefault="00695B41">
            <w:pPr>
              <w:jc w:val="center"/>
              <w:rPr>
                <w:b/>
                <w:bCs/>
              </w:rPr>
            </w:pPr>
            <w:r w:rsidRPr="00A94043">
              <w:rPr>
                <w:b/>
                <w:bCs/>
              </w:rPr>
              <w:t>Cooling Season</w:t>
            </w:r>
            <w:r w:rsidR="00781850">
              <w:rPr>
                <w:b/>
                <w:bCs/>
              </w:rPr>
              <w:t>*</w:t>
            </w:r>
            <w:r>
              <w:rPr>
                <w:b/>
                <w:bCs/>
              </w:rPr>
              <w:t xml:space="preserve"> </w:t>
            </w:r>
            <w:r w:rsidRPr="00A94043">
              <w:rPr>
                <w:b/>
                <w:bCs/>
              </w:rPr>
              <w:t>Inactive Hours</w:t>
            </w:r>
          </w:p>
        </w:tc>
      </w:tr>
      <w:tr w:rsidR="00695B41" w:rsidRPr="00A94043" w14:paraId="2DC97B43" w14:textId="77777777">
        <w:tc>
          <w:tcPr>
            <w:tcW w:w="2122" w:type="dxa"/>
          </w:tcPr>
          <w:p w14:paraId="3376103B" w14:textId="77777777" w:rsidR="00695B41" w:rsidRPr="00A94043" w:rsidRDefault="00695B41">
            <w:pPr>
              <w:rPr>
                <w:b/>
                <w:bCs/>
              </w:rPr>
            </w:pPr>
            <w:r w:rsidRPr="00A94043">
              <w:rPr>
                <w:b/>
                <w:bCs/>
              </w:rPr>
              <w:t>Hot Zone</w:t>
            </w:r>
          </w:p>
        </w:tc>
        <w:tc>
          <w:tcPr>
            <w:tcW w:w="1873" w:type="dxa"/>
          </w:tcPr>
          <w:p w14:paraId="535964B9" w14:textId="77777777" w:rsidR="00695B41" w:rsidRPr="00A94043" w:rsidRDefault="00695B41">
            <w:pPr>
              <w:jc w:val="center"/>
            </w:pPr>
            <w:r w:rsidRPr="00A94043">
              <w:t>277</w:t>
            </w:r>
          </w:p>
        </w:tc>
        <w:tc>
          <w:tcPr>
            <w:tcW w:w="1874" w:type="dxa"/>
          </w:tcPr>
          <w:p w14:paraId="2779FD60" w14:textId="77777777" w:rsidR="00695B41" w:rsidRPr="00A94043" w:rsidRDefault="00695B41">
            <w:pPr>
              <w:jc w:val="center"/>
            </w:pPr>
            <w:r w:rsidRPr="00A94043">
              <w:t>2651</w:t>
            </w:r>
          </w:p>
        </w:tc>
        <w:tc>
          <w:tcPr>
            <w:tcW w:w="1873" w:type="dxa"/>
          </w:tcPr>
          <w:p w14:paraId="0DFA227F" w14:textId="77777777" w:rsidR="00695B41" w:rsidRPr="00A94043" w:rsidRDefault="00695B41">
            <w:pPr>
              <w:jc w:val="center"/>
            </w:pPr>
            <w:r w:rsidRPr="00A94043">
              <w:t>2247</w:t>
            </w:r>
          </w:p>
        </w:tc>
        <w:tc>
          <w:tcPr>
            <w:tcW w:w="1874" w:type="dxa"/>
          </w:tcPr>
          <w:p w14:paraId="500A14B6" w14:textId="77777777" w:rsidR="00695B41" w:rsidRPr="00A94043" w:rsidRDefault="00695B41">
            <w:pPr>
              <w:jc w:val="center"/>
            </w:pPr>
            <w:r w:rsidRPr="00A94043">
              <w:t>3585</w:t>
            </w:r>
          </w:p>
        </w:tc>
      </w:tr>
      <w:tr w:rsidR="00695B41" w:rsidRPr="00A94043" w14:paraId="76390AF2" w14:textId="77777777">
        <w:tc>
          <w:tcPr>
            <w:tcW w:w="2122" w:type="dxa"/>
          </w:tcPr>
          <w:p w14:paraId="258A7775" w14:textId="77777777" w:rsidR="00695B41" w:rsidRPr="00A94043" w:rsidRDefault="00695B41">
            <w:pPr>
              <w:rPr>
                <w:b/>
                <w:bCs/>
              </w:rPr>
            </w:pPr>
            <w:r w:rsidRPr="00A94043">
              <w:rPr>
                <w:b/>
                <w:bCs/>
              </w:rPr>
              <w:t>Average Zone</w:t>
            </w:r>
          </w:p>
        </w:tc>
        <w:tc>
          <w:tcPr>
            <w:tcW w:w="1873" w:type="dxa"/>
          </w:tcPr>
          <w:p w14:paraId="4C158D3C" w14:textId="77777777" w:rsidR="00695B41" w:rsidRPr="00A94043" w:rsidRDefault="00695B41">
            <w:pPr>
              <w:jc w:val="center"/>
            </w:pPr>
            <w:r w:rsidRPr="00A94043">
              <w:t>1291</w:t>
            </w:r>
          </w:p>
        </w:tc>
        <w:tc>
          <w:tcPr>
            <w:tcW w:w="1874" w:type="dxa"/>
          </w:tcPr>
          <w:p w14:paraId="71D80671" w14:textId="77777777" w:rsidR="00695B41" w:rsidRPr="00A94043" w:rsidRDefault="00695B41">
            <w:pPr>
              <w:jc w:val="center"/>
            </w:pPr>
            <w:r w:rsidRPr="00A94043">
              <w:t>2381</w:t>
            </w:r>
          </w:p>
        </w:tc>
        <w:tc>
          <w:tcPr>
            <w:tcW w:w="1873" w:type="dxa"/>
          </w:tcPr>
          <w:p w14:paraId="077C207B" w14:textId="77777777" w:rsidR="00695B41" w:rsidRPr="00A94043" w:rsidRDefault="00695B41">
            <w:pPr>
              <w:jc w:val="center"/>
            </w:pPr>
            <w:r w:rsidRPr="00A94043">
              <w:t>840</w:t>
            </w:r>
          </w:p>
        </w:tc>
        <w:tc>
          <w:tcPr>
            <w:tcW w:w="1874" w:type="dxa"/>
          </w:tcPr>
          <w:p w14:paraId="3FF6B2E0" w14:textId="77777777" w:rsidR="00695B41" w:rsidRPr="00A94043" w:rsidRDefault="00695B41">
            <w:pPr>
              <w:jc w:val="center"/>
            </w:pPr>
            <w:r w:rsidRPr="00A94043">
              <w:t>4248</w:t>
            </w:r>
          </w:p>
        </w:tc>
      </w:tr>
      <w:tr w:rsidR="00695B41" w:rsidRPr="00A94043" w14:paraId="1ABBCCD4" w14:textId="77777777">
        <w:tc>
          <w:tcPr>
            <w:tcW w:w="2122" w:type="dxa"/>
          </w:tcPr>
          <w:p w14:paraId="0565E260" w14:textId="77777777" w:rsidR="00695B41" w:rsidRPr="00A94043" w:rsidRDefault="00695B41">
            <w:pPr>
              <w:rPr>
                <w:b/>
                <w:bCs/>
              </w:rPr>
            </w:pPr>
            <w:r w:rsidRPr="00A94043">
              <w:rPr>
                <w:b/>
                <w:bCs/>
              </w:rPr>
              <w:t>Cold Zone</w:t>
            </w:r>
          </w:p>
        </w:tc>
        <w:tc>
          <w:tcPr>
            <w:tcW w:w="1873" w:type="dxa"/>
          </w:tcPr>
          <w:p w14:paraId="30AA251D" w14:textId="77777777" w:rsidR="00695B41" w:rsidRPr="00A94043" w:rsidRDefault="00695B41">
            <w:pPr>
              <w:jc w:val="center"/>
            </w:pPr>
            <w:r w:rsidRPr="00A94043">
              <w:t>2660</w:t>
            </w:r>
          </w:p>
        </w:tc>
        <w:tc>
          <w:tcPr>
            <w:tcW w:w="1874" w:type="dxa"/>
          </w:tcPr>
          <w:p w14:paraId="0A5E91C5" w14:textId="77777777" w:rsidR="00695B41" w:rsidRPr="00A94043" w:rsidRDefault="00695B41">
            <w:pPr>
              <w:jc w:val="center"/>
            </w:pPr>
            <w:r w:rsidRPr="00A94043">
              <w:t>2476</w:t>
            </w:r>
          </w:p>
        </w:tc>
        <w:tc>
          <w:tcPr>
            <w:tcW w:w="1873" w:type="dxa"/>
          </w:tcPr>
          <w:p w14:paraId="690AE9F0" w14:textId="77777777" w:rsidR="00695B41" w:rsidRPr="00A94043" w:rsidRDefault="00695B41">
            <w:pPr>
              <w:jc w:val="center"/>
            </w:pPr>
            <w:r w:rsidRPr="00A94043">
              <w:t>545</w:t>
            </w:r>
          </w:p>
        </w:tc>
        <w:tc>
          <w:tcPr>
            <w:tcW w:w="1874" w:type="dxa"/>
          </w:tcPr>
          <w:p w14:paraId="62BD7EF1" w14:textId="77777777" w:rsidR="00695B41" w:rsidRPr="00A94043" w:rsidRDefault="00695B41">
            <w:pPr>
              <w:jc w:val="center"/>
            </w:pPr>
            <w:r w:rsidRPr="00A94043">
              <w:t>3079</w:t>
            </w:r>
          </w:p>
        </w:tc>
      </w:tr>
    </w:tbl>
    <w:p w14:paraId="542FDB11" w14:textId="47B5F3CF" w:rsidR="00AA40C1" w:rsidRPr="00A94043" w:rsidRDefault="00AA40C1" w:rsidP="00AA40C1">
      <w:r w:rsidRPr="00A94043">
        <w:t xml:space="preserve">*Based on </w:t>
      </w:r>
      <w:r w:rsidR="00A54BA5" w:rsidRPr="00A94043">
        <w:t xml:space="preserve">a </w:t>
      </w:r>
      <w:r w:rsidRPr="00A94043">
        <w:t>heating season of June-September in the Hot Zone, May-September in the Average Zone and April-October in the Cold Zone, and cooling season for the balance of the year.</w:t>
      </w:r>
    </w:p>
    <w:p w14:paraId="5307454F" w14:textId="77777777" w:rsidR="007068DD" w:rsidRDefault="00DA3BBF">
      <w:pPr>
        <w:spacing w:after="0" w:line="240" w:lineRule="auto"/>
        <w:rPr>
          <w:i/>
          <w:iCs/>
          <w:color w:val="1F497D" w:themeColor="text2"/>
          <w:sz w:val="18"/>
          <w:szCs w:val="18"/>
        </w:rPr>
      </w:pPr>
      <w:r w:rsidRPr="00A94043">
        <w:t xml:space="preserve">Applying the above definitions for fixed and portable space heaters results in the </w:t>
      </w:r>
      <w:r w:rsidR="00FF11CB">
        <w:t>inactive</w:t>
      </w:r>
      <w:r w:rsidR="00FF11CB" w:rsidRPr="00A94043">
        <w:t xml:space="preserve"> </w:t>
      </w:r>
      <w:r w:rsidRPr="00A94043">
        <w:t>hours summarised in</w:t>
      </w:r>
      <w:r w:rsidR="00256550">
        <w:t xml:space="preserve"> </w:t>
      </w:r>
      <w:r w:rsidRPr="00A94043">
        <w:fldChar w:fldCharType="begin"/>
      </w:r>
      <w:r w:rsidRPr="00A94043">
        <w:instrText xml:space="preserve"> REF _Ref158725583 \h </w:instrText>
      </w:r>
      <w:r w:rsidRPr="00A94043">
        <w:fldChar w:fldCharType="separate"/>
      </w:r>
      <w:r w:rsidR="007068DD">
        <w:br w:type="page"/>
      </w:r>
    </w:p>
    <w:p w14:paraId="1C866C65" w14:textId="2992EDAA" w:rsidR="00FF11CB" w:rsidRPr="004312FE" w:rsidRDefault="007068DD" w:rsidP="003617FE">
      <w:pPr>
        <w:spacing w:after="0" w:line="240" w:lineRule="auto"/>
        <w:rPr>
          <w:i/>
          <w:iCs/>
          <w:color w:val="1F497D" w:themeColor="text2"/>
          <w:sz w:val="18"/>
          <w:szCs w:val="18"/>
        </w:rPr>
      </w:pPr>
      <w:r w:rsidRPr="00A94043">
        <w:lastRenderedPageBreak/>
        <w:t xml:space="preserve">Table </w:t>
      </w:r>
      <w:r>
        <w:rPr>
          <w:noProof/>
        </w:rPr>
        <w:t>4</w:t>
      </w:r>
      <w:r w:rsidR="00DA3BBF" w:rsidRPr="00A94043">
        <w:fldChar w:fldCharType="end"/>
      </w:r>
      <w:r w:rsidR="00DA3BBF" w:rsidRPr="00A94043">
        <w:t xml:space="preserve">, and compared to the effective </w:t>
      </w:r>
      <w:r w:rsidR="00FF11CB">
        <w:t>inactive</w:t>
      </w:r>
      <w:r w:rsidR="00FF11CB" w:rsidRPr="00A94043">
        <w:t xml:space="preserve"> </w:t>
      </w:r>
      <w:r w:rsidR="00DA3BBF" w:rsidRPr="00A94043">
        <w:t>hours assigned to heating in the ACCM.</w:t>
      </w:r>
      <w:r w:rsidR="00FF11CB">
        <w:t xml:space="preserve"> </w:t>
      </w:r>
      <w:r w:rsidR="00FF11CB" w:rsidRPr="00A94043">
        <w:t xml:space="preserve">The Annual Inactive Energy Consumption (IAEC) </w:t>
      </w:r>
      <w:r w:rsidR="00FF11CB">
        <w:t xml:space="preserve">is defined as </w:t>
      </w:r>
      <w:r w:rsidR="00FF11CB" w:rsidRPr="00A94043">
        <w:t>the product of the inactive power consumption Pia (or Standby power consumption) and the number of</w:t>
      </w:r>
      <w:r w:rsidR="00FF11CB">
        <w:t xml:space="preserve"> </w:t>
      </w:r>
      <w:r w:rsidR="00FF11CB" w:rsidRPr="00A94043">
        <w:t>hours of inactive mode</w:t>
      </w:r>
      <w:r w:rsidR="00FF11CB">
        <w:t xml:space="preserve"> (or Standby hours). </w:t>
      </w:r>
    </w:p>
    <w:p w14:paraId="4A0019E6" w14:textId="50A3F284" w:rsidR="00FF11CB" w:rsidRPr="00FF11CB" w:rsidRDefault="00FF11CB" w:rsidP="0001564A">
      <w:pPr>
        <w:jc w:val="center"/>
      </w:pPr>
      <w:r w:rsidRPr="00A94043">
        <w:rPr>
          <w:i/>
          <w:iCs/>
        </w:rPr>
        <w:t>Annual Inactive Energy Consumption</w:t>
      </w:r>
      <w:r w:rsidRPr="00A94043">
        <w:t xml:space="preserve"> (</w:t>
      </w:r>
      <w:r w:rsidRPr="00A94043">
        <w:rPr>
          <w:i/>
          <w:iCs/>
        </w:rPr>
        <w:t>IAEC</w:t>
      </w:r>
      <w:r w:rsidRPr="00A94043">
        <w:t>)</w:t>
      </w:r>
      <w:r>
        <w:t xml:space="preserve"> = </w:t>
      </w:r>
      <w:r>
        <w:rPr>
          <w:i/>
          <w:iCs/>
        </w:rPr>
        <w:t>Inactive Power Consumption</w:t>
      </w:r>
      <w:r>
        <w:t xml:space="preserve"> (</w:t>
      </w:r>
      <w:r w:rsidRPr="0001564A">
        <w:rPr>
          <w:i/>
          <w:iCs/>
        </w:rPr>
        <w:t>P</w:t>
      </w:r>
      <w:r w:rsidRPr="0001564A">
        <w:rPr>
          <w:i/>
          <w:iCs/>
          <w:vertAlign w:val="subscript"/>
        </w:rPr>
        <w:t>ia</w:t>
      </w:r>
      <w:r>
        <w:t xml:space="preserve">) x </w:t>
      </w:r>
      <w:r w:rsidRPr="0001564A">
        <w:rPr>
          <w:i/>
          <w:iCs/>
        </w:rPr>
        <w:t>Inactive Hours</w:t>
      </w:r>
      <w:r>
        <w:rPr>
          <w:i/>
          <w:iCs/>
        </w:rPr>
        <w:t xml:space="preserve"> </w:t>
      </w:r>
      <w:r w:rsidRPr="0001564A">
        <w:t>(</w:t>
      </w:r>
      <w:r>
        <w:rPr>
          <w:i/>
          <w:iCs/>
        </w:rPr>
        <w:t>H</w:t>
      </w:r>
      <w:r>
        <w:rPr>
          <w:i/>
          <w:iCs/>
          <w:vertAlign w:val="subscript"/>
        </w:rPr>
        <w:t>ia</w:t>
      </w:r>
      <w:r w:rsidRPr="0001564A">
        <w:t>)</w:t>
      </w:r>
    </w:p>
    <w:p w14:paraId="4911B4E3" w14:textId="7A2FE913" w:rsidR="00DA3BBF" w:rsidRPr="00A94043" w:rsidRDefault="00FF11CB" w:rsidP="00AA40C1">
      <w:r>
        <w:t xml:space="preserve">Example annual inactive energy consumption results are provided in </w:t>
      </w:r>
      <w:r w:rsidR="00BE666F">
        <w:fldChar w:fldCharType="begin"/>
      </w:r>
      <w:r w:rsidR="00BE666F">
        <w:instrText xml:space="preserve"> REF _Ref159309845 \h </w:instrText>
      </w:r>
      <w:r w:rsidR="00BE666F">
        <w:fldChar w:fldCharType="separate"/>
      </w:r>
      <w:r w:rsidR="007068DD" w:rsidRPr="004F5C1E">
        <w:t>Appendix 4:  Example data and results</w:t>
      </w:r>
      <w:r w:rsidR="00BE666F">
        <w:fldChar w:fldCharType="end"/>
      </w:r>
      <w:r w:rsidR="00BE666F">
        <w:t>.</w:t>
      </w:r>
    </w:p>
    <w:p w14:paraId="7883C955" w14:textId="77777777" w:rsidR="003617FE" w:rsidRDefault="003617FE">
      <w:pPr>
        <w:spacing w:after="0" w:line="240" w:lineRule="auto"/>
        <w:rPr>
          <w:i/>
          <w:iCs/>
          <w:color w:val="1F497D" w:themeColor="text2"/>
          <w:sz w:val="18"/>
          <w:szCs w:val="18"/>
        </w:rPr>
      </w:pPr>
      <w:bookmarkStart w:id="64" w:name="_Ref158725583"/>
      <w:r>
        <w:br w:type="page"/>
      </w:r>
    </w:p>
    <w:p w14:paraId="7D381C51" w14:textId="585DAC42" w:rsidR="00DA3BBF" w:rsidRPr="00A94043" w:rsidRDefault="00DA3BBF" w:rsidP="00DA3BBF">
      <w:pPr>
        <w:pStyle w:val="Caption"/>
      </w:pPr>
      <w:bookmarkStart w:id="65" w:name="_Toc175311870"/>
      <w:r w:rsidRPr="00A94043">
        <w:lastRenderedPageBreak/>
        <w:t xml:space="preserve">Table </w:t>
      </w:r>
      <w:r>
        <w:fldChar w:fldCharType="begin"/>
      </w:r>
      <w:r>
        <w:instrText>SEQ Table \* ARABIC</w:instrText>
      </w:r>
      <w:r>
        <w:fldChar w:fldCharType="separate"/>
      </w:r>
      <w:r w:rsidR="007068DD">
        <w:rPr>
          <w:noProof/>
        </w:rPr>
        <w:t>4</w:t>
      </w:r>
      <w:r>
        <w:fldChar w:fldCharType="end"/>
      </w:r>
      <w:bookmarkEnd w:id="64"/>
      <w:r w:rsidRPr="00A94043">
        <w:t xml:space="preserve">: Heating </w:t>
      </w:r>
      <w:r w:rsidR="00083891" w:rsidRPr="00A94043">
        <w:t>Standby Hours</w:t>
      </w:r>
      <w:r w:rsidRPr="00A94043">
        <w:t>, by Climate Zone</w:t>
      </w:r>
      <w:r w:rsidR="003C6FEB">
        <w:t>, according to the Comparison Methodology</w:t>
      </w:r>
      <w:bookmarkEnd w:id="65"/>
    </w:p>
    <w:tbl>
      <w:tblPr>
        <w:tblStyle w:val="TableGrid"/>
        <w:tblW w:w="0" w:type="auto"/>
        <w:tblLook w:val="04A0" w:firstRow="1" w:lastRow="0" w:firstColumn="1" w:lastColumn="0" w:noHBand="0" w:noVBand="1"/>
        <w:tblCaption w:val="Heating Standby Hours, by Climate Zone, according to the Comparison Methodology"/>
        <w:tblDescription w:val="This table describes the Heating Standby Hours, by Climate Zone, according to the Comparison Methodology. It provides information about ACCM Heating Inactive Hours = 0.4 x Inactive Hours (h), Portable Weather Independent Heater Inactive Hours (h) and Fixed Weather Independent Heater Inactive Hours (h) for Hot Zone, Average Zone and Cold Zone."/>
      </w:tblPr>
      <w:tblGrid>
        <w:gridCol w:w="4390"/>
        <w:gridCol w:w="1742"/>
        <w:gridCol w:w="1742"/>
        <w:gridCol w:w="1742"/>
      </w:tblGrid>
      <w:tr w:rsidR="00DA3BBF" w:rsidRPr="00A94043" w14:paraId="44BF67E1" w14:textId="77777777" w:rsidTr="00F567D8">
        <w:trPr>
          <w:tblHeader/>
        </w:trPr>
        <w:tc>
          <w:tcPr>
            <w:tcW w:w="4390" w:type="dxa"/>
          </w:tcPr>
          <w:p w14:paraId="6CA353BF" w14:textId="56BC7DAE" w:rsidR="00DA3BBF" w:rsidRPr="00A94043" w:rsidRDefault="00837E69">
            <w:pPr>
              <w:rPr>
                <w:b/>
                <w:bCs/>
              </w:rPr>
            </w:pPr>
            <w:r>
              <w:rPr>
                <w:b/>
                <w:bCs/>
              </w:rPr>
              <w:t xml:space="preserve">Type of </w:t>
            </w:r>
            <w:r w:rsidR="005D19D9">
              <w:rPr>
                <w:b/>
                <w:bCs/>
              </w:rPr>
              <w:t>Heat</w:t>
            </w:r>
            <w:r w:rsidR="00CD64F1">
              <w:rPr>
                <w:b/>
                <w:bCs/>
              </w:rPr>
              <w:t>er</w:t>
            </w:r>
            <w:r w:rsidR="00D47D3E">
              <w:rPr>
                <w:b/>
                <w:bCs/>
              </w:rPr>
              <w:t xml:space="preserve"> Standby Hours</w:t>
            </w:r>
          </w:p>
        </w:tc>
        <w:tc>
          <w:tcPr>
            <w:tcW w:w="1742" w:type="dxa"/>
          </w:tcPr>
          <w:p w14:paraId="50D0BE32" w14:textId="77777777" w:rsidR="00DA3BBF" w:rsidRPr="00A94043" w:rsidRDefault="00DA3BBF">
            <w:pPr>
              <w:jc w:val="center"/>
              <w:rPr>
                <w:b/>
                <w:bCs/>
              </w:rPr>
            </w:pPr>
            <w:r w:rsidRPr="00A94043">
              <w:rPr>
                <w:b/>
                <w:bCs/>
              </w:rPr>
              <w:t>Hot Zone</w:t>
            </w:r>
          </w:p>
        </w:tc>
        <w:tc>
          <w:tcPr>
            <w:tcW w:w="1742" w:type="dxa"/>
          </w:tcPr>
          <w:p w14:paraId="731D6F15" w14:textId="77777777" w:rsidR="00DA3BBF" w:rsidRPr="00A94043" w:rsidRDefault="00DA3BBF">
            <w:pPr>
              <w:jc w:val="center"/>
              <w:rPr>
                <w:b/>
                <w:bCs/>
              </w:rPr>
            </w:pPr>
            <w:r w:rsidRPr="00A94043">
              <w:rPr>
                <w:b/>
                <w:bCs/>
              </w:rPr>
              <w:t>Average Zone</w:t>
            </w:r>
          </w:p>
        </w:tc>
        <w:tc>
          <w:tcPr>
            <w:tcW w:w="1742" w:type="dxa"/>
          </w:tcPr>
          <w:p w14:paraId="4B3B808C" w14:textId="77777777" w:rsidR="00DA3BBF" w:rsidRPr="00A94043" w:rsidRDefault="00DA3BBF">
            <w:pPr>
              <w:jc w:val="center"/>
              <w:rPr>
                <w:b/>
                <w:bCs/>
              </w:rPr>
            </w:pPr>
            <w:r w:rsidRPr="00A94043">
              <w:rPr>
                <w:b/>
                <w:bCs/>
              </w:rPr>
              <w:t>Cold Zone</w:t>
            </w:r>
          </w:p>
        </w:tc>
      </w:tr>
      <w:tr w:rsidR="00DA3BBF" w:rsidRPr="00A94043" w14:paraId="5DE424A8" w14:textId="77777777">
        <w:tc>
          <w:tcPr>
            <w:tcW w:w="4390" w:type="dxa"/>
          </w:tcPr>
          <w:p w14:paraId="7E010797" w14:textId="6172BA5C" w:rsidR="00DA3BBF" w:rsidRPr="00A94043" w:rsidRDefault="00DA3BBF">
            <w:pPr>
              <w:rPr>
                <w:b/>
                <w:bCs/>
              </w:rPr>
            </w:pPr>
            <w:r w:rsidRPr="00A94043">
              <w:rPr>
                <w:b/>
                <w:bCs/>
              </w:rPr>
              <w:t xml:space="preserve">ACCM Heating </w:t>
            </w:r>
            <w:r w:rsidR="00FF11CB">
              <w:rPr>
                <w:b/>
                <w:bCs/>
              </w:rPr>
              <w:t>Inactive</w:t>
            </w:r>
            <w:r w:rsidR="00FF11CB" w:rsidRPr="00A94043">
              <w:rPr>
                <w:b/>
                <w:bCs/>
              </w:rPr>
              <w:t xml:space="preserve"> </w:t>
            </w:r>
            <w:r w:rsidRPr="00A94043">
              <w:rPr>
                <w:b/>
                <w:bCs/>
              </w:rPr>
              <w:t>Hours = 0.4 x Inactive Hours (h)</w:t>
            </w:r>
          </w:p>
        </w:tc>
        <w:tc>
          <w:tcPr>
            <w:tcW w:w="1742" w:type="dxa"/>
          </w:tcPr>
          <w:p w14:paraId="088D186E" w14:textId="6A9E41C1" w:rsidR="00DA3BBF" w:rsidRPr="00A94043" w:rsidRDefault="00DA3BBF">
            <w:pPr>
              <w:jc w:val="center"/>
            </w:pPr>
            <w:r w:rsidRPr="00A94043">
              <w:t>2222</w:t>
            </w:r>
          </w:p>
        </w:tc>
        <w:tc>
          <w:tcPr>
            <w:tcW w:w="1742" w:type="dxa"/>
          </w:tcPr>
          <w:p w14:paraId="27EEEF15" w14:textId="642282CA" w:rsidR="00DA3BBF" w:rsidRPr="00A94043" w:rsidRDefault="00DA3BBF">
            <w:pPr>
              <w:jc w:val="center"/>
            </w:pPr>
            <w:r w:rsidRPr="00A94043">
              <w:t>2652</w:t>
            </w:r>
          </w:p>
        </w:tc>
        <w:tc>
          <w:tcPr>
            <w:tcW w:w="1742" w:type="dxa"/>
          </w:tcPr>
          <w:p w14:paraId="1456B82C" w14:textId="05F99FEB" w:rsidR="00DA3BBF" w:rsidRPr="00A94043" w:rsidRDefault="00DA3BBF">
            <w:pPr>
              <w:jc w:val="center"/>
            </w:pPr>
            <w:r w:rsidRPr="00A94043">
              <w:t>2494</w:t>
            </w:r>
          </w:p>
        </w:tc>
      </w:tr>
      <w:tr w:rsidR="00DA3BBF" w:rsidRPr="00A94043" w14:paraId="46934EDB" w14:textId="77777777">
        <w:tc>
          <w:tcPr>
            <w:tcW w:w="4390" w:type="dxa"/>
          </w:tcPr>
          <w:p w14:paraId="5E5D2026" w14:textId="64E51F65" w:rsidR="00DA3BBF" w:rsidRPr="00A94043" w:rsidRDefault="00DA3BBF">
            <w:pPr>
              <w:spacing w:after="0"/>
              <w:rPr>
                <w:b/>
                <w:bCs/>
              </w:rPr>
            </w:pPr>
            <w:r w:rsidRPr="00A94043">
              <w:rPr>
                <w:b/>
                <w:bCs/>
              </w:rPr>
              <w:t xml:space="preserve">Portable </w:t>
            </w:r>
            <w:r w:rsidR="00A021A9">
              <w:rPr>
                <w:b/>
                <w:bCs/>
              </w:rPr>
              <w:t>W</w:t>
            </w:r>
            <w:r w:rsidR="00D14A4F">
              <w:rPr>
                <w:b/>
                <w:bCs/>
              </w:rPr>
              <w:t xml:space="preserve">eather </w:t>
            </w:r>
            <w:r w:rsidR="00A021A9">
              <w:rPr>
                <w:b/>
                <w:bCs/>
              </w:rPr>
              <w:t>I</w:t>
            </w:r>
            <w:r w:rsidR="00D14A4F">
              <w:rPr>
                <w:b/>
                <w:bCs/>
              </w:rPr>
              <w:t xml:space="preserve">ndependent </w:t>
            </w:r>
            <w:r w:rsidR="00D164B2">
              <w:rPr>
                <w:b/>
                <w:bCs/>
              </w:rPr>
              <w:t>H</w:t>
            </w:r>
            <w:r w:rsidRPr="00A94043">
              <w:rPr>
                <w:b/>
                <w:bCs/>
              </w:rPr>
              <w:t xml:space="preserve">eater </w:t>
            </w:r>
            <w:r w:rsidR="00FF11CB">
              <w:rPr>
                <w:b/>
                <w:bCs/>
              </w:rPr>
              <w:t>Inactive</w:t>
            </w:r>
            <w:r w:rsidR="00FF11CB" w:rsidRPr="00A94043">
              <w:rPr>
                <w:b/>
                <w:bCs/>
              </w:rPr>
              <w:t xml:space="preserve"> </w:t>
            </w:r>
            <w:r w:rsidRPr="00A94043">
              <w:rPr>
                <w:b/>
                <w:bCs/>
              </w:rPr>
              <w:t>Hours (h)</w:t>
            </w:r>
          </w:p>
        </w:tc>
        <w:tc>
          <w:tcPr>
            <w:tcW w:w="1742" w:type="dxa"/>
          </w:tcPr>
          <w:p w14:paraId="35A731F0" w14:textId="7553020A" w:rsidR="00DA3BBF" w:rsidRPr="00A94043" w:rsidRDefault="00DA3BBF">
            <w:pPr>
              <w:jc w:val="center"/>
            </w:pPr>
            <w:r w:rsidRPr="00A94043">
              <w:t>2651</w:t>
            </w:r>
          </w:p>
        </w:tc>
        <w:tc>
          <w:tcPr>
            <w:tcW w:w="1742" w:type="dxa"/>
          </w:tcPr>
          <w:p w14:paraId="6A339FBF" w14:textId="3B8F0066" w:rsidR="00DA3BBF" w:rsidRPr="00A94043" w:rsidRDefault="00DA3BBF">
            <w:pPr>
              <w:jc w:val="center"/>
            </w:pPr>
            <w:r w:rsidRPr="00A94043">
              <w:t>2381</w:t>
            </w:r>
          </w:p>
        </w:tc>
        <w:tc>
          <w:tcPr>
            <w:tcW w:w="1742" w:type="dxa"/>
          </w:tcPr>
          <w:p w14:paraId="5984613D" w14:textId="5806085B" w:rsidR="00DA3BBF" w:rsidRPr="00A94043" w:rsidRDefault="00DA3BBF">
            <w:pPr>
              <w:jc w:val="center"/>
            </w:pPr>
            <w:r w:rsidRPr="00A94043">
              <w:t>2476</w:t>
            </w:r>
          </w:p>
        </w:tc>
      </w:tr>
      <w:tr w:rsidR="00DA3BBF" w:rsidRPr="00A94043" w14:paraId="38CB613C" w14:textId="77777777">
        <w:tc>
          <w:tcPr>
            <w:tcW w:w="4390" w:type="dxa"/>
          </w:tcPr>
          <w:p w14:paraId="1227D5CB" w14:textId="5C4043EE" w:rsidR="00DA3BBF" w:rsidRPr="00A94043" w:rsidRDefault="00DA3BBF">
            <w:pPr>
              <w:spacing w:after="0"/>
              <w:rPr>
                <w:b/>
                <w:bCs/>
              </w:rPr>
            </w:pPr>
            <w:r w:rsidRPr="00A94043">
              <w:rPr>
                <w:b/>
                <w:bCs/>
              </w:rPr>
              <w:t xml:space="preserve">Fixed </w:t>
            </w:r>
            <w:r w:rsidR="00A021A9">
              <w:rPr>
                <w:b/>
                <w:bCs/>
              </w:rPr>
              <w:t>W</w:t>
            </w:r>
            <w:r w:rsidR="00D14A4F">
              <w:rPr>
                <w:b/>
                <w:bCs/>
              </w:rPr>
              <w:t xml:space="preserve">eather </w:t>
            </w:r>
            <w:r w:rsidR="00A021A9">
              <w:rPr>
                <w:b/>
                <w:bCs/>
              </w:rPr>
              <w:t>I</w:t>
            </w:r>
            <w:r w:rsidR="00D14A4F">
              <w:rPr>
                <w:b/>
                <w:bCs/>
              </w:rPr>
              <w:t>ndependent</w:t>
            </w:r>
            <w:r w:rsidRPr="00A94043">
              <w:rPr>
                <w:b/>
                <w:bCs/>
              </w:rPr>
              <w:t xml:space="preserve"> </w:t>
            </w:r>
            <w:r w:rsidR="00D164B2">
              <w:rPr>
                <w:b/>
                <w:bCs/>
              </w:rPr>
              <w:t>H</w:t>
            </w:r>
            <w:r w:rsidRPr="00A94043">
              <w:rPr>
                <w:b/>
                <w:bCs/>
              </w:rPr>
              <w:t xml:space="preserve">eater </w:t>
            </w:r>
            <w:r w:rsidR="00FF11CB">
              <w:rPr>
                <w:b/>
                <w:bCs/>
              </w:rPr>
              <w:t>Inactive</w:t>
            </w:r>
            <w:r w:rsidR="00FF11CB" w:rsidRPr="00A94043">
              <w:rPr>
                <w:b/>
                <w:bCs/>
              </w:rPr>
              <w:t xml:space="preserve"> </w:t>
            </w:r>
            <w:r w:rsidRPr="00A94043">
              <w:rPr>
                <w:b/>
                <w:bCs/>
              </w:rPr>
              <w:t>Hours (h)</w:t>
            </w:r>
          </w:p>
        </w:tc>
        <w:tc>
          <w:tcPr>
            <w:tcW w:w="1742" w:type="dxa"/>
          </w:tcPr>
          <w:p w14:paraId="1D4184CB" w14:textId="04A6B8BF" w:rsidR="00DA3BBF" w:rsidRPr="00A94043" w:rsidRDefault="00DA3BBF">
            <w:pPr>
              <w:jc w:val="center"/>
            </w:pPr>
            <w:r w:rsidRPr="00A94043">
              <w:t>8483</w:t>
            </w:r>
          </w:p>
        </w:tc>
        <w:tc>
          <w:tcPr>
            <w:tcW w:w="1742" w:type="dxa"/>
          </w:tcPr>
          <w:p w14:paraId="7590347D" w14:textId="6410E4AD" w:rsidR="00DA3BBF" w:rsidRPr="00A94043" w:rsidRDefault="00DA3BBF">
            <w:pPr>
              <w:jc w:val="center"/>
            </w:pPr>
            <w:r w:rsidRPr="00A94043">
              <w:t>7469</w:t>
            </w:r>
          </w:p>
        </w:tc>
        <w:tc>
          <w:tcPr>
            <w:tcW w:w="1742" w:type="dxa"/>
          </w:tcPr>
          <w:p w14:paraId="383A89F6" w14:textId="707CDF8C" w:rsidR="00DA3BBF" w:rsidRPr="00A94043" w:rsidRDefault="00DA3BBF">
            <w:pPr>
              <w:jc w:val="center"/>
            </w:pPr>
            <w:r w:rsidRPr="00A94043">
              <w:t>6100</w:t>
            </w:r>
          </w:p>
        </w:tc>
      </w:tr>
    </w:tbl>
    <w:p w14:paraId="0EDA96C1" w14:textId="77777777" w:rsidR="00DA3BBF" w:rsidRPr="00A94043" w:rsidRDefault="00DA3BBF" w:rsidP="00AA40C1"/>
    <w:p w14:paraId="4EEB72ED" w14:textId="77777777" w:rsidR="005F319C" w:rsidRPr="00A94043" w:rsidRDefault="005F319C" w:rsidP="005F319C">
      <w:pPr>
        <w:pStyle w:val="Heading2"/>
      </w:pPr>
      <w:bookmarkStart w:id="66" w:name="_Toc175311923"/>
      <w:r w:rsidRPr="00A94043">
        <w:t>Heating Annual Energy Use</w:t>
      </w:r>
      <w:bookmarkEnd w:id="66"/>
    </w:p>
    <w:p w14:paraId="39A4CA8F" w14:textId="55E86DDC" w:rsidR="005F319C" w:rsidRPr="00A94043" w:rsidRDefault="005F319C" w:rsidP="005F319C">
      <w:r w:rsidRPr="00A94043">
        <w:t>The ACCM defines the Heating Annual Energy Use for air conditioners (excluding unitary single duct air conditioners) as:</w:t>
      </w:r>
    </w:p>
    <w:p w14:paraId="17CE6A42" w14:textId="77777777" w:rsidR="005F319C" w:rsidRPr="00A94043" w:rsidRDefault="005F319C" w:rsidP="005F319C">
      <w:pPr>
        <w:ind w:left="720"/>
      </w:pPr>
      <w:r w:rsidRPr="00A94043">
        <w:rPr>
          <w:i/>
          <w:iCs/>
        </w:rPr>
        <w:t>Heating Annual Energy Use</w:t>
      </w:r>
      <w:r w:rsidRPr="00A94043">
        <w:t xml:space="preserve"> = </w:t>
      </w:r>
      <w:r w:rsidRPr="00A94043">
        <w:rPr>
          <w:i/>
          <w:iCs/>
        </w:rPr>
        <w:t>Heating Seasonal Energy Consumption</w:t>
      </w:r>
      <w:r w:rsidRPr="00A94043">
        <w:t xml:space="preserve"> (</w:t>
      </w:r>
      <w:r w:rsidRPr="00A94043">
        <w:rPr>
          <w:i/>
          <w:iCs/>
        </w:rPr>
        <w:t>HSEC</w:t>
      </w:r>
      <w:r w:rsidRPr="00A94043">
        <w:t xml:space="preserve">) </w:t>
      </w:r>
    </w:p>
    <w:p w14:paraId="01FBAF56" w14:textId="12D88762" w:rsidR="005F319C" w:rsidRPr="00A94043" w:rsidRDefault="005F319C" w:rsidP="005F319C">
      <w:pPr>
        <w:ind w:left="2880" w:firstLine="720"/>
      </w:pPr>
      <w:r w:rsidRPr="00A94043">
        <w:t xml:space="preserve">+ 0.4 x </w:t>
      </w:r>
      <w:r w:rsidRPr="00A94043">
        <w:rPr>
          <w:i/>
          <w:iCs/>
        </w:rPr>
        <w:t>Annual Inactive Energy Consumption</w:t>
      </w:r>
      <w:r w:rsidRPr="00A94043">
        <w:t xml:space="preserve"> (</w:t>
      </w:r>
      <w:r w:rsidRPr="00A94043">
        <w:rPr>
          <w:i/>
          <w:iCs/>
        </w:rPr>
        <w:t>IAEC</w:t>
      </w:r>
      <w:r w:rsidRPr="00A94043">
        <w:t>)</w:t>
      </w:r>
    </w:p>
    <w:p w14:paraId="7C4AEC36" w14:textId="07579D9E" w:rsidR="005F319C" w:rsidRPr="00A94043" w:rsidRDefault="005F319C" w:rsidP="005F319C">
      <w:r w:rsidRPr="00A94043">
        <w:t xml:space="preserve">The factor 0.4 represents 40% of the Annual Inactive Energy Consumption, which is attributed to the heating cycle, and is a reasonable simplification of the number of inactive mode hours that occur during the heating season. The remaining 60% is included in the </w:t>
      </w:r>
      <w:r w:rsidRPr="00A94043">
        <w:rPr>
          <w:i/>
          <w:iCs/>
        </w:rPr>
        <w:t>Cooling Annual Energy Use</w:t>
      </w:r>
      <w:r w:rsidRPr="00A94043">
        <w:t>.</w:t>
      </w:r>
    </w:p>
    <w:p w14:paraId="285D19FF" w14:textId="0DA4BD0A" w:rsidR="005F319C" w:rsidRPr="00A94043" w:rsidRDefault="00854DEB" w:rsidP="005F319C">
      <w:r>
        <w:t xml:space="preserve">Based on TWG consultations it is proposed that </w:t>
      </w:r>
      <w:r w:rsidR="005F319C" w:rsidRPr="00A94043">
        <w:t xml:space="preserve">the space heater </w:t>
      </w:r>
      <w:r w:rsidR="00F325D4" w:rsidRPr="00A94043">
        <w:t>comparison</w:t>
      </w:r>
      <w:r w:rsidR="005F319C" w:rsidRPr="00A94043">
        <w:t xml:space="preserve"> methodology</w:t>
      </w:r>
      <w:r w:rsidR="0001712E">
        <w:t xml:space="preserve"> will regard that</w:t>
      </w:r>
      <w:r w:rsidR="005F319C" w:rsidRPr="00A94043">
        <w:t xml:space="preserve"> for heating only products, the heating annual energy use will include the full annual inactive energy consumption as defined above (with the cooling season hours considered as inactive for fixed (non-portable) products, and disconnected for portable products).</w:t>
      </w:r>
    </w:p>
    <w:p w14:paraId="5E8F18FC" w14:textId="77777777" w:rsidR="005F319C" w:rsidRPr="00A94043" w:rsidRDefault="005F319C" w:rsidP="005F319C">
      <w:pPr>
        <w:ind w:left="720"/>
      </w:pPr>
      <w:r w:rsidRPr="00A94043">
        <w:rPr>
          <w:i/>
          <w:iCs/>
        </w:rPr>
        <w:t>Heating Annual Energy Use</w:t>
      </w:r>
      <w:r w:rsidRPr="00A94043">
        <w:t xml:space="preserve"> = </w:t>
      </w:r>
      <w:r w:rsidRPr="00A94043">
        <w:rPr>
          <w:i/>
          <w:iCs/>
        </w:rPr>
        <w:t>Heating Seasonal Energy Consumption</w:t>
      </w:r>
      <w:r w:rsidRPr="00A94043">
        <w:t xml:space="preserve"> (</w:t>
      </w:r>
      <w:r w:rsidRPr="00A94043">
        <w:rPr>
          <w:i/>
          <w:iCs/>
        </w:rPr>
        <w:t>HSEC</w:t>
      </w:r>
      <w:r w:rsidRPr="00A94043">
        <w:t xml:space="preserve">) </w:t>
      </w:r>
    </w:p>
    <w:p w14:paraId="723D7056" w14:textId="125830BD" w:rsidR="005F319C" w:rsidRPr="00A94043" w:rsidRDefault="005F319C" w:rsidP="00592085">
      <w:pPr>
        <w:ind w:left="2880" w:firstLine="720"/>
      </w:pPr>
      <w:r w:rsidRPr="00A94043">
        <w:t xml:space="preserve">+ </w:t>
      </w:r>
      <w:r w:rsidRPr="00A94043">
        <w:rPr>
          <w:i/>
          <w:iCs/>
        </w:rPr>
        <w:t>Annual Inactive Energy Consumption</w:t>
      </w:r>
      <w:r w:rsidRPr="00A94043">
        <w:t xml:space="preserve"> (</w:t>
      </w:r>
      <w:r w:rsidRPr="00A94043">
        <w:rPr>
          <w:i/>
          <w:iCs/>
        </w:rPr>
        <w:t>IAEC</w:t>
      </w:r>
      <w:r w:rsidRPr="00A94043">
        <w:t>)</w:t>
      </w:r>
    </w:p>
    <w:p w14:paraId="6AAF75ED" w14:textId="287AF347" w:rsidR="005F319C" w:rsidRPr="00A94043" w:rsidRDefault="005F319C" w:rsidP="005F319C">
      <w:r w:rsidRPr="00A94043">
        <w:t>The effect of standby power consumption and standby hours is small for most heaters, but for individual products with higher levels of standby power consumption (particularly pilot burners) it can become significant.  This is particularly the case for fixed (</w:t>
      </w:r>
      <w:r w:rsidR="00972A3D" w:rsidRPr="00972A3D">
        <w:t>no</w:t>
      </w:r>
      <w:r w:rsidR="00972A3D" w:rsidRPr="00720ADF">
        <w:t>n-</w:t>
      </w:r>
      <w:r w:rsidRPr="00972A3D">
        <w:t>portable),</w:t>
      </w:r>
      <w:r w:rsidRPr="00A94043">
        <w:t xml:space="preserve"> smaller capacity units in the Hot Zone, with their corresponding low levels of heating load and large number of inactive hours. As discussed by the TWG, including 100% of the annual inactive energy consumption hours in the annual energy use and performance factors helps to ensure that focus on reducing inactive energy consumption is maintained.</w:t>
      </w:r>
    </w:p>
    <w:p w14:paraId="0A146E1F" w14:textId="77777777" w:rsidR="005F319C" w:rsidRPr="00A94043" w:rsidRDefault="005F319C" w:rsidP="005F319C">
      <w:pPr>
        <w:pStyle w:val="Heading2"/>
      </w:pPr>
      <w:bookmarkStart w:id="67" w:name="_Toc175311924"/>
      <w:r w:rsidRPr="00A94043">
        <w:t>Heating Seasonal Performance Factor</w:t>
      </w:r>
      <w:bookmarkEnd w:id="67"/>
    </w:p>
    <w:p w14:paraId="4CD16105" w14:textId="77777777" w:rsidR="005F319C" w:rsidRPr="00A94043" w:rsidRDefault="005F319C" w:rsidP="005F319C">
      <w:r w:rsidRPr="00A94043">
        <w:t>The ACCM defines the Heating Seasonal Performance Factor (HSPF) for air conditioners, in accordance with clause 6.1 of AS/NZS 3823.4.2:2014, as the ratio of the Heating Seasonal Total Load (HSTL) to the Heating Seasonal Energy Consumption (HSEC):</w:t>
      </w:r>
    </w:p>
    <w:p w14:paraId="1783DAC7" w14:textId="77777777" w:rsidR="005F319C" w:rsidRPr="00A94043" w:rsidRDefault="005F319C" w:rsidP="005F319C">
      <m:oMathPara>
        <m:oMath>
          <m:r>
            <w:rPr>
              <w:rFonts w:ascii="Cambria Math" w:hAnsi="Cambria Math"/>
            </w:rPr>
            <m:t>HSPF</m:t>
          </m:r>
          <m:r>
            <m:rPr>
              <m:sty m:val="p"/>
            </m:rPr>
            <w:rPr>
              <w:rFonts w:ascii="Cambria Math" w:hAnsi="Cambria Math"/>
            </w:rPr>
            <m:t>=</m:t>
          </m:r>
          <m:f>
            <m:fPr>
              <m:ctrlPr>
                <w:rPr>
                  <w:rFonts w:ascii="Cambria Math" w:hAnsi="Cambria Math"/>
                </w:rPr>
              </m:ctrlPr>
            </m:fPr>
            <m:num>
              <m:r>
                <w:rPr>
                  <w:rFonts w:ascii="Cambria Math" w:hAnsi="Cambria Math"/>
                </w:rPr>
                <m:t>HSTL</m:t>
              </m:r>
            </m:num>
            <m:den>
              <m:r>
                <w:rPr>
                  <w:rFonts w:ascii="Cambria Math" w:hAnsi="Cambria Math"/>
                </w:rPr>
                <m:t>HSEC</m:t>
              </m:r>
            </m:den>
          </m:f>
        </m:oMath>
      </m:oMathPara>
    </w:p>
    <w:p w14:paraId="386CD597" w14:textId="0366FF43" w:rsidR="005F319C" w:rsidRPr="00A94043" w:rsidRDefault="005F319C" w:rsidP="005F319C">
      <w:r w:rsidRPr="00A94043">
        <w:lastRenderedPageBreak/>
        <w:t xml:space="preserve">HSEC is the Heating Seasonal Energy Consumption and does not include the energy consumed in inactive mode.  Therefore, under the current ACCM, the calculation of HSPF for air conditioners does not include any consideration of the energy consumed in inactive mode (standby). While the standby power input for air conditioners does tend to be much smaller than the full power input, the large number of hours in inactive mode can lead to the standby energy consumption becoming a more significant, but still small, fraction of the annual energy use.  </w:t>
      </w:r>
    </w:p>
    <w:p w14:paraId="424ADEC4" w14:textId="77777777" w:rsidR="005F319C" w:rsidRPr="00A94043" w:rsidRDefault="005F319C" w:rsidP="005F319C">
      <w:r w:rsidRPr="00A94043">
        <w:t xml:space="preserve">The Total Heating Seasonal Performance Factor (THSPF) is also defined in </w:t>
      </w:r>
      <w:bookmarkStart w:id="68" w:name="_Hlk99522220"/>
      <w:r w:rsidRPr="00A94043">
        <w:t xml:space="preserve">AS/NZS 3823.4.2:2014 </w:t>
      </w:r>
      <w:bookmarkEnd w:id="68"/>
      <w:r w:rsidRPr="00A94043">
        <w:t>Annex B, and includes 100% of the Annual Inactive Energy Consumption, but is not utilised by the GEMS Determination:</w:t>
      </w:r>
    </w:p>
    <w:p w14:paraId="4D50E808" w14:textId="77777777" w:rsidR="005F319C" w:rsidRPr="00A94043" w:rsidRDefault="005F319C" w:rsidP="005F319C">
      <m:oMathPara>
        <m:oMath>
          <m:r>
            <w:rPr>
              <w:rFonts w:ascii="Cambria Math" w:hAnsi="Cambria Math"/>
            </w:rPr>
            <m:t>THSPF</m:t>
          </m:r>
          <m:r>
            <m:rPr>
              <m:sty m:val="p"/>
            </m:rPr>
            <w:rPr>
              <w:rFonts w:ascii="Cambria Math" w:hAnsi="Cambria Math"/>
            </w:rPr>
            <m:t>=</m:t>
          </m:r>
          <m:f>
            <m:fPr>
              <m:ctrlPr>
                <w:rPr>
                  <w:rFonts w:ascii="Cambria Math" w:hAnsi="Cambria Math"/>
                </w:rPr>
              </m:ctrlPr>
            </m:fPr>
            <m:num>
              <m:r>
                <w:rPr>
                  <w:rFonts w:ascii="Cambria Math" w:hAnsi="Cambria Math"/>
                </w:rPr>
                <m:t>HSTL</m:t>
              </m:r>
            </m:num>
            <m:den>
              <m:r>
                <w:rPr>
                  <w:rFonts w:ascii="Cambria Math" w:hAnsi="Cambria Math"/>
                </w:rPr>
                <m:t>HSEC</m:t>
              </m:r>
              <m:r>
                <m:rPr>
                  <m:sty m:val="p"/>
                </m:rPr>
                <w:rPr>
                  <w:rFonts w:ascii="Cambria Math" w:hAnsi="Cambria Math"/>
                </w:rPr>
                <m:t>+</m:t>
              </m:r>
              <m:r>
                <w:rPr>
                  <w:rFonts w:ascii="Cambria Math" w:hAnsi="Cambria Math"/>
                </w:rPr>
                <m:t>IAEC</m:t>
              </m:r>
            </m:den>
          </m:f>
        </m:oMath>
      </m:oMathPara>
    </w:p>
    <w:p w14:paraId="341E0DDA" w14:textId="2F5B5024" w:rsidR="005F319C" w:rsidRPr="00A94043" w:rsidRDefault="005F319C" w:rsidP="005F319C">
      <w:r w:rsidRPr="00A94043">
        <w:t xml:space="preserve">The air conditioner </w:t>
      </w:r>
      <w:r w:rsidR="00276CDD">
        <w:t xml:space="preserve">GEMS </w:t>
      </w:r>
      <w:r w:rsidRPr="00A94043">
        <w:t>Determination uses TCSPF and HSPF to define a product’s cooling star rating and heating star rating, including 100% and 0% of the Annual Inactive Energy Consumption respectively, as distinct to the 60% and 40% used in the calculation of Annual Energy Use. Note that, for unitary single duct air conditioners</w:t>
      </w:r>
      <w:r w:rsidR="00131AE2">
        <w:t xml:space="preserve"> (which are </w:t>
      </w:r>
      <w:r w:rsidR="00C36876">
        <w:t>rarely</w:t>
      </w:r>
      <w:r w:rsidR="00131AE2">
        <w:t xml:space="preserve"> heaters)</w:t>
      </w:r>
      <w:r w:rsidRPr="00A94043">
        <w:t>, the above definition is not used, and their star rating is defined as being zero.</w:t>
      </w:r>
    </w:p>
    <w:p w14:paraId="01B38823" w14:textId="17C2ECFE" w:rsidR="005F319C" w:rsidRPr="00A94043" w:rsidRDefault="005F319C" w:rsidP="005F319C">
      <w:r w:rsidRPr="00A94043">
        <w:t xml:space="preserve">As discussed </w:t>
      </w:r>
      <w:r w:rsidR="00276CDD">
        <w:t>with the</w:t>
      </w:r>
      <w:r w:rsidRPr="00A94043">
        <w:t xml:space="preserve"> TWG, it is recommended that for heating-only products, the THSPF is used to evaluate annual energy efficiency, thereby including 100% of the standby energy consumed.</w:t>
      </w:r>
    </w:p>
    <w:p w14:paraId="5F181E0B" w14:textId="255158AA" w:rsidR="0096317B" w:rsidRPr="00A94043" w:rsidRDefault="0096317B" w:rsidP="0096317B">
      <w:pPr>
        <w:pStyle w:val="Heading2"/>
      </w:pPr>
      <w:bookmarkStart w:id="69" w:name="_Toc175311925"/>
      <w:r w:rsidRPr="00A94043">
        <w:t>D</w:t>
      </w:r>
      <w:r w:rsidR="005D3A9B" w:rsidRPr="00A94043">
        <w:t>istribution</w:t>
      </w:r>
      <w:r w:rsidRPr="00A94043">
        <w:t xml:space="preserve"> losses</w:t>
      </w:r>
      <w:bookmarkEnd w:id="69"/>
    </w:p>
    <w:p w14:paraId="11C71C2C" w14:textId="4025F307" w:rsidR="005D3A9B" w:rsidRPr="00A94043" w:rsidRDefault="005D3A9B" w:rsidP="005D3A9B">
      <w:r w:rsidRPr="00A94043">
        <w:t xml:space="preserve">For heaters with a distribution system (air ductwork, water pipework, radiators, </w:t>
      </w:r>
      <w:r w:rsidR="00592085" w:rsidRPr="00A94043">
        <w:t xml:space="preserve">or </w:t>
      </w:r>
      <w:r w:rsidRPr="00A94043">
        <w:t>heating element</w:t>
      </w:r>
      <w:r w:rsidR="00592085" w:rsidRPr="00A94043">
        <w:t>s</w:t>
      </w:r>
      <w:r w:rsidRPr="00A94043">
        <w:t>):</w:t>
      </w:r>
    </w:p>
    <w:p w14:paraId="1E907451" w14:textId="1907F21F" w:rsidR="005D3A9B" w:rsidRPr="00A94043" w:rsidRDefault="00FA1EA6" w:rsidP="00D90977">
      <w:pPr>
        <w:pStyle w:val="ListParagraph"/>
        <w:numPr>
          <w:ilvl w:val="0"/>
          <w:numId w:val="8"/>
        </w:numPr>
        <w:spacing w:after="160" w:line="259" w:lineRule="auto"/>
        <w:rPr>
          <w:rFonts w:cstheme="minorHAnsi"/>
        </w:rPr>
      </w:pPr>
      <w:r>
        <w:rPr>
          <w:rFonts w:cstheme="minorHAnsi"/>
        </w:rPr>
        <w:t>t</w:t>
      </w:r>
      <w:r w:rsidR="005D3A9B" w:rsidRPr="00A94043">
        <w:rPr>
          <w:rFonts w:cstheme="minorHAnsi"/>
        </w:rPr>
        <w:t>here will be distribution losses (to varying degrees) and therefore additional load required to be supplied by the appliance;</w:t>
      </w:r>
    </w:p>
    <w:p w14:paraId="26CB00F9" w14:textId="552F027A" w:rsidR="005D3A9B" w:rsidRPr="00A94043" w:rsidRDefault="00FA1EA6" w:rsidP="00D90977">
      <w:pPr>
        <w:pStyle w:val="ListParagraph"/>
        <w:numPr>
          <w:ilvl w:val="0"/>
          <w:numId w:val="8"/>
        </w:numPr>
        <w:spacing w:after="160" w:line="259" w:lineRule="auto"/>
        <w:rPr>
          <w:rFonts w:cstheme="minorHAnsi"/>
        </w:rPr>
      </w:pPr>
      <w:r>
        <w:rPr>
          <w:rFonts w:cstheme="minorHAnsi"/>
        </w:rPr>
        <w:t>t</w:t>
      </w:r>
      <w:r w:rsidR="005D3A9B" w:rsidRPr="00A94043">
        <w:rPr>
          <w:rFonts w:cstheme="minorHAnsi"/>
        </w:rPr>
        <w:t>hose distribution losses will often be outside of the control of the appliance manufacturer, and depend on the building design, the distribution system design (for example, ductwork diameters, lengths, materials and insulation), and the installers workmanship (for example, the sealing and insulation of ductwork)</w:t>
      </w:r>
    </w:p>
    <w:p w14:paraId="0E8D0498" w14:textId="23045ABF" w:rsidR="005D3A9B" w:rsidRPr="00A94043" w:rsidRDefault="00FA1EA6" w:rsidP="00D90977">
      <w:pPr>
        <w:pStyle w:val="ListParagraph"/>
        <w:numPr>
          <w:ilvl w:val="0"/>
          <w:numId w:val="8"/>
        </w:numPr>
        <w:spacing w:after="160" w:line="259" w:lineRule="auto"/>
        <w:rPr>
          <w:rFonts w:cstheme="minorHAnsi"/>
        </w:rPr>
      </w:pPr>
      <w:r>
        <w:rPr>
          <w:rFonts w:cstheme="minorHAnsi"/>
        </w:rPr>
        <w:t>f</w:t>
      </w:r>
      <w:r w:rsidR="005D3A9B" w:rsidRPr="00A94043">
        <w:rPr>
          <w:rFonts w:cstheme="minorHAnsi"/>
        </w:rPr>
        <w:t>rom a user’s perspective these distribution losses are part of the heating system’s performance and as such should be included in the performance calculation (as distinct from when users choose to use a single outlet heater to heat their whole house)</w:t>
      </w:r>
    </w:p>
    <w:p w14:paraId="532EF755" w14:textId="4595D082" w:rsidR="004536E4" w:rsidRPr="00A94043" w:rsidRDefault="00FA1EA6" w:rsidP="00D90977">
      <w:pPr>
        <w:pStyle w:val="ListParagraph"/>
        <w:numPr>
          <w:ilvl w:val="0"/>
          <w:numId w:val="8"/>
        </w:numPr>
        <w:spacing w:after="160" w:line="259" w:lineRule="auto"/>
        <w:rPr>
          <w:rFonts w:cstheme="minorHAnsi"/>
        </w:rPr>
      </w:pPr>
      <w:r>
        <w:rPr>
          <w:rFonts w:cstheme="minorHAnsi"/>
        </w:rPr>
        <w:t>t</w:t>
      </w:r>
      <w:r w:rsidR="005D3A9B" w:rsidRPr="00A94043">
        <w:rPr>
          <w:rFonts w:cstheme="minorHAnsi"/>
        </w:rPr>
        <w:t xml:space="preserve">he capacity of the appliance to supply load to the occupied space is reduced by these losses, i.e. an appliance that can supply 10kW at the heater may only be able to supply 9kW to the occupied space because of the distribution losses to unoccupied roof, ground </w:t>
      </w:r>
      <w:r w:rsidR="008F3649">
        <w:rPr>
          <w:rFonts w:cstheme="minorHAnsi"/>
        </w:rPr>
        <w:t>or</w:t>
      </w:r>
      <w:r w:rsidR="008F3649" w:rsidRPr="00A94043">
        <w:rPr>
          <w:rFonts w:cstheme="minorHAnsi"/>
        </w:rPr>
        <w:t xml:space="preserve"> </w:t>
      </w:r>
      <w:r w:rsidR="005D3A9B" w:rsidRPr="00A94043">
        <w:rPr>
          <w:rFonts w:cstheme="minorHAnsi"/>
        </w:rPr>
        <w:t>wall space</w:t>
      </w:r>
      <w:r w:rsidR="008F3649">
        <w:rPr>
          <w:rFonts w:cstheme="minorHAnsi"/>
        </w:rPr>
        <w:t>s</w:t>
      </w:r>
      <w:r w:rsidR="005D3A9B" w:rsidRPr="00A94043">
        <w:rPr>
          <w:rFonts w:cstheme="minorHAnsi"/>
        </w:rPr>
        <w:t>.</w:t>
      </w:r>
    </w:p>
    <w:p w14:paraId="4540D2AE" w14:textId="16F23432" w:rsidR="005D3A9B" w:rsidRPr="00A94043" w:rsidRDefault="00D53901" w:rsidP="00FE3039">
      <w:r>
        <w:t>Based on TWG discussions</w:t>
      </w:r>
      <w:r w:rsidR="004536E4" w:rsidRPr="00A94043">
        <w:t xml:space="preserve">, </w:t>
      </w:r>
      <w:r w:rsidR="00A177B7">
        <w:t xml:space="preserve">it is proposed </w:t>
      </w:r>
      <w:r w:rsidR="004536E4" w:rsidRPr="00A94043">
        <w:t xml:space="preserve">that </w:t>
      </w:r>
      <w:r w:rsidR="00A64BD4">
        <w:t>f</w:t>
      </w:r>
      <w:r w:rsidR="00A64BD4" w:rsidRPr="00A94043">
        <w:t xml:space="preserve">or ducted gas heaters </w:t>
      </w:r>
      <w:r w:rsidR="005D3A9B" w:rsidRPr="00A94043">
        <w:t xml:space="preserve">the boundary of </w:t>
      </w:r>
      <w:r w:rsidR="00A177B7">
        <w:t>the performance</w:t>
      </w:r>
      <w:r w:rsidR="00A177B7" w:rsidRPr="00A94043">
        <w:t xml:space="preserve"> </w:t>
      </w:r>
      <w:r w:rsidR="005D3A9B" w:rsidRPr="00A94043">
        <w:t xml:space="preserve">evaluation </w:t>
      </w:r>
      <w:r w:rsidR="004536E4" w:rsidRPr="00A94043">
        <w:t xml:space="preserve">is placed </w:t>
      </w:r>
      <w:r w:rsidR="005D3A9B" w:rsidRPr="00A94043">
        <w:t>at the inlet/outlet of the appliance</w:t>
      </w:r>
      <w:r w:rsidR="00745055">
        <w:t>. This</w:t>
      </w:r>
      <w:r w:rsidR="005D3A9B" w:rsidRPr="00A94043">
        <w:t xml:space="preserve"> defin</w:t>
      </w:r>
      <w:r w:rsidR="00745055">
        <w:t>es</w:t>
      </w:r>
      <w:r w:rsidR="005D3A9B" w:rsidRPr="00A94043">
        <w:t xml:space="preserve"> the load as the energy to be delivered to the distribution system (rather than the occupied space), and exclud</w:t>
      </w:r>
      <w:r w:rsidR="00745055">
        <w:t>es</w:t>
      </w:r>
      <w:r w:rsidR="005D3A9B" w:rsidRPr="00A94043">
        <w:t xml:space="preserve"> the duct losses from the assessment of the appliance’s efficiency</w:t>
      </w:r>
      <w:r w:rsidR="004536E4" w:rsidRPr="00A94043">
        <w:t>, capacity and annual energy use</w:t>
      </w:r>
      <w:r w:rsidR="005D3A9B" w:rsidRPr="00A94043">
        <w:t>. The appliance efficiency evaluated in this manner will be higher than that of the overall heating system (including ductwork), and in theory</w:t>
      </w:r>
      <w:r w:rsidR="007C37DA">
        <w:t>, with no mitigating factors,</w:t>
      </w:r>
      <w:r w:rsidR="005D3A9B" w:rsidRPr="00A94043">
        <w:t xml:space="preserve"> could result in consumers</w:t>
      </w:r>
      <w:r w:rsidR="00CA09C8">
        <w:t xml:space="preserve"> and suppliers</w:t>
      </w:r>
      <w:r w:rsidR="005D3A9B" w:rsidRPr="00A94043">
        <w:t xml:space="preserve"> under-sizing equipment or under-estimating annual energy consumption</w:t>
      </w:r>
      <w:r w:rsidR="00AF2241">
        <w:t>. H</w:t>
      </w:r>
      <w:r w:rsidR="005D3A9B" w:rsidRPr="00A94043">
        <w:t xml:space="preserve">owever it would accurately reflect the aspects of the </w:t>
      </w:r>
      <w:r w:rsidR="005D3A9B" w:rsidRPr="00A94043">
        <w:lastRenderedPageBreak/>
        <w:t>appliance under the manufacturer’s control.</w:t>
      </w:r>
      <w:r w:rsidR="004536E4" w:rsidRPr="00A94043">
        <w:t xml:space="preserve"> This is consistent with the approach used for ducted air conditioners in the ACCM.</w:t>
      </w:r>
    </w:p>
    <w:p w14:paraId="47FCA35A" w14:textId="54E05A35" w:rsidR="0096093E" w:rsidRDefault="002304FD" w:rsidP="0096317B">
      <w:r>
        <w:t xml:space="preserve">Regardless of whether the comparison methodology </w:t>
      </w:r>
      <w:r w:rsidR="43E70FFE">
        <w:t>generat</w:t>
      </w:r>
      <w:r>
        <w:t>ed</w:t>
      </w:r>
      <w:r w:rsidR="43E70FFE">
        <w:t xml:space="preserve"> </w:t>
      </w:r>
      <w:r w:rsidR="307D479C">
        <w:t xml:space="preserve">performance </w:t>
      </w:r>
      <w:r w:rsidR="2030C425">
        <w:t xml:space="preserve">information </w:t>
      </w:r>
      <w:r w:rsidR="4B07455D">
        <w:t xml:space="preserve">focussed </w:t>
      </w:r>
      <w:r w:rsidR="7EC3987E">
        <w:t xml:space="preserve">on </w:t>
      </w:r>
      <w:r w:rsidR="5BE70048">
        <w:t xml:space="preserve">the point of the </w:t>
      </w:r>
      <w:r w:rsidR="2030C425">
        <w:t>appliance</w:t>
      </w:r>
      <w:r w:rsidR="5454D07A">
        <w:t>’s</w:t>
      </w:r>
      <w:r w:rsidR="2030C425">
        <w:t xml:space="preserve"> inlet/outlet</w:t>
      </w:r>
      <w:r w:rsidR="365D78B0">
        <w:t xml:space="preserve"> </w:t>
      </w:r>
      <w:r>
        <w:t>o</w:t>
      </w:r>
      <w:r w:rsidR="00D57572">
        <w:t xml:space="preserve">r on the whole system </w:t>
      </w:r>
      <w:r w:rsidR="0084272F">
        <w:t>includ</w:t>
      </w:r>
      <w:r w:rsidR="007E7BF8">
        <w:t>ing</w:t>
      </w:r>
      <w:r w:rsidR="0084272F">
        <w:t xml:space="preserve"> assumed duct losses, </w:t>
      </w:r>
      <w:r w:rsidR="6F9FAD6D">
        <w:t xml:space="preserve">the comparison methodology would </w:t>
      </w:r>
      <w:r w:rsidR="365D78B0">
        <w:t xml:space="preserve">provide a foundation </w:t>
      </w:r>
      <w:r w:rsidR="00086B75">
        <w:t xml:space="preserve">upon which more specific </w:t>
      </w:r>
      <w:r w:rsidR="002C6A8C">
        <w:t xml:space="preserve">or </w:t>
      </w:r>
      <w:r w:rsidR="26EF9ED0">
        <w:t xml:space="preserve">supplementary </w:t>
      </w:r>
      <w:r w:rsidR="73C4169A">
        <w:t>whole system energy performance information</w:t>
      </w:r>
      <w:r w:rsidR="00086B75">
        <w:t xml:space="preserve"> could be </w:t>
      </w:r>
      <w:r w:rsidR="00ED4417">
        <w:t>generated</w:t>
      </w:r>
      <w:r w:rsidR="000539E7">
        <w:t xml:space="preserve">. </w:t>
      </w:r>
      <w:r w:rsidR="06D52DAA">
        <w:t>Default typical ductwork energy loss values could be devised</w:t>
      </w:r>
      <w:r w:rsidR="544D507A">
        <w:t xml:space="preserve"> to determine the overall heating system efficiency, capacity and annual energy consumption</w:t>
      </w:r>
      <w:r w:rsidR="06D52DAA">
        <w:t>.</w:t>
      </w:r>
    </w:p>
    <w:p w14:paraId="472979BF" w14:textId="1346C52B" w:rsidR="005F319C" w:rsidRPr="00A94043" w:rsidRDefault="7C6EAED5" w:rsidP="00E31535">
      <w:r w:rsidRPr="00A94043">
        <w:t xml:space="preserve">Work </w:t>
      </w:r>
      <w:r w:rsidR="00E378DB" w:rsidRPr="00A94043">
        <w:t>will</w:t>
      </w:r>
      <w:r w:rsidR="284E2F5B" w:rsidRPr="00A94043">
        <w:t xml:space="preserve"> </w:t>
      </w:r>
      <w:r w:rsidRPr="00A94043">
        <w:t>continue to develop calculation methods for more complex heaters such as electric</w:t>
      </w:r>
      <w:r w:rsidR="004F1D54">
        <w:t xml:space="preserve"> </w:t>
      </w:r>
      <w:r w:rsidRPr="00A94043">
        <w:t>resistance underfloor heating</w:t>
      </w:r>
      <w:r w:rsidR="00A6319F">
        <w:t xml:space="preserve"> </w:t>
      </w:r>
      <w:r w:rsidR="00A6319F">
        <w:rPr>
          <w:rFonts w:cs="Calibri"/>
        </w:rPr>
        <w:t>systems (including directly under flooring, in-screed and in-slab)</w:t>
      </w:r>
      <w:r w:rsidR="00A6319F" w:rsidRPr="002E63C1">
        <w:rPr>
          <w:rFonts w:cs="Calibri"/>
        </w:rPr>
        <w:t xml:space="preserve">  and hydronic (gas, electric resistance, solar or heat pump) heating systems</w:t>
      </w:r>
      <w:r w:rsidRPr="00A94043">
        <w:t>, based on a similar approach, with consideration of the distribution system losses and effects of thermal mass, outdoor temperature</w:t>
      </w:r>
      <w:r w:rsidR="00255D36">
        <w:t>,</w:t>
      </w:r>
      <w:r w:rsidRPr="00A94043">
        <w:t xml:space="preserve"> and solar radiation as appropriate for each technology type.</w:t>
      </w:r>
    </w:p>
    <w:p w14:paraId="4F3EA0D9" w14:textId="4FB8B3F0" w:rsidR="003708BE" w:rsidRPr="00A94043" w:rsidRDefault="00AF0EDC" w:rsidP="002A598B">
      <w:pPr>
        <w:pStyle w:val="Heading1"/>
      </w:pPr>
      <w:bookmarkStart w:id="70" w:name="_Toc175311926"/>
      <w:r w:rsidRPr="00A94043">
        <w:lastRenderedPageBreak/>
        <w:t>Results</w:t>
      </w:r>
      <w:r w:rsidR="003708BE" w:rsidRPr="00A94043">
        <w:t xml:space="preserve"> of the methodology</w:t>
      </w:r>
      <w:bookmarkEnd w:id="70"/>
    </w:p>
    <w:p w14:paraId="4F9689EF" w14:textId="54A3771E" w:rsidR="003708BE" w:rsidRPr="00A94043" w:rsidRDefault="003708BE">
      <w:r w:rsidRPr="00A94043">
        <w:t xml:space="preserve">The space heating comparison methodology defines energy performance metrics </w:t>
      </w:r>
      <w:r w:rsidR="00C36B76">
        <w:t>that</w:t>
      </w:r>
      <w:r w:rsidR="00C36B76" w:rsidRPr="00A94043">
        <w:t xml:space="preserve"> </w:t>
      </w:r>
      <w:r w:rsidRPr="00A94043">
        <w:t>could be used to communicate key performance features of a range of heater types to consumers</w:t>
      </w:r>
      <w:r w:rsidR="00CA7F3A">
        <w:t xml:space="preserve"> and suppliers (including specifiers, heating and cooling businesses, and installers)</w:t>
      </w:r>
      <w:r w:rsidRPr="00A94043">
        <w:t>:</w:t>
      </w:r>
    </w:p>
    <w:p w14:paraId="383E0ABC" w14:textId="476BBE71" w:rsidR="003708BE" w:rsidRPr="00A94043" w:rsidRDefault="003708BE" w:rsidP="00D90977">
      <w:pPr>
        <w:pStyle w:val="ListParagraph"/>
        <w:numPr>
          <w:ilvl w:val="0"/>
          <w:numId w:val="16"/>
        </w:numPr>
        <w:rPr>
          <w:szCs w:val="22"/>
        </w:rPr>
      </w:pPr>
      <w:r w:rsidRPr="00FE3039">
        <w:rPr>
          <w:b/>
          <w:bCs/>
        </w:rPr>
        <w:t>Capacity (kW)</w:t>
      </w:r>
      <w:r w:rsidRPr="00A94043">
        <w:t xml:space="preserve">: The </w:t>
      </w:r>
      <w:r w:rsidR="00765AFD">
        <w:t xml:space="preserve">rate at which </w:t>
      </w:r>
      <w:r w:rsidRPr="00A94043">
        <w:t>a product is able to supply</w:t>
      </w:r>
      <w:r w:rsidR="00765AFD">
        <w:t xml:space="preserve"> heat</w:t>
      </w:r>
      <w:r w:rsidRPr="00A94043">
        <w:t>, under a common set of defined conditions. This enables consumers</w:t>
      </w:r>
      <w:r w:rsidR="00CA09C8">
        <w:t xml:space="preserve"> and suppliers</w:t>
      </w:r>
      <w:r w:rsidRPr="00A94043">
        <w:t xml:space="preserve"> to compare similar capacity products</w:t>
      </w:r>
      <w:r w:rsidR="5E90BBC0">
        <w:t xml:space="preserve">. </w:t>
      </w:r>
      <w:r w:rsidR="00BE25BE">
        <w:t xml:space="preserve">It </w:t>
      </w:r>
      <w:r w:rsidR="00BE25BE" w:rsidRPr="00A94043">
        <w:t>may assist in selection of the right sized products for a consumer’s needs</w:t>
      </w:r>
      <w:r w:rsidR="00BE25BE">
        <w:t xml:space="preserve">. However, often consumers </w:t>
      </w:r>
      <w:r w:rsidR="00C249A4">
        <w:t xml:space="preserve">will </w:t>
      </w:r>
      <w:r w:rsidR="00BE25BE">
        <w:t>require the guidance of experienced professionals to calculate optimal sizing requirements to account for a complex combination of climate, building structure and orientation, and consumer usage</w:t>
      </w:r>
      <w:r w:rsidR="00BE25BE" w:rsidRPr="00A94043">
        <w:t>.</w:t>
      </w:r>
    </w:p>
    <w:p w14:paraId="4F797A22" w14:textId="314D9C6A" w:rsidR="003708BE" w:rsidRPr="00A94043" w:rsidRDefault="003708BE" w:rsidP="00D90977">
      <w:pPr>
        <w:pStyle w:val="ListParagraph"/>
        <w:numPr>
          <w:ilvl w:val="0"/>
          <w:numId w:val="16"/>
        </w:numPr>
      </w:pPr>
      <w:r w:rsidRPr="00A94043">
        <w:rPr>
          <w:b/>
          <w:bCs/>
        </w:rPr>
        <w:t>Input Power (kW)</w:t>
      </w:r>
      <w:r w:rsidRPr="00A94043">
        <w:t>: The amount of power (energy per unit time) the product uses, under a common set of defined conditions. This provides a guide to the typical amount of power it is likely to consume, however, is not necessarily the maximum value of power required.</w:t>
      </w:r>
    </w:p>
    <w:p w14:paraId="382706B7" w14:textId="4398D447" w:rsidR="003708BE" w:rsidRPr="00A94043" w:rsidRDefault="003708BE" w:rsidP="00D90977">
      <w:pPr>
        <w:pStyle w:val="ListParagraph"/>
        <w:numPr>
          <w:ilvl w:val="0"/>
          <w:numId w:val="16"/>
        </w:numPr>
      </w:pPr>
      <w:r w:rsidRPr="00A94043">
        <w:rPr>
          <w:b/>
          <w:bCs/>
        </w:rPr>
        <w:t>Annual Energy Use (kWh/y)</w:t>
      </w:r>
      <w:r w:rsidRPr="00FE3039">
        <w:t xml:space="preserve">: The amount of energy the </w:t>
      </w:r>
      <w:r w:rsidRPr="00A94043">
        <w:t>product will use to deliver a standard load, under standard conditions, in each of the three defined climate zones (Hot, Average and Cold</w:t>
      </w:r>
      <w:r w:rsidR="00716B11">
        <w:t xml:space="preserve"> – noting that </w:t>
      </w:r>
      <w:r w:rsidR="0073046F">
        <w:t>the load</w:t>
      </w:r>
      <w:r w:rsidR="00775501">
        <w:t xml:space="preserve"> values</w:t>
      </w:r>
      <w:r w:rsidR="00FD7CC2">
        <w:t xml:space="preserve"> </w:t>
      </w:r>
      <w:r w:rsidR="00C00FBC">
        <w:t>from</w:t>
      </w:r>
      <w:r w:rsidR="00392C26">
        <w:t xml:space="preserve"> </w:t>
      </w:r>
      <w:r w:rsidR="00687B83">
        <w:t xml:space="preserve">more specific </w:t>
      </w:r>
      <w:r w:rsidR="00716B11">
        <w:t>climate zones could be used</w:t>
      </w:r>
      <w:r w:rsidR="00681C00">
        <w:t xml:space="preserve"> to </w:t>
      </w:r>
      <w:r w:rsidR="008B1779">
        <w:t xml:space="preserve">deliver </w:t>
      </w:r>
      <w:r w:rsidR="00C00FBC">
        <w:t xml:space="preserve">more specific </w:t>
      </w:r>
      <w:r w:rsidR="008B1779">
        <w:t>annual energy use</w:t>
      </w:r>
      <w:r w:rsidR="00FE4CFB">
        <w:t xml:space="preserve"> information</w:t>
      </w:r>
      <w:r w:rsidRPr="00A94043">
        <w:t>). These values can be calculated separately for each fuel type (</w:t>
      </w:r>
      <w:r w:rsidR="008E1A2E" w:rsidRPr="00A94043">
        <w:t>e.g.</w:t>
      </w:r>
      <w:r w:rsidRPr="00A94043">
        <w:t xml:space="preserve"> gas, electricity or wood), enabling consumers to compare running costs and greenhouse gas emissions.</w:t>
      </w:r>
      <w:r w:rsidR="00485FDE">
        <w:t xml:space="preserve"> </w:t>
      </w:r>
      <w:r w:rsidR="007F4B85">
        <w:t>Kilo</w:t>
      </w:r>
      <w:r w:rsidR="00D936D6">
        <w:t>watt</w:t>
      </w:r>
      <w:r w:rsidR="007A2A46">
        <w:t xml:space="preserve"> hour</w:t>
      </w:r>
      <w:r w:rsidR="00485FDE">
        <w:t xml:space="preserve"> figures could also be converted into GJ for gas appliances.</w:t>
      </w:r>
    </w:p>
    <w:p w14:paraId="384356F4" w14:textId="21950DF4" w:rsidR="003708BE" w:rsidRPr="00A94043" w:rsidRDefault="003708BE" w:rsidP="00D90977">
      <w:pPr>
        <w:pStyle w:val="ListParagraph"/>
        <w:numPr>
          <w:ilvl w:val="0"/>
          <w:numId w:val="16"/>
        </w:numPr>
      </w:pPr>
      <w:r w:rsidRPr="00A94043">
        <w:rPr>
          <w:b/>
          <w:bCs/>
        </w:rPr>
        <w:t>Heating Performance Factor</w:t>
      </w:r>
      <w:r w:rsidRPr="00A94043">
        <w:t>: The heating performance factor is the ratio of the total heating (energy) load delivered by the product to the annual energy use of the product</w:t>
      </w:r>
      <w:r w:rsidR="00733E3D">
        <w:t xml:space="preserve">. </w:t>
      </w:r>
      <w:r w:rsidR="0056686F">
        <w:t>It conveys</w:t>
      </w:r>
      <w:r w:rsidRPr="00A94043">
        <w:t xml:space="preserve"> the annual efficiency for each climate zone. This value provides a point of comparison </w:t>
      </w:r>
      <w:r w:rsidR="00133D7C">
        <w:t xml:space="preserve">for identifying </w:t>
      </w:r>
      <w:r w:rsidRPr="00A94043">
        <w:t>which product most efficient</w:t>
      </w:r>
      <w:r w:rsidR="00DF5923">
        <w:t xml:space="preserve">ly converts </w:t>
      </w:r>
      <w:r w:rsidR="00AC77EC">
        <w:t xml:space="preserve">the </w:t>
      </w:r>
      <w:r w:rsidR="00573CA5">
        <w:t xml:space="preserve">consumed </w:t>
      </w:r>
      <w:r w:rsidR="00DF5923">
        <w:t>energy into heat</w:t>
      </w:r>
      <w:r w:rsidRPr="00A94043">
        <w:t>.</w:t>
      </w:r>
    </w:p>
    <w:p w14:paraId="72D5F50A" w14:textId="71881BED" w:rsidR="0033455C" w:rsidRDefault="0033455C">
      <w:r>
        <w:fldChar w:fldCharType="begin"/>
      </w:r>
      <w:r>
        <w:instrText xml:space="preserve"> REF _Ref162965980 \h </w:instrText>
      </w:r>
      <w:r>
        <w:fldChar w:fldCharType="separate"/>
      </w:r>
      <w:r w:rsidR="007068DD" w:rsidRPr="00A94043">
        <w:t xml:space="preserve">Table </w:t>
      </w:r>
      <w:r w:rsidR="007068DD">
        <w:rPr>
          <w:noProof/>
        </w:rPr>
        <w:t>5</w:t>
      </w:r>
      <w:r>
        <w:fldChar w:fldCharType="end"/>
      </w:r>
      <w:r w:rsidR="000F34A7">
        <w:t xml:space="preserve"> </w:t>
      </w:r>
      <w:r w:rsidR="003708BE" w:rsidRPr="00A94043">
        <w:t>provides a summary of example outputs based on total energy. These outputs can be separated out by fuel type, and the more detailed results used to estimate running costs and greenhouse gas emissions.</w:t>
      </w:r>
      <w:r w:rsidR="008E1A2E" w:rsidRPr="00A94043">
        <w:t xml:space="preserve"> </w:t>
      </w:r>
      <w:r w:rsidR="003708BE" w:rsidRPr="00A94043">
        <w:t xml:space="preserve">Example </w:t>
      </w:r>
      <w:r w:rsidR="00EF01BB" w:rsidRPr="00A94043">
        <w:t xml:space="preserve">results </w:t>
      </w:r>
      <w:r w:rsidR="003708BE" w:rsidRPr="00A94043">
        <w:t>are provided for a range of technology types, sizes (capacity), configurations (fixed or portable), and controls (with or without thermostatic control).</w:t>
      </w:r>
      <w:r>
        <w:t xml:space="preserve"> The size (capacity) of the example heater units have generally been selected to represent products typically available in the market, however, in some cases they represent the combined effect of multiple smaller heaters, such as </w:t>
      </w:r>
      <w:r w:rsidR="002A0E37">
        <w:t>3</w:t>
      </w:r>
      <w:r>
        <w:t xml:space="preserve"> electric resistance heaters used in separate rooms of a house (e.g. Heater Unit 10). </w:t>
      </w:r>
      <w:r w:rsidR="00276CDD">
        <w:t xml:space="preserve">The results are provided to give indicative comparisons of </w:t>
      </w:r>
      <w:r>
        <w:t>multiple smaller systems, such as electric resistance heaters, split system air conditioners or gas space heaters with a single large product, such as a ducted gas heater or air conditioner.</w:t>
      </w:r>
    </w:p>
    <w:p w14:paraId="78A2A768" w14:textId="1BAAFCBF" w:rsidR="003708BE" w:rsidRPr="00A94043" w:rsidRDefault="003708BE">
      <w:r w:rsidRPr="00A94043">
        <w:t xml:space="preserve">The air conditioner results are based on averaged values from the GEMS register, while the other technology types are typical values </w:t>
      </w:r>
      <w:r w:rsidR="008C0DE0">
        <w:t>identified from reviewing specifications of products in the marketplace</w:t>
      </w:r>
      <w:r w:rsidRPr="00A94043">
        <w:t>. Detailed key product characteristics for each of the heater units are included in the relevant technology type subsection of</w:t>
      </w:r>
      <w:r w:rsidR="00BE666F">
        <w:t xml:space="preserve"> </w:t>
      </w:r>
      <w:r w:rsidR="00BE666F">
        <w:fldChar w:fldCharType="begin"/>
      </w:r>
      <w:r w:rsidR="00BE666F">
        <w:instrText xml:space="preserve"> REF _Ref158020762 \h </w:instrText>
      </w:r>
      <w:r w:rsidR="00BE666F">
        <w:fldChar w:fldCharType="separate"/>
      </w:r>
      <w:r w:rsidR="007068DD" w:rsidRPr="004F5C1E">
        <w:t>Appendix 2:  Key Characteristics for Each Heater Type</w:t>
      </w:r>
      <w:r w:rsidR="00BE666F">
        <w:fldChar w:fldCharType="end"/>
      </w:r>
      <w:r w:rsidRPr="00A94043">
        <w:t xml:space="preserve">. </w:t>
      </w:r>
    </w:p>
    <w:p w14:paraId="6A211630" w14:textId="2BBF86CA" w:rsidR="003708BE" w:rsidRPr="00A94043" w:rsidRDefault="003708BE">
      <w:r w:rsidRPr="00A94043">
        <w:t xml:space="preserve">These examples demonstrate </w:t>
      </w:r>
      <w:r w:rsidR="0013422F">
        <w:t>how</w:t>
      </w:r>
      <w:r w:rsidRPr="00A94043">
        <w:t xml:space="preserve"> test report results can be used as inputs to the space heater comparison methodology, and that this methodology is straightforward to apply to each of these technology types.</w:t>
      </w:r>
    </w:p>
    <w:p w14:paraId="684265F1" w14:textId="29710159" w:rsidR="003708BE" w:rsidRPr="00A94043" w:rsidRDefault="003708BE" w:rsidP="00FE3039">
      <w:r w:rsidRPr="00A94043">
        <w:lastRenderedPageBreak/>
        <w:t xml:space="preserve">The space heater comparison methodology could </w:t>
      </w:r>
      <w:r w:rsidR="00FD7806">
        <w:t xml:space="preserve">be used as the basis for </w:t>
      </w:r>
      <w:r w:rsidR="003C6F8D">
        <w:t>developing</w:t>
      </w:r>
      <w:r w:rsidR="00FD7806">
        <w:t xml:space="preserve"> </w:t>
      </w:r>
      <w:r w:rsidR="00F534D9">
        <w:t>additional</w:t>
      </w:r>
      <w:r w:rsidR="009F08A7">
        <w:t xml:space="preserve"> and </w:t>
      </w:r>
      <w:r w:rsidR="00FD7806">
        <w:t xml:space="preserve">more detailed performance information. </w:t>
      </w:r>
      <w:r w:rsidR="009F08A7">
        <w:t xml:space="preserve">For example, </w:t>
      </w:r>
      <w:r w:rsidR="00D20A68">
        <w:t xml:space="preserve">information </w:t>
      </w:r>
      <w:r w:rsidR="00DE6F7B">
        <w:t xml:space="preserve">could be </w:t>
      </w:r>
      <w:r w:rsidR="00D20A68">
        <w:t xml:space="preserve">customised according to </w:t>
      </w:r>
      <w:r w:rsidR="00DE6F7B">
        <w:t>a consumer</w:t>
      </w:r>
      <w:r w:rsidR="00F04689">
        <w:t>’</w:t>
      </w:r>
      <w:r w:rsidR="00DE6F7B">
        <w:t xml:space="preserve">s </w:t>
      </w:r>
      <w:r w:rsidR="00D20A68">
        <w:t>geographic location and usage profile by applying</w:t>
      </w:r>
      <w:r w:rsidR="00DE6F7B">
        <w:t xml:space="preserve"> </w:t>
      </w:r>
      <w:r w:rsidRPr="00A94043">
        <w:t>a wider range of load profiles and weather files</w:t>
      </w:r>
      <w:r w:rsidR="00D20A68">
        <w:t>.</w:t>
      </w:r>
    </w:p>
    <w:p w14:paraId="78E097EE" w14:textId="04531D03" w:rsidR="009B6968" w:rsidRPr="00A94043" w:rsidRDefault="009B6968" w:rsidP="00C03B58"/>
    <w:p w14:paraId="147AB669" w14:textId="77777777" w:rsidR="00BC4955" w:rsidRPr="00A94043" w:rsidRDefault="00BC4955" w:rsidP="00C03B58">
      <w:pPr>
        <w:sectPr w:rsidR="00BC4955" w:rsidRPr="00A94043" w:rsidSect="002351D4">
          <w:headerReference w:type="even" r:id="rId42"/>
          <w:headerReference w:type="default" r:id="rId43"/>
          <w:footerReference w:type="even" r:id="rId44"/>
          <w:footerReference w:type="default" r:id="rId45"/>
          <w:headerReference w:type="first" r:id="rId46"/>
          <w:footerReference w:type="first" r:id="rId47"/>
          <w:pgSz w:w="11906" w:h="16838" w:code="9"/>
          <w:pgMar w:top="1729" w:right="1140" w:bottom="1701" w:left="1140" w:header="578" w:footer="720" w:gutter="0"/>
          <w:pgNumType w:start="1"/>
          <w:cols w:space="708"/>
          <w:titlePg/>
          <w:docGrid w:linePitch="360"/>
        </w:sectPr>
      </w:pPr>
    </w:p>
    <w:p w14:paraId="065B4F34" w14:textId="2F627301" w:rsidR="00971CA2" w:rsidRDefault="00971CA2" w:rsidP="00971CA2">
      <w:pPr>
        <w:pStyle w:val="Caption"/>
      </w:pPr>
      <w:bookmarkStart w:id="72" w:name="_Ref162965980"/>
      <w:bookmarkStart w:id="73" w:name="_Toc175311871"/>
      <w:r w:rsidRPr="00A94043">
        <w:lastRenderedPageBreak/>
        <w:t xml:space="preserve">Table </w:t>
      </w:r>
      <w:r>
        <w:fldChar w:fldCharType="begin"/>
      </w:r>
      <w:r>
        <w:instrText>SEQ Table \* ARABIC</w:instrText>
      </w:r>
      <w:r>
        <w:fldChar w:fldCharType="separate"/>
      </w:r>
      <w:r w:rsidR="007068DD">
        <w:rPr>
          <w:noProof/>
        </w:rPr>
        <w:t>5</w:t>
      </w:r>
      <w:r>
        <w:fldChar w:fldCharType="end"/>
      </w:r>
      <w:bookmarkEnd w:id="72"/>
      <w:r w:rsidR="00B83D48">
        <w:t>:</w:t>
      </w:r>
      <w:r w:rsidRPr="00A94043">
        <w:t xml:space="preserve"> Summary of example space heating comparison methodology outputs, by product size, technology type and climate zone</w:t>
      </w:r>
      <w:bookmarkEnd w:id="73"/>
    </w:p>
    <w:tbl>
      <w:tblPr>
        <w:tblStyle w:val="TableGrid"/>
        <w:tblW w:w="13838" w:type="dxa"/>
        <w:tblLayout w:type="fixed"/>
        <w:tblLook w:val="04A0" w:firstRow="1" w:lastRow="0" w:firstColumn="1" w:lastColumn="0" w:noHBand="0" w:noVBand="1"/>
        <w:tblCaption w:val="Summary of example space heating comparison methodology outputs, by product size, technology type and climate zone"/>
        <w:tblDescription w:val="This table describes the Summary of example space heating comparison methodology outputs, by product size, technology type and climate zone. It provides information about heater unit size, technology type and characteristics  for full capacity, annual energy use and overall product efficiency."/>
      </w:tblPr>
      <w:tblGrid>
        <w:gridCol w:w="895"/>
        <w:gridCol w:w="1260"/>
        <w:gridCol w:w="1440"/>
        <w:gridCol w:w="900"/>
        <w:gridCol w:w="1068"/>
        <w:gridCol w:w="1068"/>
        <w:gridCol w:w="1068"/>
        <w:gridCol w:w="1068"/>
        <w:gridCol w:w="1068"/>
        <w:gridCol w:w="1068"/>
        <w:gridCol w:w="1068"/>
        <w:gridCol w:w="1068"/>
        <w:gridCol w:w="793"/>
        <w:gridCol w:w="6"/>
      </w:tblGrid>
      <w:tr w:rsidR="00A974C1" w:rsidRPr="00FE3039" w14:paraId="20E1EDC8" w14:textId="77777777" w:rsidTr="00A974C1">
        <w:trPr>
          <w:cantSplit/>
          <w:trHeight w:val="900"/>
        </w:trPr>
        <w:tc>
          <w:tcPr>
            <w:tcW w:w="895" w:type="dxa"/>
            <w:tcMar>
              <w:left w:w="57" w:type="dxa"/>
              <w:right w:w="57" w:type="dxa"/>
            </w:tcMar>
            <w:hideMark/>
          </w:tcPr>
          <w:p w14:paraId="64D8C6F4" w14:textId="77777777" w:rsidR="00A974C1" w:rsidRPr="00FE3039" w:rsidRDefault="00A974C1">
            <w:pPr>
              <w:rPr>
                <w:b/>
                <w:bCs/>
                <w:sz w:val="20"/>
              </w:rPr>
            </w:pPr>
            <w:r w:rsidRPr="00FE3039">
              <w:rPr>
                <w:b/>
                <w:bCs/>
                <w:sz w:val="20"/>
              </w:rPr>
              <w:t>Heater Unit</w:t>
            </w:r>
          </w:p>
        </w:tc>
        <w:tc>
          <w:tcPr>
            <w:tcW w:w="1260" w:type="dxa"/>
            <w:tcMar>
              <w:left w:w="57" w:type="dxa"/>
              <w:right w:w="57" w:type="dxa"/>
            </w:tcMar>
            <w:hideMark/>
          </w:tcPr>
          <w:p w14:paraId="6B55715B" w14:textId="77777777" w:rsidR="00A974C1" w:rsidRPr="00FE3039" w:rsidRDefault="00A974C1">
            <w:pPr>
              <w:rPr>
                <w:b/>
                <w:bCs/>
                <w:sz w:val="20"/>
              </w:rPr>
            </w:pPr>
            <w:r w:rsidRPr="00FE3039">
              <w:rPr>
                <w:b/>
                <w:bCs/>
                <w:sz w:val="20"/>
              </w:rPr>
              <w:t>Technology Type</w:t>
            </w:r>
          </w:p>
        </w:tc>
        <w:tc>
          <w:tcPr>
            <w:tcW w:w="1440" w:type="dxa"/>
            <w:tcMar>
              <w:left w:w="57" w:type="dxa"/>
              <w:right w:w="57" w:type="dxa"/>
            </w:tcMar>
            <w:hideMark/>
          </w:tcPr>
          <w:p w14:paraId="47EA8D6B" w14:textId="77777777" w:rsidR="00A974C1" w:rsidRPr="00FE3039" w:rsidRDefault="00A974C1">
            <w:pPr>
              <w:rPr>
                <w:b/>
                <w:bCs/>
                <w:sz w:val="20"/>
              </w:rPr>
            </w:pPr>
            <w:r w:rsidRPr="00FE3039">
              <w:rPr>
                <w:b/>
                <w:bCs/>
                <w:sz w:val="20"/>
              </w:rPr>
              <w:t>Characteristics</w:t>
            </w:r>
          </w:p>
        </w:tc>
        <w:tc>
          <w:tcPr>
            <w:tcW w:w="900" w:type="dxa"/>
            <w:tcMar>
              <w:left w:w="57" w:type="dxa"/>
              <w:right w:w="57" w:type="dxa"/>
            </w:tcMar>
          </w:tcPr>
          <w:p w14:paraId="0C40284D" w14:textId="77777777" w:rsidR="00A974C1" w:rsidRPr="00FE3039" w:rsidRDefault="00A974C1">
            <w:pPr>
              <w:jc w:val="center"/>
              <w:rPr>
                <w:b/>
                <w:bCs/>
                <w:sz w:val="20"/>
              </w:rPr>
            </w:pPr>
            <w:r>
              <w:rPr>
                <w:b/>
                <w:bCs/>
                <w:sz w:val="20"/>
              </w:rPr>
              <w:t>Size</w:t>
            </w:r>
          </w:p>
        </w:tc>
        <w:tc>
          <w:tcPr>
            <w:tcW w:w="1068" w:type="dxa"/>
            <w:tcMar>
              <w:left w:w="57" w:type="dxa"/>
              <w:right w:w="57" w:type="dxa"/>
            </w:tcMar>
            <w:hideMark/>
          </w:tcPr>
          <w:p w14:paraId="1456D111" w14:textId="77777777" w:rsidR="00A974C1" w:rsidRPr="00FE3039" w:rsidRDefault="00A974C1">
            <w:pPr>
              <w:jc w:val="center"/>
              <w:rPr>
                <w:b/>
                <w:bCs/>
                <w:sz w:val="20"/>
              </w:rPr>
            </w:pPr>
            <w:r>
              <w:rPr>
                <w:b/>
                <w:bCs/>
                <w:sz w:val="20"/>
              </w:rPr>
              <w:t xml:space="preserve">Full Capacity: </w:t>
            </w:r>
            <w:r w:rsidRPr="00FE3039">
              <w:rPr>
                <w:b/>
                <w:bCs/>
                <w:sz w:val="20"/>
              </w:rPr>
              <w:t>Rated Capaci</w:t>
            </w:r>
            <w:r>
              <w:rPr>
                <w:b/>
                <w:bCs/>
                <w:sz w:val="20"/>
              </w:rPr>
              <w:softHyphen/>
            </w:r>
            <w:r w:rsidRPr="00FE3039">
              <w:rPr>
                <w:b/>
                <w:bCs/>
                <w:sz w:val="20"/>
              </w:rPr>
              <w:t>ty</w:t>
            </w:r>
            <w:r>
              <w:rPr>
                <w:b/>
                <w:bCs/>
                <w:sz w:val="20"/>
              </w:rPr>
              <w:t xml:space="preserve"> </w:t>
            </w:r>
            <w:r w:rsidRPr="00FE3039">
              <w:rPr>
                <w:b/>
                <w:bCs/>
                <w:sz w:val="20"/>
              </w:rPr>
              <w:t>(kW)</w:t>
            </w:r>
          </w:p>
        </w:tc>
        <w:tc>
          <w:tcPr>
            <w:tcW w:w="1068" w:type="dxa"/>
            <w:tcMar>
              <w:left w:w="57" w:type="dxa"/>
              <w:right w:w="57" w:type="dxa"/>
            </w:tcMar>
            <w:hideMark/>
          </w:tcPr>
          <w:p w14:paraId="619F2A67" w14:textId="77777777" w:rsidR="00A974C1" w:rsidRPr="00FE3039" w:rsidRDefault="00A974C1">
            <w:pPr>
              <w:jc w:val="center"/>
              <w:rPr>
                <w:b/>
                <w:bCs/>
                <w:sz w:val="20"/>
              </w:rPr>
            </w:pPr>
            <w:r>
              <w:rPr>
                <w:b/>
                <w:bCs/>
                <w:sz w:val="20"/>
              </w:rPr>
              <w:t xml:space="preserve">Full Capacity: </w:t>
            </w:r>
            <w:r w:rsidRPr="00FE3039">
              <w:rPr>
                <w:b/>
                <w:bCs/>
                <w:sz w:val="20"/>
              </w:rPr>
              <w:t xml:space="preserve">Rated Input Power </w:t>
            </w:r>
            <w:r>
              <w:rPr>
                <w:rStyle w:val="FootnoteReference"/>
                <w:b/>
                <w:bCs/>
                <w:sz w:val="20"/>
              </w:rPr>
              <w:footnoteReference w:id="7"/>
            </w:r>
            <w:r w:rsidRPr="00FE3039">
              <w:rPr>
                <w:b/>
                <w:bCs/>
                <w:sz w:val="20"/>
              </w:rPr>
              <w:t>(kW)</w:t>
            </w:r>
          </w:p>
        </w:tc>
        <w:tc>
          <w:tcPr>
            <w:tcW w:w="1068" w:type="dxa"/>
            <w:tcMar>
              <w:left w:w="57" w:type="dxa"/>
              <w:right w:w="57" w:type="dxa"/>
            </w:tcMar>
            <w:hideMark/>
          </w:tcPr>
          <w:p w14:paraId="322A9839" w14:textId="77777777" w:rsidR="00A974C1" w:rsidRPr="00FE3039" w:rsidRDefault="00A974C1">
            <w:pPr>
              <w:jc w:val="center"/>
              <w:rPr>
                <w:b/>
                <w:bCs/>
                <w:sz w:val="20"/>
              </w:rPr>
            </w:pPr>
            <w:r>
              <w:rPr>
                <w:b/>
                <w:bCs/>
                <w:sz w:val="20"/>
              </w:rPr>
              <w:t xml:space="preserve">Full Capacity: </w:t>
            </w:r>
            <w:r w:rsidRPr="00FE3039">
              <w:rPr>
                <w:b/>
                <w:bCs/>
                <w:sz w:val="20"/>
              </w:rPr>
              <w:t>Rated Efficien</w:t>
            </w:r>
            <w:r>
              <w:rPr>
                <w:b/>
                <w:bCs/>
                <w:sz w:val="20"/>
              </w:rPr>
              <w:softHyphen/>
            </w:r>
            <w:r w:rsidRPr="00FE3039">
              <w:rPr>
                <w:b/>
                <w:bCs/>
                <w:sz w:val="20"/>
              </w:rPr>
              <w:t>cy</w:t>
            </w:r>
          </w:p>
        </w:tc>
        <w:tc>
          <w:tcPr>
            <w:tcW w:w="1068" w:type="dxa"/>
            <w:tcMar>
              <w:left w:w="57" w:type="dxa"/>
              <w:right w:w="57" w:type="dxa"/>
            </w:tcMar>
            <w:hideMark/>
          </w:tcPr>
          <w:p w14:paraId="271E7E47" w14:textId="77777777" w:rsidR="00A974C1" w:rsidRDefault="00A974C1">
            <w:pPr>
              <w:jc w:val="center"/>
              <w:rPr>
                <w:b/>
                <w:bCs/>
                <w:sz w:val="20"/>
              </w:rPr>
            </w:pPr>
            <w:r>
              <w:rPr>
                <w:b/>
                <w:bCs/>
                <w:sz w:val="20"/>
              </w:rPr>
              <w:t xml:space="preserve">Annual Energy Use: </w:t>
            </w:r>
            <w:r w:rsidRPr="00FE3039">
              <w:rPr>
                <w:b/>
                <w:bCs/>
                <w:sz w:val="20"/>
              </w:rPr>
              <w:t>Hot (kWh</w:t>
            </w:r>
          </w:p>
          <w:p w14:paraId="57DF2CC7" w14:textId="77777777" w:rsidR="00A974C1" w:rsidRPr="00FE3039" w:rsidRDefault="00A974C1">
            <w:pPr>
              <w:jc w:val="center"/>
              <w:rPr>
                <w:b/>
                <w:bCs/>
                <w:sz w:val="20"/>
              </w:rPr>
            </w:pPr>
            <w:r w:rsidRPr="00FE3039">
              <w:rPr>
                <w:b/>
                <w:bCs/>
                <w:sz w:val="20"/>
              </w:rPr>
              <w:t>/y)</w:t>
            </w:r>
          </w:p>
        </w:tc>
        <w:tc>
          <w:tcPr>
            <w:tcW w:w="1068" w:type="dxa"/>
            <w:tcMar>
              <w:left w:w="57" w:type="dxa"/>
              <w:right w:w="57" w:type="dxa"/>
            </w:tcMar>
            <w:hideMark/>
          </w:tcPr>
          <w:p w14:paraId="27C5B6F8" w14:textId="77777777" w:rsidR="00A974C1" w:rsidRPr="00FE3039" w:rsidRDefault="00A974C1">
            <w:pPr>
              <w:jc w:val="center"/>
              <w:rPr>
                <w:b/>
                <w:bCs/>
                <w:sz w:val="20"/>
              </w:rPr>
            </w:pPr>
            <w:r>
              <w:rPr>
                <w:b/>
                <w:bCs/>
                <w:sz w:val="20"/>
              </w:rPr>
              <w:t xml:space="preserve">Annual Energy Use: </w:t>
            </w:r>
            <w:r w:rsidRPr="00FE3039">
              <w:rPr>
                <w:b/>
                <w:bCs/>
                <w:sz w:val="20"/>
              </w:rPr>
              <w:t>Average (kWh/y)</w:t>
            </w:r>
          </w:p>
        </w:tc>
        <w:tc>
          <w:tcPr>
            <w:tcW w:w="1068" w:type="dxa"/>
            <w:tcMar>
              <w:left w:w="57" w:type="dxa"/>
              <w:right w:w="57" w:type="dxa"/>
            </w:tcMar>
            <w:hideMark/>
          </w:tcPr>
          <w:p w14:paraId="6709186A" w14:textId="77777777" w:rsidR="00A974C1" w:rsidRPr="00FE3039" w:rsidRDefault="00A974C1">
            <w:pPr>
              <w:jc w:val="center"/>
              <w:rPr>
                <w:b/>
                <w:bCs/>
                <w:sz w:val="20"/>
              </w:rPr>
            </w:pPr>
            <w:r>
              <w:rPr>
                <w:b/>
                <w:bCs/>
                <w:sz w:val="20"/>
              </w:rPr>
              <w:t xml:space="preserve">Annual Energy Use: </w:t>
            </w:r>
            <w:r w:rsidRPr="00FE3039">
              <w:rPr>
                <w:b/>
                <w:bCs/>
                <w:sz w:val="20"/>
              </w:rPr>
              <w:t>Cold (kWh/y)</w:t>
            </w:r>
          </w:p>
        </w:tc>
        <w:tc>
          <w:tcPr>
            <w:tcW w:w="1068" w:type="dxa"/>
            <w:tcMar>
              <w:left w:w="57" w:type="dxa"/>
              <w:right w:w="57" w:type="dxa"/>
            </w:tcMar>
            <w:hideMark/>
          </w:tcPr>
          <w:p w14:paraId="62FA8FEB" w14:textId="77777777" w:rsidR="00A974C1" w:rsidRDefault="00A974C1">
            <w:pPr>
              <w:jc w:val="center"/>
              <w:rPr>
                <w:b/>
                <w:bCs/>
                <w:sz w:val="20"/>
              </w:rPr>
            </w:pPr>
            <w:r w:rsidRPr="00FE3039">
              <w:rPr>
                <w:b/>
                <w:bCs/>
                <w:sz w:val="20"/>
              </w:rPr>
              <w:t>Overall Product Efficiency</w:t>
            </w:r>
            <w:r>
              <w:rPr>
                <w:b/>
                <w:bCs/>
                <w:sz w:val="20"/>
              </w:rPr>
              <w:t xml:space="preserve">: </w:t>
            </w:r>
            <w:r w:rsidRPr="00FE3039">
              <w:rPr>
                <w:b/>
                <w:bCs/>
                <w:sz w:val="20"/>
              </w:rPr>
              <w:t>HSPF_</w:t>
            </w:r>
          </w:p>
          <w:p w14:paraId="41701C6A" w14:textId="77777777" w:rsidR="00A974C1" w:rsidRPr="00FE3039" w:rsidRDefault="00A974C1">
            <w:pPr>
              <w:jc w:val="center"/>
              <w:rPr>
                <w:b/>
                <w:bCs/>
                <w:sz w:val="20"/>
              </w:rPr>
            </w:pPr>
            <w:r w:rsidRPr="00FE3039">
              <w:rPr>
                <w:b/>
                <w:bCs/>
                <w:sz w:val="20"/>
              </w:rPr>
              <w:t>hot</w:t>
            </w:r>
          </w:p>
        </w:tc>
        <w:tc>
          <w:tcPr>
            <w:tcW w:w="1068" w:type="dxa"/>
            <w:tcMar>
              <w:left w:w="57" w:type="dxa"/>
              <w:right w:w="57" w:type="dxa"/>
            </w:tcMar>
            <w:hideMark/>
          </w:tcPr>
          <w:p w14:paraId="04FED385" w14:textId="77777777" w:rsidR="00A974C1" w:rsidRDefault="00A974C1">
            <w:pPr>
              <w:jc w:val="center"/>
              <w:rPr>
                <w:b/>
                <w:bCs/>
                <w:sz w:val="20"/>
              </w:rPr>
            </w:pPr>
            <w:r w:rsidRPr="00FE3039">
              <w:rPr>
                <w:b/>
                <w:bCs/>
                <w:sz w:val="20"/>
              </w:rPr>
              <w:t>Overall Product Efficiency</w:t>
            </w:r>
            <w:r>
              <w:rPr>
                <w:b/>
                <w:bCs/>
                <w:sz w:val="20"/>
              </w:rPr>
              <w:t xml:space="preserve">: </w:t>
            </w:r>
            <w:r w:rsidRPr="00FE3039">
              <w:rPr>
                <w:b/>
                <w:bCs/>
                <w:sz w:val="20"/>
              </w:rPr>
              <w:t>HSPF_</w:t>
            </w:r>
          </w:p>
          <w:p w14:paraId="3F0553F5" w14:textId="77777777" w:rsidR="00A974C1" w:rsidRPr="00FE3039" w:rsidRDefault="00A974C1">
            <w:pPr>
              <w:jc w:val="center"/>
              <w:rPr>
                <w:b/>
                <w:bCs/>
                <w:sz w:val="20"/>
              </w:rPr>
            </w:pPr>
            <w:r w:rsidRPr="00FE3039">
              <w:rPr>
                <w:b/>
                <w:bCs/>
                <w:sz w:val="20"/>
              </w:rPr>
              <w:t>avg</w:t>
            </w:r>
          </w:p>
        </w:tc>
        <w:tc>
          <w:tcPr>
            <w:tcW w:w="799" w:type="dxa"/>
            <w:gridSpan w:val="2"/>
            <w:tcMar>
              <w:left w:w="57" w:type="dxa"/>
              <w:right w:w="57" w:type="dxa"/>
            </w:tcMar>
            <w:hideMark/>
          </w:tcPr>
          <w:p w14:paraId="4A72B226" w14:textId="77777777" w:rsidR="00A974C1" w:rsidRDefault="00A974C1">
            <w:pPr>
              <w:jc w:val="center"/>
              <w:rPr>
                <w:b/>
                <w:bCs/>
                <w:sz w:val="20"/>
              </w:rPr>
            </w:pPr>
            <w:r w:rsidRPr="00FE3039">
              <w:rPr>
                <w:b/>
                <w:bCs/>
                <w:sz w:val="20"/>
              </w:rPr>
              <w:t>Overall Product Efficiency</w:t>
            </w:r>
            <w:r>
              <w:rPr>
                <w:b/>
                <w:bCs/>
                <w:sz w:val="20"/>
              </w:rPr>
              <w:t xml:space="preserve">: </w:t>
            </w:r>
            <w:r w:rsidRPr="00FE3039">
              <w:rPr>
                <w:b/>
                <w:bCs/>
                <w:sz w:val="20"/>
              </w:rPr>
              <w:t>HSPF_</w:t>
            </w:r>
          </w:p>
          <w:p w14:paraId="2D2934F9" w14:textId="77777777" w:rsidR="00A974C1" w:rsidRPr="00FE3039" w:rsidRDefault="00A974C1">
            <w:pPr>
              <w:jc w:val="center"/>
              <w:rPr>
                <w:b/>
                <w:bCs/>
                <w:sz w:val="20"/>
              </w:rPr>
            </w:pPr>
            <w:r w:rsidRPr="00FE3039">
              <w:rPr>
                <w:b/>
                <w:bCs/>
                <w:sz w:val="20"/>
              </w:rPr>
              <w:t>cold</w:t>
            </w:r>
          </w:p>
        </w:tc>
      </w:tr>
      <w:tr w:rsidR="00A974C1" w:rsidRPr="00FE3039" w14:paraId="3D8965BF" w14:textId="77777777" w:rsidTr="00A974C1">
        <w:trPr>
          <w:cantSplit/>
          <w:trHeight w:val="580"/>
        </w:trPr>
        <w:tc>
          <w:tcPr>
            <w:tcW w:w="895" w:type="dxa"/>
            <w:noWrap/>
            <w:tcMar>
              <w:left w:w="57" w:type="dxa"/>
              <w:right w:w="57" w:type="dxa"/>
            </w:tcMar>
            <w:hideMark/>
          </w:tcPr>
          <w:p w14:paraId="166BC369" w14:textId="77777777" w:rsidR="00A974C1" w:rsidRPr="00FE3039" w:rsidRDefault="00A974C1">
            <w:pPr>
              <w:rPr>
                <w:sz w:val="20"/>
              </w:rPr>
            </w:pPr>
            <w:r w:rsidRPr="00FE3039">
              <w:rPr>
                <w:sz w:val="20"/>
              </w:rPr>
              <w:t>1</w:t>
            </w:r>
          </w:p>
        </w:tc>
        <w:tc>
          <w:tcPr>
            <w:tcW w:w="1260" w:type="dxa"/>
            <w:tcMar>
              <w:left w:w="57" w:type="dxa"/>
              <w:right w:w="57" w:type="dxa"/>
            </w:tcMar>
            <w:hideMark/>
          </w:tcPr>
          <w:p w14:paraId="3F345E00" w14:textId="4E06EAD2" w:rsidR="00A974C1" w:rsidRPr="00FE3039" w:rsidRDefault="00A974C1">
            <w:pPr>
              <w:rPr>
                <w:sz w:val="20"/>
              </w:rPr>
            </w:pPr>
            <w:r w:rsidRPr="00FE3039">
              <w:rPr>
                <w:sz w:val="20"/>
              </w:rPr>
              <w:t>Air Conditioner</w:t>
            </w:r>
            <w:bookmarkStart w:id="74" w:name="_Ref171938938"/>
            <w:r w:rsidR="008F1F89">
              <w:rPr>
                <w:rStyle w:val="FootnoteReference"/>
                <w:sz w:val="20"/>
              </w:rPr>
              <w:footnoteReference w:customMarkFollows="1" w:id="8"/>
              <w:t>*</w:t>
            </w:r>
            <w:bookmarkEnd w:id="74"/>
            <w:r w:rsidRPr="00FE3039">
              <w:rPr>
                <w:sz w:val="20"/>
              </w:rPr>
              <w:t xml:space="preserve"> (Non-ducted)</w:t>
            </w:r>
          </w:p>
        </w:tc>
        <w:tc>
          <w:tcPr>
            <w:tcW w:w="1440" w:type="dxa"/>
            <w:noWrap/>
            <w:tcMar>
              <w:left w:w="57" w:type="dxa"/>
              <w:right w:w="57" w:type="dxa"/>
            </w:tcMar>
            <w:hideMark/>
          </w:tcPr>
          <w:p w14:paraId="5706EB15" w14:textId="77777777" w:rsidR="00A974C1" w:rsidRPr="00FE3039" w:rsidRDefault="00A974C1">
            <w:pPr>
              <w:rPr>
                <w:sz w:val="20"/>
              </w:rPr>
            </w:pPr>
            <w:r w:rsidRPr="00FE3039">
              <w:rPr>
                <w:sz w:val="20"/>
              </w:rPr>
              <w:t>Avg GEMS Register 1.75-2.25kW non-ducted</w:t>
            </w:r>
          </w:p>
        </w:tc>
        <w:tc>
          <w:tcPr>
            <w:tcW w:w="900" w:type="dxa"/>
            <w:tcMar>
              <w:left w:w="57" w:type="dxa"/>
              <w:right w:w="57" w:type="dxa"/>
            </w:tcMar>
          </w:tcPr>
          <w:p w14:paraId="3F75709A" w14:textId="77777777" w:rsidR="00A974C1" w:rsidRDefault="00A974C1">
            <w:pPr>
              <w:jc w:val="center"/>
              <w:rPr>
                <w:sz w:val="20"/>
              </w:rPr>
            </w:pPr>
            <w:r>
              <w:rPr>
                <w:sz w:val="20"/>
              </w:rPr>
              <w:t>Small</w:t>
            </w:r>
          </w:p>
        </w:tc>
        <w:tc>
          <w:tcPr>
            <w:tcW w:w="1068" w:type="dxa"/>
            <w:noWrap/>
            <w:tcMar>
              <w:left w:w="57" w:type="dxa"/>
              <w:right w:w="57" w:type="dxa"/>
            </w:tcMar>
            <w:hideMark/>
          </w:tcPr>
          <w:p w14:paraId="176D93F9" w14:textId="77777777" w:rsidR="00A974C1" w:rsidRPr="00FE3039" w:rsidRDefault="00A974C1">
            <w:pPr>
              <w:jc w:val="center"/>
              <w:rPr>
                <w:sz w:val="20"/>
              </w:rPr>
            </w:pPr>
            <w:r w:rsidRPr="00FE3039">
              <w:rPr>
                <w:sz w:val="20"/>
              </w:rPr>
              <w:t>2</w:t>
            </w:r>
            <w:r w:rsidRPr="00A94043">
              <w:rPr>
                <w:sz w:val="20"/>
              </w:rPr>
              <w:t xml:space="preserve"> </w:t>
            </w:r>
          </w:p>
        </w:tc>
        <w:tc>
          <w:tcPr>
            <w:tcW w:w="1068" w:type="dxa"/>
            <w:noWrap/>
            <w:tcMar>
              <w:left w:w="57" w:type="dxa"/>
              <w:right w:w="57" w:type="dxa"/>
            </w:tcMar>
            <w:hideMark/>
          </w:tcPr>
          <w:p w14:paraId="61D26AA2" w14:textId="77777777" w:rsidR="00A974C1" w:rsidRPr="00FE3039" w:rsidRDefault="00A974C1">
            <w:pPr>
              <w:jc w:val="center"/>
              <w:rPr>
                <w:sz w:val="20"/>
              </w:rPr>
            </w:pPr>
            <w:r w:rsidRPr="00FE3039">
              <w:rPr>
                <w:sz w:val="20"/>
              </w:rPr>
              <w:t>0.5</w:t>
            </w:r>
          </w:p>
        </w:tc>
        <w:tc>
          <w:tcPr>
            <w:tcW w:w="1068" w:type="dxa"/>
            <w:noWrap/>
            <w:tcMar>
              <w:left w:w="57" w:type="dxa"/>
              <w:right w:w="57" w:type="dxa"/>
            </w:tcMar>
            <w:hideMark/>
          </w:tcPr>
          <w:p w14:paraId="6051A503" w14:textId="77777777" w:rsidR="00A974C1" w:rsidRPr="00FE3039" w:rsidRDefault="00A974C1">
            <w:pPr>
              <w:jc w:val="center"/>
              <w:rPr>
                <w:sz w:val="20"/>
              </w:rPr>
            </w:pPr>
            <w:r w:rsidRPr="00FE3039">
              <w:rPr>
                <w:sz w:val="20"/>
              </w:rPr>
              <w:t>4</w:t>
            </w:r>
            <w:r>
              <w:rPr>
                <w:sz w:val="20"/>
              </w:rPr>
              <w:t>26</w:t>
            </w:r>
            <w:r w:rsidRPr="00FE3039">
              <w:rPr>
                <w:sz w:val="20"/>
              </w:rPr>
              <w:t>%</w:t>
            </w:r>
          </w:p>
        </w:tc>
        <w:tc>
          <w:tcPr>
            <w:tcW w:w="1068" w:type="dxa"/>
            <w:noWrap/>
            <w:tcMar>
              <w:left w:w="57" w:type="dxa"/>
              <w:right w:w="57" w:type="dxa"/>
            </w:tcMar>
            <w:hideMark/>
          </w:tcPr>
          <w:p w14:paraId="37344DF7" w14:textId="77777777" w:rsidR="00A974C1" w:rsidRPr="00FE3039" w:rsidRDefault="00A974C1">
            <w:pPr>
              <w:jc w:val="center"/>
              <w:rPr>
                <w:sz w:val="20"/>
              </w:rPr>
            </w:pPr>
            <w:r w:rsidRPr="00FE3039">
              <w:rPr>
                <w:sz w:val="20"/>
              </w:rPr>
              <w:t>47</w:t>
            </w:r>
          </w:p>
        </w:tc>
        <w:tc>
          <w:tcPr>
            <w:tcW w:w="1068" w:type="dxa"/>
            <w:noWrap/>
            <w:tcMar>
              <w:left w:w="57" w:type="dxa"/>
              <w:right w:w="57" w:type="dxa"/>
            </w:tcMar>
            <w:hideMark/>
          </w:tcPr>
          <w:p w14:paraId="6C9FC974" w14:textId="77777777" w:rsidR="00A974C1" w:rsidRPr="00FE3039" w:rsidRDefault="00A974C1">
            <w:pPr>
              <w:jc w:val="center"/>
              <w:rPr>
                <w:sz w:val="20"/>
              </w:rPr>
            </w:pPr>
            <w:r w:rsidRPr="00FE3039">
              <w:rPr>
                <w:sz w:val="20"/>
              </w:rPr>
              <w:t>292</w:t>
            </w:r>
          </w:p>
        </w:tc>
        <w:tc>
          <w:tcPr>
            <w:tcW w:w="1068" w:type="dxa"/>
            <w:noWrap/>
            <w:tcMar>
              <w:left w:w="57" w:type="dxa"/>
              <w:right w:w="57" w:type="dxa"/>
            </w:tcMar>
            <w:hideMark/>
          </w:tcPr>
          <w:p w14:paraId="49006758" w14:textId="77777777" w:rsidR="00A974C1" w:rsidRPr="00FE3039" w:rsidRDefault="00A974C1">
            <w:pPr>
              <w:jc w:val="center"/>
              <w:rPr>
                <w:sz w:val="20"/>
              </w:rPr>
            </w:pPr>
            <w:r w:rsidRPr="00FE3039">
              <w:rPr>
                <w:sz w:val="20"/>
              </w:rPr>
              <w:t>742</w:t>
            </w:r>
          </w:p>
        </w:tc>
        <w:tc>
          <w:tcPr>
            <w:tcW w:w="1068" w:type="dxa"/>
            <w:noWrap/>
            <w:tcMar>
              <w:left w:w="57" w:type="dxa"/>
              <w:right w:w="57" w:type="dxa"/>
            </w:tcMar>
            <w:hideMark/>
          </w:tcPr>
          <w:p w14:paraId="2F896CB8" w14:textId="77777777" w:rsidR="00A974C1" w:rsidRPr="00FE3039" w:rsidRDefault="00A974C1">
            <w:pPr>
              <w:jc w:val="center"/>
              <w:rPr>
                <w:sz w:val="20"/>
              </w:rPr>
            </w:pPr>
            <w:r w:rsidRPr="00FE3039">
              <w:rPr>
                <w:sz w:val="20"/>
              </w:rPr>
              <w:t>4.06</w:t>
            </w:r>
          </w:p>
        </w:tc>
        <w:tc>
          <w:tcPr>
            <w:tcW w:w="1068" w:type="dxa"/>
            <w:noWrap/>
            <w:tcMar>
              <w:left w:w="57" w:type="dxa"/>
              <w:right w:w="57" w:type="dxa"/>
            </w:tcMar>
            <w:hideMark/>
          </w:tcPr>
          <w:p w14:paraId="461C88D7" w14:textId="77777777" w:rsidR="00A974C1" w:rsidRPr="00FE3039" w:rsidRDefault="00A974C1">
            <w:pPr>
              <w:jc w:val="center"/>
              <w:rPr>
                <w:sz w:val="20"/>
              </w:rPr>
            </w:pPr>
            <w:r w:rsidRPr="00FE3039">
              <w:rPr>
                <w:sz w:val="20"/>
              </w:rPr>
              <w:t>3.80</w:t>
            </w:r>
          </w:p>
        </w:tc>
        <w:tc>
          <w:tcPr>
            <w:tcW w:w="799" w:type="dxa"/>
            <w:gridSpan w:val="2"/>
            <w:noWrap/>
            <w:tcMar>
              <w:left w:w="57" w:type="dxa"/>
              <w:right w:w="57" w:type="dxa"/>
            </w:tcMar>
            <w:hideMark/>
          </w:tcPr>
          <w:p w14:paraId="4FBA6A35" w14:textId="77777777" w:rsidR="00A974C1" w:rsidRPr="00FE3039" w:rsidRDefault="00A974C1">
            <w:pPr>
              <w:jc w:val="center"/>
              <w:rPr>
                <w:sz w:val="20"/>
              </w:rPr>
            </w:pPr>
            <w:r w:rsidRPr="00FE3039">
              <w:rPr>
                <w:sz w:val="20"/>
              </w:rPr>
              <w:t>3.55</w:t>
            </w:r>
          </w:p>
        </w:tc>
      </w:tr>
      <w:tr w:rsidR="00A974C1" w:rsidRPr="00FE3039" w14:paraId="71438381" w14:textId="77777777" w:rsidTr="00A974C1">
        <w:trPr>
          <w:cantSplit/>
          <w:trHeight w:val="290"/>
        </w:trPr>
        <w:tc>
          <w:tcPr>
            <w:tcW w:w="895" w:type="dxa"/>
            <w:noWrap/>
            <w:tcMar>
              <w:left w:w="57" w:type="dxa"/>
              <w:right w:w="57" w:type="dxa"/>
            </w:tcMar>
            <w:hideMark/>
          </w:tcPr>
          <w:p w14:paraId="5B1118D7" w14:textId="77777777" w:rsidR="00A974C1" w:rsidRPr="00FE3039" w:rsidRDefault="00A974C1">
            <w:pPr>
              <w:rPr>
                <w:sz w:val="20"/>
              </w:rPr>
            </w:pPr>
            <w:r w:rsidRPr="00FE3039">
              <w:rPr>
                <w:sz w:val="20"/>
              </w:rPr>
              <w:t>2</w:t>
            </w:r>
          </w:p>
        </w:tc>
        <w:tc>
          <w:tcPr>
            <w:tcW w:w="1260" w:type="dxa"/>
            <w:tcMar>
              <w:left w:w="57" w:type="dxa"/>
              <w:right w:w="57" w:type="dxa"/>
            </w:tcMar>
            <w:hideMark/>
          </w:tcPr>
          <w:p w14:paraId="39F2E2BF" w14:textId="77777777" w:rsidR="00A974C1" w:rsidRPr="00FE3039" w:rsidRDefault="00A974C1">
            <w:pPr>
              <w:rPr>
                <w:sz w:val="20"/>
              </w:rPr>
            </w:pPr>
            <w:r w:rsidRPr="00FE3039">
              <w:rPr>
                <w:sz w:val="20"/>
              </w:rPr>
              <w:t>Electric Resistance</w:t>
            </w:r>
          </w:p>
        </w:tc>
        <w:tc>
          <w:tcPr>
            <w:tcW w:w="1440" w:type="dxa"/>
            <w:noWrap/>
            <w:tcMar>
              <w:left w:w="57" w:type="dxa"/>
              <w:right w:w="57" w:type="dxa"/>
            </w:tcMar>
            <w:hideMark/>
          </w:tcPr>
          <w:p w14:paraId="35F18FC8" w14:textId="77777777" w:rsidR="00A974C1" w:rsidRPr="00FE3039" w:rsidRDefault="00A974C1">
            <w:pPr>
              <w:rPr>
                <w:sz w:val="20"/>
              </w:rPr>
            </w:pPr>
            <w:r w:rsidRPr="00FE3039">
              <w:rPr>
                <w:sz w:val="20"/>
              </w:rPr>
              <w:t>Portable, Thermostatic control</w:t>
            </w:r>
          </w:p>
        </w:tc>
        <w:tc>
          <w:tcPr>
            <w:tcW w:w="900" w:type="dxa"/>
            <w:tcMar>
              <w:left w:w="57" w:type="dxa"/>
              <w:right w:w="57" w:type="dxa"/>
            </w:tcMar>
          </w:tcPr>
          <w:p w14:paraId="0F25AFB2" w14:textId="77777777" w:rsidR="00A974C1" w:rsidRPr="008446E1" w:rsidRDefault="00A974C1">
            <w:pPr>
              <w:jc w:val="center"/>
              <w:rPr>
                <w:sz w:val="20"/>
              </w:rPr>
            </w:pPr>
            <w:r w:rsidRPr="008446E1">
              <w:rPr>
                <w:sz w:val="20"/>
              </w:rPr>
              <w:t>Small</w:t>
            </w:r>
          </w:p>
        </w:tc>
        <w:tc>
          <w:tcPr>
            <w:tcW w:w="1068" w:type="dxa"/>
            <w:noWrap/>
            <w:tcMar>
              <w:left w:w="57" w:type="dxa"/>
              <w:right w:w="57" w:type="dxa"/>
            </w:tcMar>
            <w:hideMark/>
          </w:tcPr>
          <w:p w14:paraId="33D1F072"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18020269"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20232414" w14:textId="77777777" w:rsidR="00A974C1" w:rsidRPr="00FE3039" w:rsidRDefault="00A974C1">
            <w:pPr>
              <w:jc w:val="center"/>
              <w:rPr>
                <w:sz w:val="20"/>
              </w:rPr>
            </w:pPr>
            <w:r w:rsidRPr="00FE3039">
              <w:rPr>
                <w:sz w:val="20"/>
              </w:rPr>
              <w:t>100%</w:t>
            </w:r>
          </w:p>
        </w:tc>
        <w:tc>
          <w:tcPr>
            <w:tcW w:w="1068" w:type="dxa"/>
            <w:noWrap/>
            <w:tcMar>
              <w:left w:w="57" w:type="dxa"/>
              <w:right w:w="57" w:type="dxa"/>
            </w:tcMar>
            <w:hideMark/>
          </w:tcPr>
          <w:p w14:paraId="7F2BD400" w14:textId="77777777" w:rsidR="00A974C1" w:rsidRPr="00FE3039" w:rsidRDefault="00A974C1">
            <w:pPr>
              <w:jc w:val="center"/>
              <w:rPr>
                <w:sz w:val="20"/>
              </w:rPr>
            </w:pPr>
            <w:r w:rsidRPr="00FE3039">
              <w:rPr>
                <w:sz w:val="20"/>
              </w:rPr>
              <w:t>181</w:t>
            </w:r>
          </w:p>
        </w:tc>
        <w:tc>
          <w:tcPr>
            <w:tcW w:w="1068" w:type="dxa"/>
            <w:noWrap/>
            <w:tcMar>
              <w:left w:w="57" w:type="dxa"/>
              <w:right w:w="57" w:type="dxa"/>
            </w:tcMar>
            <w:hideMark/>
          </w:tcPr>
          <w:p w14:paraId="4F7101CE" w14:textId="77777777" w:rsidR="00A974C1" w:rsidRPr="00FE3039" w:rsidRDefault="00A974C1">
            <w:pPr>
              <w:jc w:val="center"/>
              <w:rPr>
                <w:sz w:val="20"/>
              </w:rPr>
            </w:pPr>
            <w:r w:rsidRPr="00FE3039">
              <w:rPr>
                <w:sz w:val="20"/>
              </w:rPr>
              <w:t>1098</w:t>
            </w:r>
          </w:p>
        </w:tc>
        <w:tc>
          <w:tcPr>
            <w:tcW w:w="1068" w:type="dxa"/>
            <w:noWrap/>
            <w:tcMar>
              <w:left w:w="57" w:type="dxa"/>
              <w:right w:w="57" w:type="dxa"/>
            </w:tcMar>
            <w:hideMark/>
          </w:tcPr>
          <w:p w14:paraId="3D5F14C7" w14:textId="77777777" w:rsidR="00A974C1" w:rsidRPr="00FE3039" w:rsidRDefault="00A974C1">
            <w:pPr>
              <w:jc w:val="center"/>
              <w:rPr>
                <w:sz w:val="20"/>
              </w:rPr>
            </w:pPr>
            <w:r w:rsidRPr="00FE3039">
              <w:rPr>
                <w:sz w:val="20"/>
              </w:rPr>
              <w:t>2619</w:t>
            </w:r>
          </w:p>
        </w:tc>
        <w:tc>
          <w:tcPr>
            <w:tcW w:w="1068" w:type="dxa"/>
            <w:noWrap/>
            <w:tcMar>
              <w:left w:w="57" w:type="dxa"/>
              <w:right w:w="57" w:type="dxa"/>
            </w:tcMar>
            <w:hideMark/>
          </w:tcPr>
          <w:p w14:paraId="03ACE113" w14:textId="77777777" w:rsidR="00A974C1" w:rsidRPr="00FE3039" w:rsidRDefault="00A974C1">
            <w:pPr>
              <w:jc w:val="center"/>
              <w:rPr>
                <w:sz w:val="20"/>
              </w:rPr>
            </w:pPr>
            <w:r w:rsidRPr="00FE3039">
              <w:rPr>
                <w:sz w:val="20"/>
              </w:rPr>
              <w:t>0.93</w:t>
            </w:r>
          </w:p>
        </w:tc>
        <w:tc>
          <w:tcPr>
            <w:tcW w:w="1068" w:type="dxa"/>
            <w:noWrap/>
            <w:tcMar>
              <w:left w:w="57" w:type="dxa"/>
              <w:right w:w="57" w:type="dxa"/>
            </w:tcMar>
            <w:hideMark/>
          </w:tcPr>
          <w:p w14:paraId="1A435405" w14:textId="77777777" w:rsidR="00A974C1" w:rsidRPr="00FE3039" w:rsidRDefault="00A974C1">
            <w:pPr>
              <w:jc w:val="center"/>
              <w:rPr>
                <w:sz w:val="20"/>
              </w:rPr>
            </w:pPr>
            <w:r w:rsidRPr="00FE3039">
              <w:rPr>
                <w:sz w:val="20"/>
              </w:rPr>
              <w:t>0.99</w:t>
            </w:r>
          </w:p>
        </w:tc>
        <w:tc>
          <w:tcPr>
            <w:tcW w:w="799" w:type="dxa"/>
            <w:gridSpan w:val="2"/>
            <w:noWrap/>
            <w:tcMar>
              <w:left w:w="57" w:type="dxa"/>
              <w:right w:w="57" w:type="dxa"/>
            </w:tcMar>
            <w:hideMark/>
          </w:tcPr>
          <w:p w14:paraId="23FB0D8C" w14:textId="77777777" w:rsidR="00A974C1" w:rsidRPr="00FE3039" w:rsidRDefault="00A974C1">
            <w:pPr>
              <w:jc w:val="center"/>
              <w:rPr>
                <w:sz w:val="20"/>
              </w:rPr>
            </w:pPr>
            <w:r w:rsidRPr="00FE3039">
              <w:rPr>
                <w:sz w:val="20"/>
              </w:rPr>
              <w:t>1.00</w:t>
            </w:r>
          </w:p>
        </w:tc>
      </w:tr>
      <w:tr w:rsidR="00A974C1" w:rsidRPr="00FE3039" w14:paraId="32D07545" w14:textId="77777777" w:rsidTr="00A974C1">
        <w:trPr>
          <w:cantSplit/>
          <w:trHeight w:val="290"/>
        </w:trPr>
        <w:tc>
          <w:tcPr>
            <w:tcW w:w="895" w:type="dxa"/>
            <w:noWrap/>
            <w:tcMar>
              <w:left w:w="57" w:type="dxa"/>
              <w:right w:w="57" w:type="dxa"/>
            </w:tcMar>
            <w:hideMark/>
          </w:tcPr>
          <w:p w14:paraId="4618EF4A" w14:textId="77777777" w:rsidR="00A974C1" w:rsidRPr="00FE3039" w:rsidRDefault="00A974C1">
            <w:pPr>
              <w:rPr>
                <w:sz w:val="20"/>
              </w:rPr>
            </w:pPr>
            <w:r w:rsidRPr="00FE3039">
              <w:rPr>
                <w:sz w:val="20"/>
              </w:rPr>
              <w:t>3</w:t>
            </w:r>
          </w:p>
        </w:tc>
        <w:tc>
          <w:tcPr>
            <w:tcW w:w="1260" w:type="dxa"/>
            <w:tcMar>
              <w:left w:w="57" w:type="dxa"/>
              <w:right w:w="57" w:type="dxa"/>
            </w:tcMar>
            <w:hideMark/>
          </w:tcPr>
          <w:p w14:paraId="45A0B470" w14:textId="77777777" w:rsidR="00A974C1" w:rsidRPr="00FE3039" w:rsidRDefault="00A974C1">
            <w:pPr>
              <w:rPr>
                <w:sz w:val="20"/>
              </w:rPr>
            </w:pPr>
            <w:r w:rsidRPr="00FE3039">
              <w:rPr>
                <w:sz w:val="20"/>
              </w:rPr>
              <w:t>Electric Resistance</w:t>
            </w:r>
          </w:p>
        </w:tc>
        <w:tc>
          <w:tcPr>
            <w:tcW w:w="1440" w:type="dxa"/>
            <w:noWrap/>
            <w:tcMar>
              <w:left w:w="57" w:type="dxa"/>
              <w:right w:w="57" w:type="dxa"/>
            </w:tcMar>
            <w:hideMark/>
          </w:tcPr>
          <w:p w14:paraId="4136FC43" w14:textId="77777777" w:rsidR="00A974C1" w:rsidRPr="00FE3039" w:rsidRDefault="00A974C1">
            <w:pPr>
              <w:rPr>
                <w:sz w:val="20"/>
              </w:rPr>
            </w:pPr>
            <w:r w:rsidRPr="00FE3039">
              <w:rPr>
                <w:sz w:val="20"/>
              </w:rPr>
              <w:t>Portable, Two-setting, No thermostatic control</w:t>
            </w:r>
          </w:p>
        </w:tc>
        <w:tc>
          <w:tcPr>
            <w:tcW w:w="900" w:type="dxa"/>
            <w:tcMar>
              <w:left w:w="57" w:type="dxa"/>
              <w:right w:w="57" w:type="dxa"/>
            </w:tcMar>
          </w:tcPr>
          <w:p w14:paraId="75786C6E" w14:textId="77777777" w:rsidR="00A974C1" w:rsidRPr="008446E1" w:rsidRDefault="00A974C1">
            <w:pPr>
              <w:jc w:val="center"/>
              <w:rPr>
                <w:sz w:val="20"/>
              </w:rPr>
            </w:pPr>
            <w:r w:rsidRPr="008446E1">
              <w:rPr>
                <w:sz w:val="20"/>
              </w:rPr>
              <w:t>Small</w:t>
            </w:r>
          </w:p>
        </w:tc>
        <w:tc>
          <w:tcPr>
            <w:tcW w:w="1068" w:type="dxa"/>
            <w:noWrap/>
            <w:tcMar>
              <w:left w:w="57" w:type="dxa"/>
              <w:right w:w="57" w:type="dxa"/>
            </w:tcMar>
            <w:hideMark/>
          </w:tcPr>
          <w:p w14:paraId="27E4ACDA"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0AC7E876"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322DB25D" w14:textId="77777777" w:rsidR="00A974C1" w:rsidRPr="00FE3039" w:rsidRDefault="00A974C1">
            <w:pPr>
              <w:jc w:val="center"/>
              <w:rPr>
                <w:sz w:val="20"/>
              </w:rPr>
            </w:pPr>
            <w:r w:rsidRPr="00FE3039">
              <w:rPr>
                <w:sz w:val="20"/>
              </w:rPr>
              <w:t>100%</w:t>
            </w:r>
          </w:p>
        </w:tc>
        <w:tc>
          <w:tcPr>
            <w:tcW w:w="1068" w:type="dxa"/>
            <w:noWrap/>
            <w:tcMar>
              <w:left w:w="57" w:type="dxa"/>
              <w:right w:w="57" w:type="dxa"/>
            </w:tcMar>
            <w:hideMark/>
          </w:tcPr>
          <w:p w14:paraId="1E2055CE" w14:textId="77777777" w:rsidR="00A974C1" w:rsidRPr="00FE3039" w:rsidRDefault="00A974C1">
            <w:pPr>
              <w:jc w:val="center"/>
              <w:rPr>
                <w:sz w:val="20"/>
              </w:rPr>
            </w:pPr>
            <w:r w:rsidRPr="00FE3039">
              <w:rPr>
                <w:sz w:val="20"/>
              </w:rPr>
              <w:t>189</w:t>
            </w:r>
          </w:p>
        </w:tc>
        <w:tc>
          <w:tcPr>
            <w:tcW w:w="1068" w:type="dxa"/>
            <w:noWrap/>
            <w:tcMar>
              <w:left w:w="57" w:type="dxa"/>
              <w:right w:w="57" w:type="dxa"/>
            </w:tcMar>
            <w:hideMark/>
          </w:tcPr>
          <w:p w14:paraId="59888644" w14:textId="77777777" w:rsidR="00A974C1" w:rsidRPr="00FE3039" w:rsidRDefault="00A974C1">
            <w:pPr>
              <w:jc w:val="center"/>
              <w:rPr>
                <w:sz w:val="20"/>
              </w:rPr>
            </w:pPr>
            <w:r w:rsidRPr="00FE3039">
              <w:rPr>
                <w:sz w:val="20"/>
              </w:rPr>
              <w:t>1152</w:t>
            </w:r>
          </w:p>
        </w:tc>
        <w:tc>
          <w:tcPr>
            <w:tcW w:w="1068" w:type="dxa"/>
            <w:noWrap/>
            <w:tcMar>
              <w:left w:w="57" w:type="dxa"/>
              <w:right w:w="57" w:type="dxa"/>
            </w:tcMar>
            <w:hideMark/>
          </w:tcPr>
          <w:p w14:paraId="6593D503" w14:textId="77777777" w:rsidR="00A974C1" w:rsidRPr="00FE3039" w:rsidRDefault="00A974C1">
            <w:pPr>
              <w:jc w:val="center"/>
              <w:rPr>
                <w:sz w:val="20"/>
              </w:rPr>
            </w:pPr>
            <w:r w:rsidRPr="00FE3039">
              <w:rPr>
                <w:sz w:val="20"/>
              </w:rPr>
              <w:t>2749</w:t>
            </w:r>
          </w:p>
        </w:tc>
        <w:tc>
          <w:tcPr>
            <w:tcW w:w="1068" w:type="dxa"/>
            <w:noWrap/>
            <w:tcMar>
              <w:left w:w="57" w:type="dxa"/>
              <w:right w:w="57" w:type="dxa"/>
            </w:tcMar>
            <w:hideMark/>
          </w:tcPr>
          <w:p w14:paraId="735FCD05" w14:textId="77777777" w:rsidR="00A974C1" w:rsidRPr="00FE3039" w:rsidRDefault="00A974C1">
            <w:pPr>
              <w:jc w:val="center"/>
              <w:rPr>
                <w:sz w:val="20"/>
              </w:rPr>
            </w:pPr>
            <w:r w:rsidRPr="00FE3039">
              <w:rPr>
                <w:sz w:val="20"/>
              </w:rPr>
              <w:t>0.89</w:t>
            </w:r>
          </w:p>
        </w:tc>
        <w:tc>
          <w:tcPr>
            <w:tcW w:w="1068" w:type="dxa"/>
            <w:noWrap/>
            <w:tcMar>
              <w:left w:w="57" w:type="dxa"/>
              <w:right w:w="57" w:type="dxa"/>
            </w:tcMar>
            <w:hideMark/>
          </w:tcPr>
          <w:p w14:paraId="3D493F77" w14:textId="77777777" w:rsidR="00A974C1" w:rsidRPr="00FE3039" w:rsidRDefault="00A974C1">
            <w:pPr>
              <w:jc w:val="center"/>
              <w:rPr>
                <w:sz w:val="20"/>
              </w:rPr>
            </w:pPr>
            <w:r w:rsidRPr="00FE3039">
              <w:rPr>
                <w:sz w:val="20"/>
              </w:rPr>
              <w:t>0.94</w:t>
            </w:r>
          </w:p>
        </w:tc>
        <w:tc>
          <w:tcPr>
            <w:tcW w:w="799" w:type="dxa"/>
            <w:gridSpan w:val="2"/>
            <w:noWrap/>
            <w:tcMar>
              <w:left w:w="57" w:type="dxa"/>
              <w:right w:w="57" w:type="dxa"/>
            </w:tcMar>
            <w:hideMark/>
          </w:tcPr>
          <w:p w14:paraId="3E147B71" w14:textId="77777777" w:rsidR="00A974C1" w:rsidRPr="00FE3039" w:rsidRDefault="00A974C1">
            <w:pPr>
              <w:jc w:val="center"/>
              <w:rPr>
                <w:sz w:val="20"/>
              </w:rPr>
            </w:pPr>
            <w:r w:rsidRPr="00FE3039">
              <w:rPr>
                <w:sz w:val="20"/>
              </w:rPr>
              <w:t>0.95</w:t>
            </w:r>
          </w:p>
        </w:tc>
      </w:tr>
      <w:tr w:rsidR="00A974C1" w:rsidRPr="00FE3039" w14:paraId="5013784B" w14:textId="77777777" w:rsidTr="00A974C1">
        <w:trPr>
          <w:cantSplit/>
          <w:trHeight w:val="290"/>
        </w:trPr>
        <w:tc>
          <w:tcPr>
            <w:tcW w:w="895" w:type="dxa"/>
            <w:noWrap/>
            <w:tcMar>
              <w:left w:w="57" w:type="dxa"/>
              <w:right w:w="57" w:type="dxa"/>
            </w:tcMar>
            <w:hideMark/>
          </w:tcPr>
          <w:p w14:paraId="022F9C08" w14:textId="77777777" w:rsidR="00A974C1" w:rsidRPr="00FE3039" w:rsidRDefault="00A974C1">
            <w:pPr>
              <w:rPr>
                <w:sz w:val="20"/>
              </w:rPr>
            </w:pPr>
            <w:r w:rsidRPr="00FE3039">
              <w:rPr>
                <w:sz w:val="20"/>
              </w:rPr>
              <w:t>4</w:t>
            </w:r>
          </w:p>
        </w:tc>
        <w:tc>
          <w:tcPr>
            <w:tcW w:w="1260" w:type="dxa"/>
            <w:tcMar>
              <w:left w:w="57" w:type="dxa"/>
              <w:right w:w="57" w:type="dxa"/>
            </w:tcMar>
            <w:hideMark/>
          </w:tcPr>
          <w:p w14:paraId="778188B7" w14:textId="77777777" w:rsidR="00A974C1" w:rsidRPr="00FE3039" w:rsidRDefault="00A974C1">
            <w:pPr>
              <w:rPr>
                <w:sz w:val="20"/>
              </w:rPr>
            </w:pPr>
            <w:r w:rsidRPr="00FE3039">
              <w:rPr>
                <w:sz w:val="20"/>
              </w:rPr>
              <w:t>Electric Resistance</w:t>
            </w:r>
          </w:p>
        </w:tc>
        <w:tc>
          <w:tcPr>
            <w:tcW w:w="1440" w:type="dxa"/>
            <w:noWrap/>
            <w:tcMar>
              <w:left w:w="57" w:type="dxa"/>
              <w:right w:w="57" w:type="dxa"/>
            </w:tcMar>
            <w:hideMark/>
          </w:tcPr>
          <w:p w14:paraId="3F66BBF6" w14:textId="77777777" w:rsidR="00A974C1" w:rsidRPr="00FE3039" w:rsidRDefault="00A974C1">
            <w:pPr>
              <w:rPr>
                <w:sz w:val="20"/>
              </w:rPr>
            </w:pPr>
            <w:r w:rsidRPr="00FE3039">
              <w:rPr>
                <w:sz w:val="20"/>
              </w:rPr>
              <w:t>Portable, One-setting, No thermostatic control</w:t>
            </w:r>
          </w:p>
        </w:tc>
        <w:tc>
          <w:tcPr>
            <w:tcW w:w="900" w:type="dxa"/>
            <w:tcMar>
              <w:left w:w="57" w:type="dxa"/>
              <w:right w:w="57" w:type="dxa"/>
            </w:tcMar>
          </w:tcPr>
          <w:p w14:paraId="634590ED" w14:textId="77777777" w:rsidR="00A974C1" w:rsidRPr="008446E1" w:rsidRDefault="00A974C1">
            <w:pPr>
              <w:jc w:val="center"/>
              <w:rPr>
                <w:sz w:val="20"/>
              </w:rPr>
            </w:pPr>
            <w:r w:rsidRPr="008446E1">
              <w:rPr>
                <w:sz w:val="20"/>
              </w:rPr>
              <w:t>Small</w:t>
            </w:r>
          </w:p>
        </w:tc>
        <w:tc>
          <w:tcPr>
            <w:tcW w:w="1068" w:type="dxa"/>
            <w:noWrap/>
            <w:tcMar>
              <w:left w:w="57" w:type="dxa"/>
              <w:right w:w="57" w:type="dxa"/>
            </w:tcMar>
            <w:hideMark/>
          </w:tcPr>
          <w:p w14:paraId="7ED5B5A7"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67A6B489"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0168E921" w14:textId="77777777" w:rsidR="00A974C1" w:rsidRPr="00FE3039" w:rsidRDefault="00A974C1">
            <w:pPr>
              <w:jc w:val="center"/>
              <w:rPr>
                <w:sz w:val="20"/>
              </w:rPr>
            </w:pPr>
            <w:r w:rsidRPr="00FE3039">
              <w:rPr>
                <w:sz w:val="20"/>
              </w:rPr>
              <w:t>100%</w:t>
            </w:r>
          </w:p>
        </w:tc>
        <w:tc>
          <w:tcPr>
            <w:tcW w:w="1068" w:type="dxa"/>
            <w:noWrap/>
            <w:tcMar>
              <w:left w:w="57" w:type="dxa"/>
              <w:right w:w="57" w:type="dxa"/>
            </w:tcMar>
            <w:hideMark/>
          </w:tcPr>
          <w:p w14:paraId="30C4460B" w14:textId="77777777" w:rsidR="00A974C1" w:rsidRPr="00FE3039" w:rsidRDefault="00A974C1">
            <w:pPr>
              <w:jc w:val="center"/>
              <w:rPr>
                <w:sz w:val="20"/>
              </w:rPr>
            </w:pPr>
            <w:r w:rsidRPr="00FE3039">
              <w:rPr>
                <w:sz w:val="20"/>
              </w:rPr>
              <w:t>198</w:t>
            </w:r>
          </w:p>
        </w:tc>
        <w:tc>
          <w:tcPr>
            <w:tcW w:w="1068" w:type="dxa"/>
            <w:noWrap/>
            <w:tcMar>
              <w:left w:w="57" w:type="dxa"/>
              <w:right w:w="57" w:type="dxa"/>
            </w:tcMar>
            <w:hideMark/>
          </w:tcPr>
          <w:p w14:paraId="74BFF088" w14:textId="77777777" w:rsidR="00A974C1" w:rsidRPr="00FE3039" w:rsidRDefault="00A974C1">
            <w:pPr>
              <w:jc w:val="center"/>
              <w:rPr>
                <w:sz w:val="20"/>
              </w:rPr>
            </w:pPr>
            <w:r w:rsidRPr="00FE3039">
              <w:rPr>
                <w:sz w:val="20"/>
              </w:rPr>
              <w:t>1207</w:t>
            </w:r>
          </w:p>
        </w:tc>
        <w:tc>
          <w:tcPr>
            <w:tcW w:w="1068" w:type="dxa"/>
            <w:noWrap/>
            <w:tcMar>
              <w:left w:w="57" w:type="dxa"/>
              <w:right w:w="57" w:type="dxa"/>
            </w:tcMar>
            <w:hideMark/>
          </w:tcPr>
          <w:p w14:paraId="027B8344" w14:textId="77777777" w:rsidR="00A974C1" w:rsidRPr="00FE3039" w:rsidRDefault="00A974C1">
            <w:pPr>
              <w:jc w:val="center"/>
              <w:rPr>
                <w:sz w:val="20"/>
              </w:rPr>
            </w:pPr>
            <w:r w:rsidRPr="00FE3039">
              <w:rPr>
                <w:sz w:val="20"/>
              </w:rPr>
              <w:t>2880</w:t>
            </w:r>
          </w:p>
        </w:tc>
        <w:tc>
          <w:tcPr>
            <w:tcW w:w="1068" w:type="dxa"/>
            <w:noWrap/>
            <w:tcMar>
              <w:left w:w="57" w:type="dxa"/>
              <w:right w:w="57" w:type="dxa"/>
            </w:tcMar>
            <w:hideMark/>
          </w:tcPr>
          <w:p w14:paraId="57676825" w14:textId="77777777" w:rsidR="00A974C1" w:rsidRPr="00FE3039" w:rsidRDefault="00A974C1">
            <w:pPr>
              <w:jc w:val="center"/>
              <w:rPr>
                <w:sz w:val="20"/>
              </w:rPr>
            </w:pPr>
            <w:r w:rsidRPr="00FE3039">
              <w:rPr>
                <w:sz w:val="20"/>
              </w:rPr>
              <w:t>0.85</w:t>
            </w:r>
          </w:p>
        </w:tc>
        <w:tc>
          <w:tcPr>
            <w:tcW w:w="1068" w:type="dxa"/>
            <w:noWrap/>
            <w:tcMar>
              <w:left w:w="57" w:type="dxa"/>
              <w:right w:w="57" w:type="dxa"/>
            </w:tcMar>
            <w:hideMark/>
          </w:tcPr>
          <w:p w14:paraId="3513463C" w14:textId="77777777" w:rsidR="00A974C1" w:rsidRPr="00FE3039" w:rsidRDefault="00A974C1">
            <w:pPr>
              <w:jc w:val="center"/>
              <w:rPr>
                <w:sz w:val="20"/>
              </w:rPr>
            </w:pPr>
            <w:r w:rsidRPr="00FE3039">
              <w:rPr>
                <w:sz w:val="20"/>
              </w:rPr>
              <w:t>0.90</w:t>
            </w:r>
          </w:p>
        </w:tc>
        <w:tc>
          <w:tcPr>
            <w:tcW w:w="799" w:type="dxa"/>
            <w:gridSpan w:val="2"/>
            <w:noWrap/>
            <w:tcMar>
              <w:left w:w="57" w:type="dxa"/>
              <w:right w:w="57" w:type="dxa"/>
            </w:tcMar>
            <w:hideMark/>
          </w:tcPr>
          <w:p w14:paraId="3F7A40C4" w14:textId="77777777" w:rsidR="00A974C1" w:rsidRPr="00FE3039" w:rsidRDefault="00A974C1">
            <w:pPr>
              <w:jc w:val="center"/>
              <w:rPr>
                <w:sz w:val="20"/>
              </w:rPr>
            </w:pPr>
            <w:r w:rsidRPr="00FE3039">
              <w:rPr>
                <w:sz w:val="20"/>
              </w:rPr>
              <w:t>0.91</w:t>
            </w:r>
          </w:p>
        </w:tc>
      </w:tr>
      <w:tr w:rsidR="00A974C1" w:rsidRPr="00A94043" w14:paraId="1A4998A0" w14:textId="77777777" w:rsidTr="00A974C1">
        <w:trPr>
          <w:cantSplit/>
          <w:trHeight w:val="290"/>
          <w:tblHeader/>
        </w:trPr>
        <w:tc>
          <w:tcPr>
            <w:tcW w:w="895" w:type="dxa"/>
            <w:noWrap/>
            <w:tcMar>
              <w:left w:w="57" w:type="dxa"/>
              <w:right w:w="57" w:type="dxa"/>
            </w:tcMar>
            <w:hideMark/>
          </w:tcPr>
          <w:p w14:paraId="1BA17849" w14:textId="77777777" w:rsidR="00A974C1" w:rsidRPr="00FE3039" w:rsidRDefault="00A974C1">
            <w:pPr>
              <w:rPr>
                <w:sz w:val="20"/>
              </w:rPr>
            </w:pPr>
            <w:bookmarkStart w:id="75" w:name="_Hlk171874824"/>
            <w:r w:rsidRPr="00FE3039">
              <w:rPr>
                <w:sz w:val="20"/>
              </w:rPr>
              <w:lastRenderedPageBreak/>
              <w:t>5</w:t>
            </w:r>
          </w:p>
        </w:tc>
        <w:tc>
          <w:tcPr>
            <w:tcW w:w="1260" w:type="dxa"/>
            <w:tcMar>
              <w:left w:w="57" w:type="dxa"/>
              <w:right w:w="57" w:type="dxa"/>
            </w:tcMar>
            <w:hideMark/>
          </w:tcPr>
          <w:p w14:paraId="1C905254" w14:textId="77777777" w:rsidR="00A974C1" w:rsidRPr="00FE3039" w:rsidRDefault="00A974C1">
            <w:pPr>
              <w:rPr>
                <w:sz w:val="20"/>
              </w:rPr>
            </w:pPr>
            <w:r w:rsidRPr="00FE3039">
              <w:rPr>
                <w:sz w:val="20"/>
              </w:rPr>
              <w:t>Gas Space Heater</w:t>
            </w:r>
          </w:p>
        </w:tc>
        <w:tc>
          <w:tcPr>
            <w:tcW w:w="1440" w:type="dxa"/>
            <w:noWrap/>
            <w:tcMar>
              <w:left w:w="57" w:type="dxa"/>
              <w:right w:w="57" w:type="dxa"/>
            </w:tcMar>
            <w:hideMark/>
          </w:tcPr>
          <w:p w14:paraId="67B310C4" w14:textId="77777777" w:rsidR="00A974C1" w:rsidRPr="00FE3039" w:rsidRDefault="00A974C1">
            <w:pPr>
              <w:rPr>
                <w:sz w:val="20"/>
              </w:rPr>
            </w:pPr>
            <w:r w:rsidRPr="00FE3039">
              <w:rPr>
                <w:sz w:val="20"/>
              </w:rPr>
              <w:t>Portable, Thermostatic Control, 2 data points</w:t>
            </w:r>
          </w:p>
        </w:tc>
        <w:tc>
          <w:tcPr>
            <w:tcW w:w="900" w:type="dxa"/>
            <w:tcMar>
              <w:left w:w="57" w:type="dxa"/>
              <w:right w:w="57" w:type="dxa"/>
            </w:tcMar>
          </w:tcPr>
          <w:p w14:paraId="5B972E81" w14:textId="77777777" w:rsidR="00A974C1" w:rsidRPr="008446E1" w:rsidRDefault="00A974C1">
            <w:pPr>
              <w:jc w:val="center"/>
              <w:rPr>
                <w:sz w:val="20"/>
              </w:rPr>
            </w:pPr>
            <w:r w:rsidRPr="008446E1">
              <w:rPr>
                <w:sz w:val="20"/>
              </w:rPr>
              <w:t>Small</w:t>
            </w:r>
          </w:p>
        </w:tc>
        <w:tc>
          <w:tcPr>
            <w:tcW w:w="1068" w:type="dxa"/>
            <w:noWrap/>
            <w:tcMar>
              <w:left w:w="57" w:type="dxa"/>
              <w:right w:w="57" w:type="dxa"/>
            </w:tcMar>
            <w:hideMark/>
          </w:tcPr>
          <w:p w14:paraId="51DFFC01"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18D396D8" w14:textId="77777777" w:rsidR="00A974C1" w:rsidRPr="00FE3039" w:rsidRDefault="00A974C1">
            <w:pPr>
              <w:jc w:val="center"/>
              <w:rPr>
                <w:sz w:val="20"/>
              </w:rPr>
            </w:pPr>
            <w:r w:rsidRPr="00FE3039">
              <w:rPr>
                <w:sz w:val="20"/>
              </w:rPr>
              <w:t>2.5</w:t>
            </w:r>
          </w:p>
        </w:tc>
        <w:tc>
          <w:tcPr>
            <w:tcW w:w="1068" w:type="dxa"/>
            <w:noWrap/>
            <w:tcMar>
              <w:left w:w="57" w:type="dxa"/>
              <w:right w:w="57" w:type="dxa"/>
            </w:tcMar>
            <w:hideMark/>
          </w:tcPr>
          <w:p w14:paraId="084EA634" w14:textId="77777777" w:rsidR="00A974C1" w:rsidRPr="00FE3039" w:rsidRDefault="00A974C1">
            <w:pPr>
              <w:jc w:val="center"/>
              <w:rPr>
                <w:sz w:val="20"/>
              </w:rPr>
            </w:pPr>
            <w:r w:rsidRPr="00FE3039">
              <w:rPr>
                <w:sz w:val="20"/>
              </w:rPr>
              <w:t>80.6%</w:t>
            </w:r>
          </w:p>
        </w:tc>
        <w:tc>
          <w:tcPr>
            <w:tcW w:w="1068" w:type="dxa"/>
            <w:noWrap/>
            <w:tcMar>
              <w:left w:w="57" w:type="dxa"/>
              <w:right w:w="57" w:type="dxa"/>
            </w:tcMar>
            <w:hideMark/>
          </w:tcPr>
          <w:p w14:paraId="4C4AC22D" w14:textId="77777777" w:rsidR="00A974C1" w:rsidRPr="00FE3039" w:rsidRDefault="00A974C1">
            <w:pPr>
              <w:jc w:val="center"/>
              <w:rPr>
                <w:sz w:val="20"/>
              </w:rPr>
            </w:pPr>
            <w:r w:rsidRPr="00FE3039">
              <w:rPr>
                <w:sz w:val="20"/>
              </w:rPr>
              <w:t>203</w:t>
            </w:r>
          </w:p>
        </w:tc>
        <w:tc>
          <w:tcPr>
            <w:tcW w:w="1068" w:type="dxa"/>
            <w:noWrap/>
            <w:tcMar>
              <w:left w:w="57" w:type="dxa"/>
              <w:right w:w="57" w:type="dxa"/>
            </w:tcMar>
            <w:hideMark/>
          </w:tcPr>
          <w:p w14:paraId="6B081568" w14:textId="77777777" w:rsidR="00A974C1" w:rsidRPr="00FE3039" w:rsidRDefault="00A974C1">
            <w:pPr>
              <w:jc w:val="center"/>
              <w:rPr>
                <w:sz w:val="20"/>
              </w:rPr>
            </w:pPr>
            <w:r w:rsidRPr="00FE3039">
              <w:rPr>
                <w:sz w:val="20"/>
              </w:rPr>
              <w:t>1311</w:t>
            </w:r>
          </w:p>
        </w:tc>
        <w:tc>
          <w:tcPr>
            <w:tcW w:w="1068" w:type="dxa"/>
            <w:noWrap/>
            <w:tcMar>
              <w:left w:w="57" w:type="dxa"/>
              <w:right w:w="57" w:type="dxa"/>
            </w:tcMar>
            <w:hideMark/>
          </w:tcPr>
          <w:p w14:paraId="302A278D" w14:textId="77777777" w:rsidR="00A974C1" w:rsidRPr="00FE3039" w:rsidRDefault="00A974C1">
            <w:pPr>
              <w:jc w:val="center"/>
              <w:rPr>
                <w:sz w:val="20"/>
              </w:rPr>
            </w:pPr>
            <w:r w:rsidRPr="00FE3039">
              <w:rPr>
                <w:sz w:val="20"/>
              </w:rPr>
              <w:t>3159</w:t>
            </w:r>
          </w:p>
        </w:tc>
        <w:tc>
          <w:tcPr>
            <w:tcW w:w="1068" w:type="dxa"/>
            <w:noWrap/>
            <w:tcMar>
              <w:left w:w="57" w:type="dxa"/>
              <w:right w:w="57" w:type="dxa"/>
            </w:tcMar>
            <w:hideMark/>
          </w:tcPr>
          <w:p w14:paraId="5C3C0DEF" w14:textId="77777777" w:rsidR="00A974C1" w:rsidRPr="00FE3039" w:rsidRDefault="00A974C1">
            <w:pPr>
              <w:jc w:val="center"/>
              <w:rPr>
                <w:sz w:val="20"/>
              </w:rPr>
            </w:pPr>
            <w:r w:rsidRPr="00FE3039">
              <w:rPr>
                <w:sz w:val="20"/>
              </w:rPr>
              <w:t>0.83</w:t>
            </w:r>
          </w:p>
        </w:tc>
        <w:tc>
          <w:tcPr>
            <w:tcW w:w="1068" w:type="dxa"/>
            <w:noWrap/>
            <w:tcMar>
              <w:left w:w="57" w:type="dxa"/>
              <w:right w:w="57" w:type="dxa"/>
            </w:tcMar>
            <w:hideMark/>
          </w:tcPr>
          <w:p w14:paraId="06EF6F22" w14:textId="77777777" w:rsidR="00A974C1" w:rsidRPr="00FE3039" w:rsidRDefault="00A974C1">
            <w:pPr>
              <w:jc w:val="center"/>
              <w:rPr>
                <w:sz w:val="20"/>
              </w:rPr>
            </w:pPr>
            <w:r w:rsidRPr="00FE3039">
              <w:rPr>
                <w:sz w:val="20"/>
              </w:rPr>
              <w:t>0.83</w:t>
            </w:r>
          </w:p>
        </w:tc>
        <w:tc>
          <w:tcPr>
            <w:tcW w:w="799" w:type="dxa"/>
            <w:gridSpan w:val="2"/>
            <w:noWrap/>
            <w:tcMar>
              <w:left w:w="57" w:type="dxa"/>
              <w:right w:w="57" w:type="dxa"/>
            </w:tcMar>
            <w:hideMark/>
          </w:tcPr>
          <w:p w14:paraId="2A870EA5" w14:textId="77777777" w:rsidR="00A974C1" w:rsidRPr="00FE3039" w:rsidRDefault="00A974C1">
            <w:pPr>
              <w:jc w:val="center"/>
              <w:rPr>
                <w:sz w:val="20"/>
              </w:rPr>
            </w:pPr>
            <w:r w:rsidRPr="00FE3039">
              <w:rPr>
                <w:sz w:val="20"/>
              </w:rPr>
              <w:t>0.83</w:t>
            </w:r>
          </w:p>
        </w:tc>
      </w:tr>
      <w:tr w:rsidR="00A974C1" w:rsidRPr="00A94043" w14:paraId="1C2770AF" w14:textId="77777777" w:rsidTr="00A974C1">
        <w:trPr>
          <w:cantSplit/>
          <w:trHeight w:val="290"/>
          <w:tblHeader/>
        </w:trPr>
        <w:tc>
          <w:tcPr>
            <w:tcW w:w="895" w:type="dxa"/>
            <w:noWrap/>
            <w:tcMar>
              <w:left w:w="57" w:type="dxa"/>
              <w:right w:w="57" w:type="dxa"/>
            </w:tcMar>
            <w:hideMark/>
          </w:tcPr>
          <w:p w14:paraId="1470ECF2" w14:textId="77777777" w:rsidR="00A974C1" w:rsidRPr="00FE3039" w:rsidRDefault="00A974C1">
            <w:pPr>
              <w:rPr>
                <w:sz w:val="20"/>
              </w:rPr>
            </w:pPr>
            <w:r w:rsidRPr="00FE3039">
              <w:rPr>
                <w:sz w:val="20"/>
              </w:rPr>
              <w:t>6</w:t>
            </w:r>
          </w:p>
        </w:tc>
        <w:tc>
          <w:tcPr>
            <w:tcW w:w="1260" w:type="dxa"/>
            <w:tcMar>
              <w:left w:w="57" w:type="dxa"/>
              <w:right w:w="57" w:type="dxa"/>
            </w:tcMar>
            <w:hideMark/>
          </w:tcPr>
          <w:p w14:paraId="4B3EC9F1" w14:textId="77777777" w:rsidR="00A974C1" w:rsidRPr="00FE3039" w:rsidRDefault="00A974C1">
            <w:pPr>
              <w:rPr>
                <w:sz w:val="20"/>
              </w:rPr>
            </w:pPr>
            <w:r w:rsidRPr="00FE3039">
              <w:rPr>
                <w:sz w:val="20"/>
              </w:rPr>
              <w:t>Solid Fuel Heater</w:t>
            </w:r>
          </w:p>
        </w:tc>
        <w:tc>
          <w:tcPr>
            <w:tcW w:w="1440" w:type="dxa"/>
            <w:noWrap/>
            <w:tcMar>
              <w:left w:w="57" w:type="dxa"/>
              <w:right w:w="57" w:type="dxa"/>
            </w:tcMar>
            <w:hideMark/>
          </w:tcPr>
          <w:p w14:paraId="42D60E13" w14:textId="77777777" w:rsidR="00A974C1" w:rsidRPr="00FE3039" w:rsidRDefault="00A974C1">
            <w:pPr>
              <w:rPr>
                <w:sz w:val="20"/>
              </w:rPr>
            </w:pPr>
            <w:r w:rsidRPr="00FE3039">
              <w:rPr>
                <w:sz w:val="20"/>
              </w:rPr>
              <w:t>Fixed, Adjustable Air Control, 3 data points</w:t>
            </w:r>
          </w:p>
        </w:tc>
        <w:tc>
          <w:tcPr>
            <w:tcW w:w="900" w:type="dxa"/>
            <w:tcMar>
              <w:left w:w="57" w:type="dxa"/>
              <w:right w:w="57" w:type="dxa"/>
            </w:tcMar>
          </w:tcPr>
          <w:p w14:paraId="28E6BB7B" w14:textId="77777777" w:rsidR="00A974C1" w:rsidRPr="008446E1" w:rsidRDefault="00A974C1">
            <w:pPr>
              <w:jc w:val="center"/>
              <w:rPr>
                <w:sz w:val="20"/>
              </w:rPr>
            </w:pPr>
            <w:r w:rsidRPr="008446E1">
              <w:rPr>
                <w:sz w:val="20"/>
              </w:rPr>
              <w:t>Small</w:t>
            </w:r>
          </w:p>
        </w:tc>
        <w:tc>
          <w:tcPr>
            <w:tcW w:w="1068" w:type="dxa"/>
            <w:noWrap/>
            <w:tcMar>
              <w:left w:w="57" w:type="dxa"/>
              <w:right w:w="57" w:type="dxa"/>
            </w:tcMar>
            <w:hideMark/>
          </w:tcPr>
          <w:p w14:paraId="36B32996"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124F3969" w14:textId="77777777" w:rsidR="00A974C1" w:rsidRPr="00FE3039" w:rsidRDefault="00A974C1">
            <w:pPr>
              <w:jc w:val="center"/>
              <w:rPr>
                <w:sz w:val="20"/>
              </w:rPr>
            </w:pPr>
            <w:r w:rsidRPr="00FE3039">
              <w:rPr>
                <w:sz w:val="20"/>
              </w:rPr>
              <w:t>3.03</w:t>
            </w:r>
          </w:p>
        </w:tc>
        <w:tc>
          <w:tcPr>
            <w:tcW w:w="1068" w:type="dxa"/>
            <w:noWrap/>
            <w:tcMar>
              <w:left w:w="57" w:type="dxa"/>
              <w:right w:w="57" w:type="dxa"/>
            </w:tcMar>
            <w:hideMark/>
          </w:tcPr>
          <w:p w14:paraId="045A236D" w14:textId="77777777" w:rsidR="00A974C1" w:rsidRPr="00FE3039" w:rsidRDefault="00A974C1">
            <w:pPr>
              <w:jc w:val="center"/>
              <w:rPr>
                <w:sz w:val="20"/>
              </w:rPr>
            </w:pPr>
            <w:r w:rsidRPr="00FE3039">
              <w:rPr>
                <w:sz w:val="20"/>
              </w:rPr>
              <w:t>66.1%</w:t>
            </w:r>
          </w:p>
        </w:tc>
        <w:tc>
          <w:tcPr>
            <w:tcW w:w="1068" w:type="dxa"/>
            <w:noWrap/>
            <w:tcMar>
              <w:left w:w="57" w:type="dxa"/>
              <w:right w:w="57" w:type="dxa"/>
            </w:tcMar>
            <w:hideMark/>
          </w:tcPr>
          <w:p w14:paraId="110DBB82" w14:textId="77777777" w:rsidR="00A974C1" w:rsidRPr="00FE3039" w:rsidRDefault="00A974C1">
            <w:pPr>
              <w:jc w:val="center"/>
              <w:rPr>
                <w:sz w:val="20"/>
              </w:rPr>
            </w:pPr>
            <w:r w:rsidRPr="00FE3039">
              <w:rPr>
                <w:sz w:val="20"/>
              </w:rPr>
              <w:t>281</w:t>
            </w:r>
          </w:p>
        </w:tc>
        <w:tc>
          <w:tcPr>
            <w:tcW w:w="1068" w:type="dxa"/>
            <w:noWrap/>
            <w:tcMar>
              <w:left w:w="57" w:type="dxa"/>
              <w:right w:w="57" w:type="dxa"/>
            </w:tcMar>
            <w:hideMark/>
          </w:tcPr>
          <w:p w14:paraId="56DF1276" w14:textId="77777777" w:rsidR="00A974C1" w:rsidRPr="00FE3039" w:rsidRDefault="00A974C1">
            <w:pPr>
              <w:jc w:val="center"/>
              <w:rPr>
                <w:sz w:val="20"/>
              </w:rPr>
            </w:pPr>
            <w:r w:rsidRPr="00FE3039">
              <w:rPr>
                <w:sz w:val="20"/>
              </w:rPr>
              <w:t>1802</w:t>
            </w:r>
          </w:p>
        </w:tc>
        <w:tc>
          <w:tcPr>
            <w:tcW w:w="1068" w:type="dxa"/>
            <w:noWrap/>
            <w:tcMar>
              <w:left w:w="57" w:type="dxa"/>
              <w:right w:w="57" w:type="dxa"/>
            </w:tcMar>
            <w:hideMark/>
          </w:tcPr>
          <w:p w14:paraId="46D42776" w14:textId="77777777" w:rsidR="00A974C1" w:rsidRPr="00FE3039" w:rsidRDefault="00A974C1">
            <w:pPr>
              <w:jc w:val="center"/>
              <w:rPr>
                <w:sz w:val="20"/>
              </w:rPr>
            </w:pPr>
            <w:r w:rsidRPr="00FE3039">
              <w:rPr>
                <w:sz w:val="20"/>
              </w:rPr>
              <w:t>4276</w:t>
            </w:r>
          </w:p>
        </w:tc>
        <w:tc>
          <w:tcPr>
            <w:tcW w:w="1068" w:type="dxa"/>
            <w:noWrap/>
            <w:tcMar>
              <w:left w:w="57" w:type="dxa"/>
              <w:right w:w="57" w:type="dxa"/>
            </w:tcMar>
            <w:hideMark/>
          </w:tcPr>
          <w:p w14:paraId="53FAB79A" w14:textId="77777777" w:rsidR="00A974C1" w:rsidRPr="00FE3039" w:rsidRDefault="00A974C1">
            <w:pPr>
              <w:jc w:val="center"/>
              <w:rPr>
                <w:sz w:val="20"/>
              </w:rPr>
            </w:pPr>
            <w:r w:rsidRPr="00FE3039">
              <w:rPr>
                <w:sz w:val="20"/>
              </w:rPr>
              <w:t>0.60</w:t>
            </w:r>
          </w:p>
        </w:tc>
        <w:tc>
          <w:tcPr>
            <w:tcW w:w="1068" w:type="dxa"/>
            <w:noWrap/>
            <w:tcMar>
              <w:left w:w="57" w:type="dxa"/>
              <w:right w:w="57" w:type="dxa"/>
            </w:tcMar>
            <w:hideMark/>
          </w:tcPr>
          <w:p w14:paraId="546271B3" w14:textId="77777777" w:rsidR="00A974C1" w:rsidRPr="00FE3039" w:rsidRDefault="00A974C1">
            <w:pPr>
              <w:jc w:val="center"/>
              <w:rPr>
                <w:sz w:val="20"/>
              </w:rPr>
            </w:pPr>
            <w:r w:rsidRPr="00FE3039">
              <w:rPr>
                <w:sz w:val="20"/>
              </w:rPr>
              <w:t>0.60</w:t>
            </w:r>
          </w:p>
        </w:tc>
        <w:tc>
          <w:tcPr>
            <w:tcW w:w="799" w:type="dxa"/>
            <w:gridSpan w:val="2"/>
            <w:noWrap/>
            <w:tcMar>
              <w:left w:w="57" w:type="dxa"/>
              <w:right w:w="57" w:type="dxa"/>
            </w:tcMar>
            <w:hideMark/>
          </w:tcPr>
          <w:p w14:paraId="5FB0C94D" w14:textId="77777777" w:rsidR="00A974C1" w:rsidRPr="00FE3039" w:rsidRDefault="00A974C1">
            <w:pPr>
              <w:jc w:val="center"/>
              <w:rPr>
                <w:sz w:val="20"/>
              </w:rPr>
            </w:pPr>
            <w:r w:rsidRPr="00FE3039">
              <w:rPr>
                <w:sz w:val="20"/>
              </w:rPr>
              <w:t>0.61</w:t>
            </w:r>
          </w:p>
        </w:tc>
      </w:tr>
      <w:tr w:rsidR="00A974C1" w:rsidRPr="00A94043" w14:paraId="084B07B9" w14:textId="77777777" w:rsidTr="00A974C1">
        <w:trPr>
          <w:cantSplit/>
          <w:trHeight w:val="290"/>
          <w:tblHeader/>
        </w:trPr>
        <w:tc>
          <w:tcPr>
            <w:tcW w:w="895" w:type="dxa"/>
            <w:noWrap/>
            <w:tcMar>
              <w:left w:w="57" w:type="dxa"/>
              <w:right w:w="57" w:type="dxa"/>
            </w:tcMar>
            <w:hideMark/>
          </w:tcPr>
          <w:p w14:paraId="301A97A8" w14:textId="77777777" w:rsidR="00A974C1" w:rsidRPr="00FE3039" w:rsidRDefault="00A974C1">
            <w:pPr>
              <w:rPr>
                <w:sz w:val="20"/>
              </w:rPr>
            </w:pPr>
            <w:r w:rsidRPr="00FE3039">
              <w:rPr>
                <w:sz w:val="20"/>
              </w:rPr>
              <w:t>7</w:t>
            </w:r>
          </w:p>
        </w:tc>
        <w:tc>
          <w:tcPr>
            <w:tcW w:w="1260" w:type="dxa"/>
            <w:tcMar>
              <w:left w:w="57" w:type="dxa"/>
              <w:right w:w="57" w:type="dxa"/>
            </w:tcMar>
            <w:hideMark/>
          </w:tcPr>
          <w:p w14:paraId="0738D6B6" w14:textId="77777777" w:rsidR="00A974C1" w:rsidRPr="00FE3039" w:rsidRDefault="00A974C1">
            <w:pPr>
              <w:rPr>
                <w:sz w:val="20"/>
              </w:rPr>
            </w:pPr>
            <w:r>
              <w:rPr>
                <w:sz w:val="20"/>
              </w:rPr>
              <w:t xml:space="preserve">Gas </w:t>
            </w:r>
            <w:r w:rsidRPr="00FE3039">
              <w:rPr>
                <w:sz w:val="20"/>
              </w:rPr>
              <w:t>Decorative App.</w:t>
            </w:r>
          </w:p>
        </w:tc>
        <w:tc>
          <w:tcPr>
            <w:tcW w:w="1440" w:type="dxa"/>
            <w:noWrap/>
            <w:tcMar>
              <w:left w:w="57" w:type="dxa"/>
              <w:right w:w="57" w:type="dxa"/>
            </w:tcMar>
            <w:hideMark/>
          </w:tcPr>
          <w:p w14:paraId="2A91ACF4" w14:textId="77777777" w:rsidR="00A974C1" w:rsidRPr="00FE3039" w:rsidRDefault="00A974C1">
            <w:pPr>
              <w:rPr>
                <w:sz w:val="20"/>
              </w:rPr>
            </w:pPr>
            <w:r w:rsidRPr="00FE3039">
              <w:rPr>
                <w:sz w:val="20"/>
              </w:rPr>
              <w:t>Fixed, Thermostatic Control, 2 data points</w:t>
            </w:r>
          </w:p>
        </w:tc>
        <w:tc>
          <w:tcPr>
            <w:tcW w:w="900" w:type="dxa"/>
            <w:tcMar>
              <w:left w:w="57" w:type="dxa"/>
              <w:right w:w="57" w:type="dxa"/>
            </w:tcMar>
          </w:tcPr>
          <w:p w14:paraId="31A4E642" w14:textId="77777777" w:rsidR="00A974C1" w:rsidRPr="008446E1" w:rsidRDefault="00A974C1">
            <w:pPr>
              <w:jc w:val="center"/>
              <w:rPr>
                <w:sz w:val="20"/>
              </w:rPr>
            </w:pPr>
            <w:r w:rsidRPr="008446E1">
              <w:rPr>
                <w:sz w:val="20"/>
              </w:rPr>
              <w:t>Small</w:t>
            </w:r>
          </w:p>
        </w:tc>
        <w:tc>
          <w:tcPr>
            <w:tcW w:w="1068" w:type="dxa"/>
            <w:noWrap/>
            <w:tcMar>
              <w:left w:w="57" w:type="dxa"/>
              <w:right w:w="57" w:type="dxa"/>
            </w:tcMar>
            <w:hideMark/>
          </w:tcPr>
          <w:p w14:paraId="1E222EBF" w14:textId="77777777" w:rsidR="00A974C1" w:rsidRPr="00FE3039" w:rsidRDefault="00A974C1">
            <w:pPr>
              <w:jc w:val="center"/>
              <w:rPr>
                <w:sz w:val="20"/>
              </w:rPr>
            </w:pPr>
            <w:r w:rsidRPr="00FE3039">
              <w:rPr>
                <w:sz w:val="20"/>
              </w:rPr>
              <w:t>2</w:t>
            </w:r>
          </w:p>
        </w:tc>
        <w:tc>
          <w:tcPr>
            <w:tcW w:w="1068" w:type="dxa"/>
            <w:noWrap/>
            <w:tcMar>
              <w:left w:w="57" w:type="dxa"/>
              <w:right w:w="57" w:type="dxa"/>
            </w:tcMar>
            <w:hideMark/>
          </w:tcPr>
          <w:p w14:paraId="206814C7" w14:textId="77777777" w:rsidR="00A974C1" w:rsidRPr="00FE3039" w:rsidRDefault="00A974C1">
            <w:pPr>
              <w:jc w:val="center"/>
              <w:rPr>
                <w:sz w:val="20"/>
              </w:rPr>
            </w:pPr>
            <w:r w:rsidRPr="00FE3039">
              <w:rPr>
                <w:sz w:val="20"/>
              </w:rPr>
              <w:t>4.4</w:t>
            </w:r>
          </w:p>
        </w:tc>
        <w:tc>
          <w:tcPr>
            <w:tcW w:w="1068" w:type="dxa"/>
            <w:noWrap/>
            <w:tcMar>
              <w:left w:w="57" w:type="dxa"/>
              <w:right w:w="57" w:type="dxa"/>
            </w:tcMar>
            <w:hideMark/>
          </w:tcPr>
          <w:p w14:paraId="53F1E365" w14:textId="77777777" w:rsidR="00A974C1" w:rsidRPr="00FE3039" w:rsidRDefault="00A974C1">
            <w:pPr>
              <w:jc w:val="center"/>
              <w:rPr>
                <w:sz w:val="20"/>
              </w:rPr>
            </w:pPr>
            <w:r w:rsidRPr="00FE3039">
              <w:rPr>
                <w:sz w:val="20"/>
              </w:rPr>
              <w:t>45.8%</w:t>
            </w:r>
          </w:p>
        </w:tc>
        <w:tc>
          <w:tcPr>
            <w:tcW w:w="1068" w:type="dxa"/>
            <w:noWrap/>
            <w:tcMar>
              <w:left w:w="57" w:type="dxa"/>
              <w:right w:w="57" w:type="dxa"/>
            </w:tcMar>
            <w:hideMark/>
          </w:tcPr>
          <w:p w14:paraId="01AD7003" w14:textId="77777777" w:rsidR="00A974C1" w:rsidRPr="00FE3039" w:rsidRDefault="00A974C1">
            <w:pPr>
              <w:jc w:val="center"/>
              <w:rPr>
                <w:sz w:val="20"/>
              </w:rPr>
            </w:pPr>
            <w:r w:rsidRPr="00FE3039">
              <w:rPr>
                <w:sz w:val="20"/>
              </w:rPr>
              <w:t>358</w:t>
            </w:r>
          </w:p>
        </w:tc>
        <w:tc>
          <w:tcPr>
            <w:tcW w:w="1068" w:type="dxa"/>
            <w:noWrap/>
            <w:tcMar>
              <w:left w:w="57" w:type="dxa"/>
              <w:right w:w="57" w:type="dxa"/>
            </w:tcMar>
            <w:hideMark/>
          </w:tcPr>
          <w:p w14:paraId="75AEE027" w14:textId="77777777" w:rsidR="00A974C1" w:rsidRPr="00FE3039" w:rsidRDefault="00A974C1">
            <w:pPr>
              <w:jc w:val="center"/>
              <w:rPr>
                <w:sz w:val="20"/>
              </w:rPr>
            </w:pPr>
            <w:r w:rsidRPr="00FE3039">
              <w:rPr>
                <w:sz w:val="20"/>
              </w:rPr>
              <w:t>2310</w:t>
            </w:r>
          </w:p>
        </w:tc>
        <w:tc>
          <w:tcPr>
            <w:tcW w:w="1068" w:type="dxa"/>
            <w:noWrap/>
            <w:tcMar>
              <w:left w:w="57" w:type="dxa"/>
              <w:right w:w="57" w:type="dxa"/>
            </w:tcMar>
            <w:hideMark/>
          </w:tcPr>
          <w:p w14:paraId="50DA39CC" w14:textId="77777777" w:rsidR="00A974C1" w:rsidRPr="00FE3039" w:rsidRDefault="00A974C1">
            <w:pPr>
              <w:jc w:val="center"/>
              <w:rPr>
                <w:sz w:val="20"/>
              </w:rPr>
            </w:pPr>
            <w:r w:rsidRPr="00FE3039">
              <w:rPr>
                <w:sz w:val="20"/>
              </w:rPr>
              <w:t>5561</w:t>
            </w:r>
          </w:p>
        </w:tc>
        <w:tc>
          <w:tcPr>
            <w:tcW w:w="1068" w:type="dxa"/>
            <w:noWrap/>
            <w:tcMar>
              <w:left w:w="57" w:type="dxa"/>
              <w:right w:w="57" w:type="dxa"/>
            </w:tcMar>
            <w:hideMark/>
          </w:tcPr>
          <w:p w14:paraId="5EE81ACD" w14:textId="77777777" w:rsidR="00A974C1" w:rsidRPr="00FE3039" w:rsidRDefault="00A974C1">
            <w:pPr>
              <w:jc w:val="center"/>
              <w:rPr>
                <w:sz w:val="20"/>
              </w:rPr>
            </w:pPr>
            <w:r w:rsidRPr="00FE3039">
              <w:rPr>
                <w:sz w:val="20"/>
              </w:rPr>
              <w:t>0.47</w:t>
            </w:r>
          </w:p>
        </w:tc>
        <w:tc>
          <w:tcPr>
            <w:tcW w:w="1068" w:type="dxa"/>
            <w:noWrap/>
            <w:tcMar>
              <w:left w:w="57" w:type="dxa"/>
              <w:right w:w="57" w:type="dxa"/>
            </w:tcMar>
            <w:hideMark/>
          </w:tcPr>
          <w:p w14:paraId="0959268F" w14:textId="77777777" w:rsidR="00A974C1" w:rsidRPr="00FE3039" w:rsidRDefault="00A974C1">
            <w:pPr>
              <w:jc w:val="center"/>
              <w:rPr>
                <w:sz w:val="20"/>
              </w:rPr>
            </w:pPr>
            <w:r w:rsidRPr="00FE3039">
              <w:rPr>
                <w:sz w:val="20"/>
              </w:rPr>
              <w:t>0.47</w:t>
            </w:r>
          </w:p>
        </w:tc>
        <w:tc>
          <w:tcPr>
            <w:tcW w:w="799" w:type="dxa"/>
            <w:gridSpan w:val="2"/>
            <w:noWrap/>
            <w:tcMar>
              <w:left w:w="57" w:type="dxa"/>
              <w:right w:w="57" w:type="dxa"/>
            </w:tcMar>
            <w:hideMark/>
          </w:tcPr>
          <w:p w14:paraId="3C28E7A2" w14:textId="77777777" w:rsidR="00A974C1" w:rsidRPr="00FE3039" w:rsidRDefault="00A974C1">
            <w:pPr>
              <w:jc w:val="center"/>
              <w:rPr>
                <w:sz w:val="20"/>
              </w:rPr>
            </w:pPr>
            <w:r w:rsidRPr="00FE3039">
              <w:rPr>
                <w:sz w:val="20"/>
              </w:rPr>
              <w:t>0.47</w:t>
            </w:r>
          </w:p>
        </w:tc>
      </w:tr>
      <w:tr w:rsidR="00A974C1" w:rsidRPr="00A94043" w14:paraId="12A91745" w14:textId="77777777" w:rsidTr="00A974C1">
        <w:trPr>
          <w:gridAfter w:val="1"/>
          <w:wAfter w:w="6" w:type="dxa"/>
          <w:cantSplit/>
          <w:trHeight w:val="290"/>
          <w:tblHeader/>
        </w:trPr>
        <w:tc>
          <w:tcPr>
            <w:tcW w:w="895" w:type="dxa"/>
            <w:noWrap/>
            <w:tcMar>
              <w:left w:w="57" w:type="dxa"/>
              <w:right w:w="57" w:type="dxa"/>
            </w:tcMar>
          </w:tcPr>
          <w:p w14:paraId="4173FDD4" w14:textId="77777777" w:rsidR="00A974C1" w:rsidRPr="00FE3039" w:rsidRDefault="00A974C1">
            <w:pPr>
              <w:rPr>
                <w:sz w:val="20"/>
              </w:rPr>
            </w:pPr>
            <w:r w:rsidRPr="00FE3039">
              <w:rPr>
                <w:sz w:val="20"/>
              </w:rPr>
              <w:t>8</w:t>
            </w:r>
          </w:p>
        </w:tc>
        <w:tc>
          <w:tcPr>
            <w:tcW w:w="1260" w:type="dxa"/>
            <w:tcMar>
              <w:left w:w="57" w:type="dxa"/>
              <w:right w:w="57" w:type="dxa"/>
            </w:tcMar>
          </w:tcPr>
          <w:p w14:paraId="19DD7BA5" w14:textId="289D6BC5" w:rsidR="00A974C1" w:rsidRDefault="00A974C1">
            <w:pPr>
              <w:rPr>
                <w:sz w:val="20"/>
              </w:rPr>
            </w:pPr>
            <w:r w:rsidRPr="00FE3039">
              <w:rPr>
                <w:sz w:val="20"/>
              </w:rPr>
              <w:t>Air Conditioner</w:t>
            </w:r>
            <w:r w:rsidR="00611693">
              <w:rPr>
                <w:sz w:val="20"/>
              </w:rPr>
              <w:fldChar w:fldCharType="begin"/>
            </w:r>
            <w:r w:rsidR="00611693">
              <w:rPr>
                <w:sz w:val="20"/>
              </w:rPr>
              <w:instrText xml:space="preserve"> NOTEREF _Ref171938938 \h </w:instrText>
            </w:r>
            <w:r w:rsidR="00611693">
              <w:rPr>
                <w:sz w:val="20"/>
              </w:rPr>
            </w:r>
            <w:r w:rsidR="00611693">
              <w:rPr>
                <w:sz w:val="20"/>
              </w:rPr>
              <w:fldChar w:fldCharType="separate"/>
            </w:r>
            <w:r w:rsidR="007068DD" w:rsidRPr="007068DD">
              <w:t>*</w:t>
            </w:r>
            <w:r w:rsidR="00611693">
              <w:rPr>
                <w:sz w:val="20"/>
              </w:rPr>
              <w:fldChar w:fldCharType="end"/>
            </w:r>
            <w:r w:rsidRPr="00FE3039">
              <w:rPr>
                <w:sz w:val="20"/>
              </w:rPr>
              <w:t xml:space="preserve"> (Non-ducted)</w:t>
            </w:r>
          </w:p>
        </w:tc>
        <w:tc>
          <w:tcPr>
            <w:tcW w:w="1440" w:type="dxa"/>
            <w:noWrap/>
            <w:tcMar>
              <w:left w:w="57" w:type="dxa"/>
              <w:right w:w="57" w:type="dxa"/>
            </w:tcMar>
          </w:tcPr>
          <w:p w14:paraId="60DD234F" w14:textId="77777777" w:rsidR="00A974C1" w:rsidRPr="00FE3039" w:rsidRDefault="00A974C1">
            <w:pPr>
              <w:rPr>
                <w:sz w:val="20"/>
              </w:rPr>
            </w:pPr>
            <w:r w:rsidRPr="00FE3039">
              <w:rPr>
                <w:sz w:val="20"/>
              </w:rPr>
              <w:t>Avg GEMS Register 6.5-7.5kW non-ducted</w:t>
            </w:r>
          </w:p>
        </w:tc>
        <w:tc>
          <w:tcPr>
            <w:tcW w:w="900" w:type="dxa"/>
            <w:tcMar>
              <w:left w:w="57" w:type="dxa"/>
              <w:right w:w="57" w:type="dxa"/>
            </w:tcMar>
          </w:tcPr>
          <w:p w14:paraId="1EA07AA6" w14:textId="77777777" w:rsidR="00A974C1" w:rsidRPr="008446E1" w:rsidRDefault="00A974C1">
            <w:pPr>
              <w:jc w:val="center"/>
              <w:rPr>
                <w:sz w:val="20"/>
              </w:rPr>
            </w:pPr>
            <w:r w:rsidRPr="00FE3039">
              <w:rPr>
                <w:sz w:val="20"/>
              </w:rPr>
              <w:t>Medium</w:t>
            </w:r>
          </w:p>
        </w:tc>
        <w:tc>
          <w:tcPr>
            <w:tcW w:w="1068" w:type="dxa"/>
            <w:noWrap/>
            <w:tcMar>
              <w:left w:w="57" w:type="dxa"/>
              <w:right w:w="57" w:type="dxa"/>
            </w:tcMar>
          </w:tcPr>
          <w:p w14:paraId="0D8DE9D4" w14:textId="77777777" w:rsidR="00A974C1" w:rsidRPr="00A94043" w:rsidRDefault="00A974C1">
            <w:pPr>
              <w:jc w:val="center"/>
              <w:rPr>
                <w:sz w:val="20"/>
              </w:rPr>
            </w:pPr>
            <w:r w:rsidRPr="00A94043">
              <w:rPr>
                <w:sz w:val="20"/>
              </w:rPr>
              <w:t>7</w:t>
            </w:r>
          </w:p>
          <w:p w14:paraId="18503459" w14:textId="77777777" w:rsidR="00A974C1" w:rsidRPr="00FE3039" w:rsidRDefault="00A974C1">
            <w:pPr>
              <w:jc w:val="center"/>
              <w:rPr>
                <w:sz w:val="20"/>
              </w:rPr>
            </w:pPr>
          </w:p>
        </w:tc>
        <w:tc>
          <w:tcPr>
            <w:tcW w:w="1068" w:type="dxa"/>
            <w:noWrap/>
            <w:tcMar>
              <w:left w:w="57" w:type="dxa"/>
              <w:right w:w="57" w:type="dxa"/>
            </w:tcMar>
          </w:tcPr>
          <w:p w14:paraId="57F4F500" w14:textId="77777777" w:rsidR="00A974C1" w:rsidRPr="00FE3039" w:rsidRDefault="00A974C1">
            <w:pPr>
              <w:jc w:val="center"/>
              <w:rPr>
                <w:sz w:val="20"/>
              </w:rPr>
            </w:pPr>
            <w:r w:rsidRPr="00FE3039">
              <w:rPr>
                <w:sz w:val="20"/>
              </w:rPr>
              <w:t>1.8</w:t>
            </w:r>
          </w:p>
        </w:tc>
        <w:tc>
          <w:tcPr>
            <w:tcW w:w="1068" w:type="dxa"/>
            <w:noWrap/>
            <w:tcMar>
              <w:left w:w="57" w:type="dxa"/>
              <w:right w:w="57" w:type="dxa"/>
            </w:tcMar>
          </w:tcPr>
          <w:p w14:paraId="6B67E374" w14:textId="77777777" w:rsidR="00A974C1" w:rsidRPr="00FE3039" w:rsidRDefault="00A974C1">
            <w:pPr>
              <w:jc w:val="center"/>
              <w:rPr>
                <w:sz w:val="20"/>
              </w:rPr>
            </w:pPr>
            <w:r w:rsidRPr="00FE3039">
              <w:rPr>
                <w:sz w:val="20"/>
              </w:rPr>
              <w:t>3</w:t>
            </w:r>
            <w:r>
              <w:rPr>
                <w:sz w:val="20"/>
              </w:rPr>
              <w:t>90</w:t>
            </w:r>
            <w:r w:rsidRPr="00FE3039">
              <w:rPr>
                <w:sz w:val="20"/>
              </w:rPr>
              <w:t>%</w:t>
            </w:r>
          </w:p>
        </w:tc>
        <w:tc>
          <w:tcPr>
            <w:tcW w:w="1068" w:type="dxa"/>
            <w:noWrap/>
            <w:tcMar>
              <w:left w:w="57" w:type="dxa"/>
              <w:right w:w="57" w:type="dxa"/>
            </w:tcMar>
          </w:tcPr>
          <w:p w14:paraId="0B8DCCE9" w14:textId="77777777" w:rsidR="00A974C1" w:rsidRPr="00FE3039" w:rsidRDefault="00A974C1">
            <w:pPr>
              <w:jc w:val="center"/>
              <w:rPr>
                <w:sz w:val="20"/>
              </w:rPr>
            </w:pPr>
            <w:r w:rsidRPr="00FE3039">
              <w:rPr>
                <w:sz w:val="20"/>
              </w:rPr>
              <w:t>135</w:t>
            </w:r>
          </w:p>
        </w:tc>
        <w:tc>
          <w:tcPr>
            <w:tcW w:w="1068" w:type="dxa"/>
            <w:noWrap/>
            <w:tcMar>
              <w:left w:w="57" w:type="dxa"/>
              <w:right w:w="57" w:type="dxa"/>
            </w:tcMar>
          </w:tcPr>
          <w:p w14:paraId="59FAAC2F" w14:textId="77777777" w:rsidR="00A974C1" w:rsidRPr="00FE3039" w:rsidRDefault="00A974C1">
            <w:pPr>
              <w:jc w:val="center"/>
              <w:rPr>
                <w:sz w:val="20"/>
              </w:rPr>
            </w:pPr>
            <w:r w:rsidRPr="00FE3039">
              <w:rPr>
                <w:sz w:val="20"/>
              </w:rPr>
              <w:t>918</w:t>
            </w:r>
          </w:p>
        </w:tc>
        <w:tc>
          <w:tcPr>
            <w:tcW w:w="1068" w:type="dxa"/>
            <w:noWrap/>
            <w:tcMar>
              <w:left w:w="57" w:type="dxa"/>
              <w:right w:w="57" w:type="dxa"/>
            </w:tcMar>
          </w:tcPr>
          <w:p w14:paraId="00AC60FE" w14:textId="77777777" w:rsidR="00A974C1" w:rsidRPr="00FE3039" w:rsidRDefault="00A974C1">
            <w:pPr>
              <w:jc w:val="center"/>
              <w:rPr>
                <w:sz w:val="20"/>
              </w:rPr>
            </w:pPr>
            <w:r w:rsidRPr="00FE3039">
              <w:rPr>
                <w:sz w:val="20"/>
              </w:rPr>
              <w:t>2499</w:t>
            </w:r>
          </w:p>
        </w:tc>
        <w:tc>
          <w:tcPr>
            <w:tcW w:w="1068" w:type="dxa"/>
            <w:noWrap/>
            <w:tcMar>
              <w:left w:w="57" w:type="dxa"/>
              <w:right w:w="57" w:type="dxa"/>
            </w:tcMar>
          </w:tcPr>
          <w:p w14:paraId="7011A28C" w14:textId="77777777" w:rsidR="00A974C1" w:rsidRPr="00FE3039" w:rsidRDefault="00A974C1">
            <w:pPr>
              <w:jc w:val="center"/>
              <w:rPr>
                <w:sz w:val="20"/>
              </w:rPr>
            </w:pPr>
            <w:r w:rsidRPr="00FE3039">
              <w:rPr>
                <w:sz w:val="20"/>
              </w:rPr>
              <w:t>4.8</w:t>
            </w:r>
          </w:p>
        </w:tc>
        <w:tc>
          <w:tcPr>
            <w:tcW w:w="1068" w:type="dxa"/>
            <w:noWrap/>
            <w:tcMar>
              <w:left w:w="57" w:type="dxa"/>
              <w:right w:w="57" w:type="dxa"/>
            </w:tcMar>
          </w:tcPr>
          <w:p w14:paraId="6F95D07D" w14:textId="77777777" w:rsidR="00A974C1" w:rsidRPr="00FE3039" w:rsidRDefault="00A974C1">
            <w:pPr>
              <w:jc w:val="center"/>
              <w:rPr>
                <w:sz w:val="20"/>
              </w:rPr>
            </w:pPr>
            <w:r w:rsidRPr="00FE3039">
              <w:rPr>
                <w:sz w:val="20"/>
              </w:rPr>
              <w:t>4.2</w:t>
            </w:r>
          </w:p>
        </w:tc>
        <w:tc>
          <w:tcPr>
            <w:tcW w:w="793" w:type="dxa"/>
            <w:noWrap/>
            <w:tcMar>
              <w:left w:w="57" w:type="dxa"/>
              <w:right w:w="57" w:type="dxa"/>
            </w:tcMar>
          </w:tcPr>
          <w:p w14:paraId="616C4BE9" w14:textId="77777777" w:rsidR="00A974C1" w:rsidRPr="00FE3039" w:rsidRDefault="00A974C1">
            <w:pPr>
              <w:jc w:val="center"/>
              <w:rPr>
                <w:sz w:val="20"/>
              </w:rPr>
            </w:pPr>
            <w:r w:rsidRPr="00FE3039">
              <w:rPr>
                <w:sz w:val="20"/>
              </w:rPr>
              <w:t>3.7</w:t>
            </w:r>
          </w:p>
        </w:tc>
      </w:tr>
      <w:tr w:rsidR="00A974C1" w:rsidRPr="00A94043" w14:paraId="514AC2ED" w14:textId="77777777" w:rsidTr="00A974C1">
        <w:trPr>
          <w:gridAfter w:val="1"/>
          <w:wAfter w:w="6" w:type="dxa"/>
          <w:cantSplit/>
          <w:trHeight w:val="290"/>
          <w:tblHeader/>
        </w:trPr>
        <w:tc>
          <w:tcPr>
            <w:tcW w:w="895" w:type="dxa"/>
            <w:noWrap/>
            <w:tcMar>
              <w:left w:w="57" w:type="dxa"/>
              <w:right w:w="57" w:type="dxa"/>
            </w:tcMar>
          </w:tcPr>
          <w:p w14:paraId="7BEE5B93" w14:textId="77777777" w:rsidR="00A974C1" w:rsidRPr="00FE3039" w:rsidRDefault="00A974C1">
            <w:pPr>
              <w:rPr>
                <w:sz w:val="20"/>
              </w:rPr>
            </w:pPr>
            <w:r w:rsidRPr="00FE3039">
              <w:rPr>
                <w:sz w:val="20"/>
              </w:rPr>
              <w:t>9</w:t>
            </w:r>
          </w:p>
        </w:tc>
        <w:tc>
          <w:tcPr>
            <w:tcW w:w="1260" w:type="dxa"/>
            <w:tcMar>
              <w:left w:w="57" w:type="dxa"/>
              <w:right w:w="57" w:type="dxa"/>
            </w:tcMar>
          </w:tcPr>
          <w:p w14:paraId="023C085F" w14:textId="5F7FC1EE" w:rsidR="00A974C1" w:rsidRPr="00FE3039" w:rsidRDefault="00A974C1">
            <w:pPr>
              <w:rPr>
                <w:sz w:val="20"/>
              </w:rPr>
            </w:pPr>
            <w:r w:rsidRPr="00FE3039">
              <w:rPr>
                <w:sz w:val="20"/>
              </w:rPr>
              <w:t>Ducted Air Conditioner</w:t>
            </w:r>
            <w:r w:rsidR="002803AE">
              <w:rPr>
                <w:sz w:val="20"/>
              </w:rPr>
              <w:fldChar w:fldCharType="begin"/>
            </w:r>
            <w:r w:rsidR="002803AE">
              <w:rPr>
                <w:sz w:val="20"/>
              </w:rPr>
              <w:instrText xml:space="preserve"> NOTEREF _Ref171938938 \h </w:instrText>
            </w:r>
            <w:r w:rsidR="002803AE">
              <w:rPr>
                <w:sz w:val="20"/>
              </w:rPr>
            </w:r>
            <w:r w:rsidR="002803AE">
              <w:rPr>
                <w:sz w:val="20"/>
              </w:rPr>
              <w:fldChar w:fldCharType="separate"/>
            </w:r>
            <w:r w:rsidR="007068DD" w:rsidRPr="007068DD">
              <w:t>*</w:t>
            </w:r>
            <w:r w:rsidR="002803AE">
              <w:rPr>
                <w:sz w:val="20"/>
              </w:rPr>
              <w:fldChar w:fldCharType="end"/>
            </w:r>
          </w:p>
        </w:tc>
        <w:tc>
          <w:tcPr>
            <w:tcW w:w="1440" w:type="dxa"/>
            <w:noWrap/>
            <w:tcMar>
              <w:left w:w="57" w:type="dxa"/>
              <w:right w:w="57" w:type="dxa"/>
            </w:tcMar>
          </w:tcPr>
          <w:p w14:paraId="5419E2A0" w14:textId="77777777" w:rsidR="00A974C1" w:rsidRPr="00FE3039" w:rsidRDefault="00A974C1">
            <w:pPr>
              <w:rPr>
                <w:sz w:val="20"/>
              </w:rPr>
            </w:pPr>
            <w:r w:rsidRPr="00FE3039">
              <w:rPr>
                <w:sz w:val="20"/>
              </w:rPr>
              <w:t>Avg GEMS Register 6.5-7.5kW ducted</w:t>
            </w:r>
          </w:p>
        </w:tc>
        <w:tc>
          <w:tcPr>
            <w:tcW w:w="900" w:type="dxa"/>
            <w:tcMar>
              <w:left w:w="57" w:type="dxa"/>
              <w:right w:w="57" w:type="dxa"/>
            </w:tcMar>
          </w:tcPr>
          <w:p w14:paraId="00180439" w14:textId="77777777" w:rsidR="00A974C1" w:rsidRPr="008446E1" w:rsidRDefault="00A974C1">
            <w:pPr>
              <w:jc w:val="center"/>
              <w:rPr>
                <w:sz w:val="20"/>
              </w:rPr>
            </w:pPr>
            <w:r w:rsidRPr="00A57086">
              <w:rPr>
                <w:sz w:val="20"/>
              </w:rPr>
              <w:t>Medium</w:t>
            </w:r>
          </w:p>
        </w:tc>
        <w:tc>
          <w:tcPr>
            <w:tcW w:w="1068" w:type="dxa"/>
            <w:noWrap/>
            <w:tcMar>
              <w:left w:w="57" w:type="dxa"/>
              <w:right w:w="57" w:type="dxa"/>
            </w:tcMar>
          </w:tcPr>
          <w:p w14:paraId="3466BEFF" w14:textId="77777777" w:rsidR="00A974C1" w:rsidRPr="00FE3039" w:rsidRDefault="00A974C1">
            <w:pPr>
              <w:jc w:val="center"/>
              <w:rPr>
                <w:sz w:val="20"/>
              </w:rPr>
            </w:pPr>
            <w:r w:rsidRPr="00A94043">
              <w:rPr>
                <w:sz w:val="20"/>
              </w:rPr>
              <w:t>7</w:t>
            </w:r>
          </w:p>
        </w:tc>
        <w:tc>
          <w:tcPr>
            <w:tcW w:w="1068" w:type="dxa"/>
            <w:noWrap/>
            <w:tcMar>
              <w:left w:w="57" w:type="dxa"/>
              <w:right w:w="57" w:type="dxa"/>
            </w:tcMar>
          </w:tcPr>
          <w:p w14:paraId="64BA10A1" w14:textId="77777777" w:rsidR="00A974C1" w:rsidRPr="00FE3039" w:rsidRDefault="00A974C1">
            <w:pPr>
              <w:jc w:val="center"/>
              <w:rPr>
                <w:sz w:val="20"/>
              </w:rPr>
            </w:pPr>
            <w:r w:rsidRPr="00FE3039">
              <w:rPr>
                <w:sz w:val="20"/>
              </w:rPr>
              <w:t>1.8</w:t>
            </w:r>
          </w:p>
        </w:tc>
        <w:tc>
          <w:tcPr>
            <w:tcW w:w="1068" w:type="dxa"/>
            <w:noWrap/>
            <w:tcMar>
              <w:left w:w="57" w:type="dxa"/>
              <w:right w:w="57" w:type="dxa"/>
            </w:tcMar>
          </w:tcPr>
          <w:p w14:paraId="511CEFB7" w14:textId="77777777" w:rsidR="00A974C1" w:rsidRPr="00FE3039" w:rsidRDefault="00A974C1">
            <w:pPr>
              <w:jc w:val="center"/>
              <w:rPr>
                <w:sz w:val="20"/>
              </w:rPr>
            </w:pPr>
            <w:r w:rsidRPr="00FE3039">
              <w:rPr>
                <w:sz w:val="20"/>
              </w:rPr>
              <w:t>3</w:t>
            </w:r>
            <w:r>
              <w:rPr>
                <w:sz w:val="20"/>
              </w:rPr>
              <w:t>88</w:t>
            </w:r>
            <w:r w:rsidRPr="00FE3039">
              <w:rPr>
                <w:sz w:val="20"/>
              </w:rPr>
              <w:t>%</w:t>
            </w:r>
          </w:p>
        </w:tc>
        <w:tc>
          <w:tcPr>
            <w:tcW w:w="1068" w:type="dxa"/>
            <w:noWrap/>
            <w:tcMar>
              <w:left w:w="57" w:type="dxa"/>
              <w:right w:w="57" w:type="dxa"/>
            </w:tcMar>
          </w:tcPr>
          <w:p w14:paraId="5E2529A7" w14:textId="77777777" w:rsidR="00A974C1" w:rsidRPr="00FE3039" w:rsidRDefault="00A974C1">
            <w:pPr>
              <w:jc w:val="center"/>
              <w:rPr>
                <w:sz w:val="20"/>
              </w:rPr>
            </w:pPr>
            <w:r w:rsidRPr="00FE3039">
              <w:rPr>
                <w:sz w:val="20"/>
              </w:rPr>
              <w:t>165</w:t>
            </w:r>
          </w:p>
        </w:tc>
        <w:tc>
          <w:tcPr>
            <w:tcW w:w="1068" w:type="dxa"/>
            <w:noWrap/>
            <w:tcMar>
              <w:left w:w="57" w:type="dxa"/>
              <w:right w:w="57" w:type="dxa"/>
            </w:tcMar>
          </w:tcPr>
          <w:p w14:paraId="52BBD444" w14:textId="77777777" w:rsidR="00A974C1" w:rsidRPr="00FE3039" w:rsidRDefault="00A974C1">
            <w:pPr>
              <w:jc w:val="center"/>
              <w:rPr>
                <w:sz w:val="20"/>
              </w:rPr>
            </w:pPr>
            <w:r w:rsidRPr="00FE3039">
              <w:rPr>
                <w:sz w:val="20"/>
              </w:rPr>
              <w:t>1009</w:t>
            </w:r>
          </w:p>
        </w:tc>
        <w:tc>
          <w:tcPr>
            <w:tcW w:w="1068" w:type="dxa"/>
            <w:noWrap/>
            <w:tcMar>
              <w:left w:w="57" w:type="dxa"/>
              <w:right w:w="57" w:type="dxa"/>
            </w:tcMar>
          </w:tcPr>
          <w:p w14:paraId="0ACB246D" w14:textId="77777777" w:rsidR="00A974C1" w:rsidRPr="00FE3039" w:rsidRDefault="00A974C1">
            <w:pPr>
              <w:jc w:val="center"/>
              <w:rPr>
                <w:sz w:val="20"/>
              </w:rPr>
            </w:pPr>
            <w:r w:rsidRPr="00FE3039">
              <w:rPr>
                <w:sz w:val="20"/>
              </w:rPr>
              <w:t>2689</w:t>
            </w:r>
          </w:p>
        </w:tc>
        <w:tc>
          <w:tcPr>
            <w:tcW w:w="1068" w:type="dxa"/>
            <w:noWrap/>
            <w:tcMar>
              <w:left w:w="57" w:type="dxa"/>
              <w:right w:w="57" w:type="dxa"/>
            </w:tcMar>
          </w:tcPr>
          <w:p w14:paraId="2E411668" w14:textId="77777777" w:rsidR="00A974C1" w:rsidRPr="00FE3039" w:rsidRDefault="00A974C1">
            <w:pPr>
              <w:jc w:val="center"/>
              <w:rPr>
                <w:sz w:val="20"/>
              </w:rPr>
            </w:pPr>
            <w:r w:rsidRPr="00FE3039">
              <w:rPr>
                <w:sz w:val="20"/>
              </w:rPr>
              <w:t>4.4</w:t>
            </w:r>
          </w:p>
        </w:tc>
        <w:tc>
          <w:tcPr>
            <w:tcW w:w="1068" w:type="dxa"/>
            <w:noWrap/>
            <w:tcMar>
              <w:left w:w="57" w:type="dxa"/>
              <w:right w:w="57" w:type="dxa"/>
            </w:tcMar>
          </w:tcPr>
          <w:p w14:paraId="12055F16" w14:textId="77777777" w:rsidR="00A974C1" w:rsidRPr="00FE3039" w:rsidRDefault="00A974C1">
            <w:pPr>
              <w:jc w:val="center"/>
              <w:rPr>
                <w:sz w:val="20"/>
              </w:rPr>
            </w:pPr>
            <w:r w:rsidRPr="00FE3039">
              <w:rPr>
                <w:sz w:val="20"/>
              </w:rPr>
              <w:t>3.9</w:t>
            </w:r>
          </w:p>
        </w:tc>
        <w:tc>
          <w:tcPr>
            <w:tcW w:w="793" w:type="dxa"/>
            <w:noWrap/>
            <w:tcMar>
              <w:left w:w="57" w:type="dxa"/>
              <w:right w:w="57" w:type="dxa"/>
            </w:tcMar>
          </w:tcPr>
          <w:p w14:paraId="731D9785" w14:textId="77777777" w:rsidR="00A974C1" w:rsidRPr="00FE3039" w:rsidRDefault="00A974C1">
            <w:pPr>
              <w:jc w:val="center"/>
              <w:rPr>
                <w:sz w:val="20"/>
              </w:rPr>
            </w:pPr>
            <w:r w:rsidRPr="00FE3039">
              <w:rPr>
                <w:sz w:val="20"/>
              </w:rPr>
              <w:t>3.4</w:t>
            </w:r>
          </w:p>
        </w:tc>
      </w:tr>
      <w:tr w:rsidR="00A974C1" w:rsidRPr="00A94043" w14:paraId="30AAA3E2" w14:textId="77777777" w:rsidTr="00A974C1">
        <w:trPr>
          <w:gridAfter w:val="1"/>
          <w:wAfter w:w="6" w:type="dxa"/>
          <w:cantSplit/>
          <w:trHeight w:val="290"/>
          <w:tblHeader/>
        </w:trPr>
        <w:tc>
          <w:tcPr>
            <w:tcW w:w="895" w:type="dxa"/>
            <w:noWrap/>
            <w:tcMar>
              <w:left w:w="57" w:type="dxa"/>
              <w:right w:w="57" w:type="dxa"/>
            </w:tcMar>
          </w:tcPr>
          <w:p w14:paraId="3C24D072" w14:textId="77777777" w:rsidR="00A974C1" w:rsidRPr="00FE3039" w:rsidRDefault="00A974C1">
            <w:pPr>
              <w:rPr>
                <w:sz w:val="20"/>
              </w:rPr>
            </w:pPr>
            <w:r w:rsidRPr="00FE3039">
              <w:rPr>
                <w:sz w:val="20"/>
              </w:rPr>
              <w:t>10</w:t>
            </w:r>
          </w:p>
        </w:tc>
        <w:tc>
          <w:tcPr>
            <w:tcW w:w="1260" w:type="dxa"/>
            <w:tcMar>
              <w:left w:w="57" w:type="dxa"/>
              <w:right w:w="57" w:type="dxa"/>
            </w:tcMar>
          </w:tcPr>
          <w:p w14:paraId="6B5D70CA" w14:textId="77777777" w:rsidR="00A974C1" w:rsidRPr="00FE3039" w:rsidRDefault="00A974C1">
            <w:pPr>
              <w:rPr>
                <w:sz w:val="20"/>
              </w:rPr>
            </w:pPr>
            <w:r w:rsidRPr="00FE3039">
              <w:rPr>
                <w:sz w:val="20"/>
              </w:rPr>
              <w:t>Electric Resistance</w:t>
            </w:r>
          </w:p>
        </w:tc>
        <w:tc>
          <w:tcPr>
            <w:tcW w:w="1440" w:type="dxa"/>
            <w:noWrap/>
            <w:tcMar>
              <w:left w:w="57" w:type="dxa"/>
              <w:right w:w="57" w:type="dxa"/>
            </w:tcMar>
          </w:tcPr>
          <w:p w14:paraId="7ABCEB3E" w14:textId="77777777" w:rsidR="00A974C1" w:rsidRPr="00FE3039" w:rsidRDefault="00A974C1">
            <w:pPr>
              <w:rPr>
                <w:sz w:val="20"/>
              </w:rPr>
            </w:pPr>
            <w:r>
              <w:rPr>
                <w:sz w:val="20"/>
              </w:rPr>
              <w:t xml:space="preserve">Multiple </w:t>
            </w:r>
            <w:r w:rsidRPr="00FE3039">
              <w:rPr>
                <w:sz w:val="20"/>
              </w:rPr>
              <w:t>Portable</w:t>
            </w:r>
            <w:r>
              <w:rPr>
                <w:sz w:val="20"/>
              </w:rPr>
              <w:t xml:space="preserve"> (e.g. 2.4kW + 2.4kW + 2.2kW)</w:t>
            </w:r>
            <w:r w:rsidRPr="00FE3039">
              <w:rPr>
                <w:sz w:val="20"/>
              </w:rPr>
              <w:t>, Thermostatic Control</w:t>
            </w:r>
          </w:p>
        </w:tc>
        <w:tc>
          <w:tcPr>
            <w:tcW w:w="900" w:type="dxa"/>
            <w:tcMar>
              <w:left w:w="57" w:type="dxa"/>
              <w:right w:w="57" w:type="dxa"/>
            </w:tcMar>
          </w:tcPr>
          <w:p w14:paraId="3C999F16" w14:textId="77777777" w:rsidR="00A974C1" w:rsidRPr="008446E1" w:rsidRDefault="00A974C1">
            <w:pPr>
              <w:jc w:val="center"/>
              <w:rPr>
                <w:sz w:val="20"/>
              </w:rPr>
            </w:pPr>
            <w:r w:rsidRPr="00A57086">
              <w:rPr>
                <w:sz w:val="20"/>
              </w:rPr>
              <w:t>Medium</w:t>
            </w:r>
          </w:p>
        </w:tc>
        <w:tc>
          <w:tcPr>
            <w:tcW w:w="1068" w:type="dxa"/>
            <w:noWrap/>
            <w:tcMar>
              <w:left w:w="57" w:type="dxa"/>
              <w:right w:w="57" w:type="dxa"/>
            </w:tcMar>
          </w:tcPr>
          <w:p w14:paraId="6C78E8AE"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7583454E"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4806C955" w14:textId="77777777" w:rsidR="00A974C1" w:rsidRPr="00FE3039" w:rsidRDefault="00A974C1">
            <w:pPr>
              <w:jc w:val="center"/>
              <w:rPr>
                <w:sz w:val="20"/>
              </w:rPr>
            </w:pPr>
            <w:r w:rsidRPr="00FE3039">
              <w:rPr>
                <w:sz w:val="20"/>
              </w:rPr>
              <w:t>100%</w:t>
            </w:r>
          </w:p>
        </w:tc>
        <w:tc>
          <w:tcPr>
            <w:tcW w:w="1068" w:type="dxa"/>
            <w:noWrap/>
            <w:tcMar>
              <w:left w:w="57" w:type="dxa"/>
              <w:right w:w="57" w:type="dxa"/>
            </w:tcMar>
          </w:tcPr>
          <w:p w14:paraId="47668F6E" w14:textId="77777777" w:rsidR="00A974C1" w:rsidRPr="00FE3039" w:rsidRDefault="00A974C1">
            <w:pPr>
              <w:jc w:val="center"/>
              <w:rPr>
                <w:sz w:val="20"/>
              </w:rPr>
            </w:pPr>
            <w:r w:rsidRPr="00FE3039">
              <w:rPr>
                <w:sz w:val="20"/>
              </w:rPr>
              <w:t>627</w:t>
            </w:r>
          </w:p>
        </w:tc>
        <w:tc>
          <w:tcPr>
            <w:tcW w:w="1068" w:type="dxa"/>
            <w:noWrap/>
            <w:tcMar>
              <w:left w:w="57" w:type="dxa"/>
              <w:right w:w="57" w:type="dxa"/>
            </w:tcMar>
          </w:tcPr>
          <w:p w14:paraId="449948BA" w14:textId="77777777" w:rsidR="00A974C1" w:rsidRPr="00FE3039" w:rsidRDefault="00A974C1">
            <w:pPr>
              <w:jc w:val="center"/>
              <w:rPr>
                <w:sz w:val="20"/>
              </w:rPr>
            </w:pPr>
            <w:r w:rsidRPr="00FE3039">
              <w:rPr>
                <w:sz w:val="20"/>
              </w:rPr>
              <w:t>3837</w:t>
            </w:r>
          </w:p>
        </w:tc>
        <w:tc>
          <w:tcPr>
            <w:tcW w:w="1068" w:type="dxa"/>
            <w:noWrap/>
            <w:tcMar>
              <w:left w:w="57" w:type="dxa"/>
              <w:right w:w="57" w:type="dxa"/>
            </w:tcMar>
          </w:tcPr>
          <w:p w14:paraId="4787D246" w14:textId="77777777" w:rsidR="00A974C1" w:rsidRPr="00FE3039" w:rsidRDefault="00A974C1">
            <w:pPr>
              <w:jc w:val="center"/>
              <w:rPr>
                <w:sz w:val="20"/>
              </w:rPr>
            </w:pPr>
            <w:r w:rsidRPr="00FE3039">
              <w:rPr>
                <w:sz w:val="20"/>
              </w:rPr>
              <w:t>9160</w:t>
            </w:r>
          </w:p>
        </w:tc>
        <w:tc>
          <w:tcPr>
            <w:tcW w:w="1068" w:type="dxa"/>
            <w:noWrap/>
            <w:tcMar>
              <w:left w:w="57" w:type="dxa"/>
              <w:right w:w="57" w:type="dxa"/>
            </w:tcMar>
          </w:tcPr>
          <w:p w14:paraId="409AA4F1" w14:textId="77777777" w:rsidR="00A974C1" w:rsidRPr="00FE3039" w:rsidRDefault="00A974C1">
            <w:pPr>
              <w:jc w:val="center"/>
              <w:rPr>
                <w:sz w:val="20"/>
              </w:rPr>
            </w:pPr>
            <w:r w:rsidRPr="00FE3039">
              <w:rPr>
                <w:sz w:val="20"/>
              </w:rPr>
              <w:t>0.94</w:t>
            </w:r>
          </w:p>
        </w:tc>
        <w:tc>
          <w:tcPr>
            <w:tcW w:w="1068" w:type="dxa"/>
            <w:noWrap/>
            <w:tcMar>
              <w:left w:w="57" w:type="dxa"/>
              <w:right w:w="57" w:type="dxa"/>
            </w:tcMar>
          </w:tcPr>
          <w:p w14:paraId="07B67F68" w14:textId="77777777" w:rsidR="00A974C1" w:rsidRPr="00FE3039" w:rsidRDefault="00A974C1">
            <w:pPr>
              <w:jc w:val="center"/>
              <w:rPr>
                <w:sz w:val="20"/>
              </w:rPr>
            </w:pPr>
            <w:r w:rsidRPr="00FE3039">
              <w:rPr>
                <w:sz w:val="20"/>
              </w:rPr>
              <w:t>0.99</w:t>
            </w:r>
          </w:p>
        </w:tc>
        <w:tc>
          <w:tcPr>
            <w:tcW w:w="793" w:type="dxa"/>
            <w:noWrap/>
            <w:tcMar>
              <w:left w:w="57" w:type="dxa"/>
              <w:right w:w="57" w:type="dxa"/>
            </w:tcMar>
          </w:tcPr>
          <w:p w14:paraId="7F4261B0" w14:textId="77777777" w:rsidR="00A974C1" w:rsidRPr="00FE3039" w:rsidRDefault="00A974C1">
            <w:pPr>
              <w:jc w:val="center"/>
              <w:rPr>
                <w:sz w:val="20"/>
              </w:rPr>
            </w:pPr>
            <w:r w:rsidRPr="00FE3039">
              <w:rPr>
                <w:sz w:val="20"/>
              </w:rPr>
              <w:t>1.00</w:t>
            </w:r>
          </w:p>
        </w:tc>
      </w:tr>
      <w:tr w:rsidR="00A974C1" w:rsidRPr="00A94043" w14:paraId="44621B59" w14:textId="77777777" w:rsidTr="00A974C1">
        <w:trPr>
          <w:gridAfter w:val="1"/>
          <w:wAfter w:w="6" w:type="dxa"/>
          <w:cantSplit/>
          <w:trHeight w:val="290"/>
          <w:tblHeader/>
        </w:trPr>
        <w:tc>
          <w:tcPr>
            <w:tcW w:w="895" w:type="dxa"/>
            <w:noWrap/>
            <w:tcMar>
              <w:left w:w="57" w:type="dxa"/>
              <w:right w:w="57" w:type="dxa"/>
            </w:tcMar>
          </w:tcPr>
          <w:p w14:paraId="1D5DF430" w14:textId="77777777" w:rsidR="00A974C1" w:rsidRPr="00FE3039" w:rsidRDefault="00A974C1">
            <w:pPr>
              <w:rPr>
                <w:sz w:val="20"/>
              </w:rPr>
            </w:pPr>
            <w:r w:rsidRPr="00FE3039">
              <w:rPr>
                <w:sz w:val="20"/>
              </w:rPr>
              <w:lastRenderedPageBreak/>
              <w:t>11</w:t>
            </w:r>
          </w:p>
        </w:tc>
        <w:tc>
          <w:tcPr>
            <w:tcW w:w="1260" w:type="dxa"/>
            <w:tcMar>
              <w:left w:w="57" w:type="dxa"/>
              <w:right w:w="57" w:type="dxa"/>
            </w:tcMar>
          </w:tcPr>
          <w:p w14:paraId="386D9C2C" w14:textId="77777777" w:rsidR="00A974C1" w:rsidRPr="00FE3039" w:rsidRDefault="00A974C1">
            <w:pPr>
              <w:rPr>
                <w:sz w:val="20"/>
              </w:rPr>
            </w:pPr>
            <w:r w:rsidRPr="00FE3039">
              <w:rPr>
                <w:sz w:val="20"/>
              </w:rPr>
              <w:t>Electric Resistance</w:t>
            </w:r>
          </w:p>
        </w:tc>
        <w:tc>
          <w:tcPr>
            <w:tcW w:w="1440" w:type="dxa"/>
            <w:noWrap/>
            <w:tcMar>
              <w:left w:w="57" w:type="dxa"/>
              <w:right w:w="57" w:type="dxa"/>
            </w:tcMar>
          </w:tcPr>
          <w:p w14:paraId="600D0971" w14:textId="77777777" w:rsidR="00A974C1" w:rsidRDefault="00A974C1">
            <w:pPr>
              <w:rPr>
                <w:sz w:val="20"/>
              </w:rPr>
            </w:pPr>
            <w:r>
              <w:rPr>
                <w:sz w:val="20"/>
              </w:rPr>
              <w:t xml:space="preserve">Multiple </w:t>
            </w:r>
            <w:r w:rsidRPr="00FE3039">
              <w:rPr>
                <w:sz w:val="20"/>
              </w:rPr>
              <w:t>Fixed</w:t>
            </w:r>
            <w:r>
              <w:rPr>
                <w:sz w:val="20"/>
              </w:rPr>
              <w:t xml:space="preserve"> (e.g. 3kW + 4kW)</w:t>
            </w:r>
            <w:r w:rsidRPr="00FE3039">
              <w:rPr>
                <w:sz w:val="20"/>
              </w:rPr>
              <w:t>, Thermostatic Control</w:t>
            </w:r>
          </w:p>
        </w:tc>
        <w:tc>
          <w:tcPr>
            <w:tcW w:w="900" w:type="dxa"/>
            <w:tcMar>
              <w:left w:w="57" w:type="dxa"/>
              <w:right w:w="57" w:type="dxa"/>
            </w:tcMar>
          </w:tcPr>
          <w:p w14:paraId="6F301C80" w14:textId="77777777" w:rsidR="00A974C1" w:rsidRPr="008446E1" w:rsidRDefault="00A974C1">
            <w:pPr>
              <w:jc w:val="center"/>
              <w:rPr>
                <w:sz w:val="20"/>
              </w:rPr>
            </w:pPr>
            <w:r w:rsidRPr="00A57086">
              <w:rPr>
                <w:sz w:val="20"/>
              </w:rPr>
              <w:t>Medium</w:t>
            </w:r>
          </w:p>
        </w:tc>
        <w:tc>
          <w:tcPr>
            <w:tcW w:w="1068" w:type="dxa"/>
            <w:noWrap/>
            <w:tcMar>
              <w:left w:w="57" w:type="dxa"/>
              <w:right w:w="57" w:type="dxa"/>
            </w:tcMar>
          </w:tcPr>
          <w:p w14:paraId="23C23C49"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6D8F71A4"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33079877" w14:textId="77777777" w:rsidR="00A974C1" w:rsidRPr="00FE3039" w:rsidRDefault="00A974C1">
            <w:pPr>
              <w:jc w:val="center"/>
              <w:rPr>
                <w:sz w:val="20"/>
              </w:rPr>
            </w:pPr>
            <w:r w:rsidRPr="00FE3039">
              <w:rPr>
                <w:sz w:val="20"/>
              </w:rPr>
              <w:t>100%</w:t>
            </w:r>
          </w:p>
        </w:tc>
        <w:tc>
          <w:tcPr>
            <w:tcW w:w="1068" w:type="dxa"/>
            <w:noWrap/>
            <w:tcMar>
              <w:left w:w="57" w:type="dxa"/>
              <w:right w:w="57" w:type="dxa"/>
            </w:tcMar>
          </w:tcPr>
          <w:p w14:paraId="4570D8AF" w14:textId="77777777" w:rsidR="00A974C1" w:rsidRPr="00FE3039" w:rsidRDefault="00A974C1">
            <w:pPr>
              <w:jc w:val="center"/>
              <w:rPr>
                <w:sz w:val="20"/>
              </w:rPr>
            </w:pPr>
            <w:r w:rsidRPr="00FE3039">
              <w:rPr>
                <w:sz w:val="20"/>
              </w:rPr>
              <w:t>715</w:t>
            </w:r>
          </w:p>
        </w:tc>
        <w:tc>
          <w:tcPr>
            <w:tcW w:w="1068" w:type="dxa"/>
            <w:noWrap/>
            <w:tcMar>
              <w:left w:w="57" w:type="dxa"/>
              <w:right w:w="57" w:type="dxa"/>
            </w:tcMar>
          </w:tcPr>
          <w:p w14:paraId="1535880B" w14:textId="77777777" w:rsidR="00A974C1" w:rsidRPr="00FE3039" w:rsidRDefault="00A974C1">
            <w:pPr>
              <w:jc w:val="center"/>
              <w:rPr>
                <w:sz w:val="20"/>
              </w:rPr>
            </w:pPr>
            <w:r w:rsidRPr="00FE3039">
              <w:rPr>
                <w:sz w:val="20"/>
              </w:rPr>
              <w:t>3913</w:t>
            </w:r>
          </w:p>
        </w:tc>
        <w:tc>
          <w:tcPr>
            <w:tcW w:w="1068" w:type="dxa"/>
            <w:noWrap/>
            <w:tcMar>
              <w:left w:w="57" w:type="dxa"/>
              <w:right w:w="57" w:type="dxa"/>
            </w:tcMar>
          </w:tcPr>
          <w:p w14:paraId="41B0D900" w14:textId="77777777" w:rsidR="00A974C1" w:rsidRPr="00FE3039" w:rsidRDefault="00A974C1">
            <w:pPr>
              <w:jc w:val="center"/>
              <w:rPr>
                <w:sz w:val="20"/>
              </w:rPr>
            </w:pPr>
            <w:r w:rsidRPr="00FE3039">
              <w:rPr>
                <w:sz w:val="20"/>
              </w:rPr>
              <w:t>9215</w:t>
            </w:r>
          </w:p>
        </w:tc>
        <w:tc>
          <w:tcPr>
            <w:tcW w:w="1068" w:type="dxa"/>
            <w:noWrap/>
            <w:tcMar>
              <w:left w:w="57" w:type="dxa"/>
              <w:right w:w="57" w:type="dxa"/>
            </w:tcMar>
          </w:tcPr>
          <w:p w14:paraId="3881A805" w14:textId="77777777" w:rsidR="00A974C1" w:rsidRPr="00FE3039" w:rsidRDefault="00A974C1">
            <w:pPr>
              <w:jc w:val="center"/>
              <w:rPr>
                <w:sz w:val="20"/>
              </w:rPr>
            </w:pPr>
            <w:r w:rsidRPr="00FE3039">
              <w:rPr>
                <w:sz w:val="20"/>
              </w:rPr>
              <w:t>0.82</w:t>
            </w:r>
          </w:p>
        </w:tc>
        <w:tc>
          <w:tcPr>
            <w:tcW w:w="1068" w:type="dxa"/>
            <w:noWrap/>
            <w:tcMar>
              <w:left w:w="57" w:type="dxa"/>
              <w:right w:w="57" w:type="dxa"/>
            </w:tcMar>
          </w:tcPr>
          <w:p w14:paraId="6117AB8B" w14:textId="77777777" w:rsidR="00A974C1" w:rsidRPr="00FE3039" w:rsidRDefault="00A974C1">
            <w:pPr>
              <w:jc w:val="center"/>
              <w:rPr>
                <w:sz w:val="20"/>
              </w:rPr>
            </w:pPr>
            <w:r w:rsidRPr="00FE3039">
              <w:rPr>
                <w:sz w:val="20"/>
              </w:rPr>
              <w:t>0.97</w:t>
            </w:r>
          </w:p>
        </w:tc>
        <w:tc>
          <w:tcPr>
            <w:tcW w:w="793" w:type="dxa"/>
            <w:noWrap/>
            <w:tcMar>
              <w:left w:w="57" w:type="dxa"/>
              <w:right w:w="57" w:type="dxa"/>
            </w:tcMar>
          </w:tcPr>
          <w:p w14:paraId="641CEAA1" w14:textId="77777777" w:rsidR="00A974C1" w:rsidRPr="00FE3039" w:rsidRDefault="00A974C1">
            <w:pPr>
              <w:jc w:val="center"/>
              <w:rPr>
                <w:sz w:val="20"/>
              </w:rPr>
            </w:pPr>
            <w:r w:rsidRPr="00FE3039">
              <w:rPr>
                <w:sz w:val="20"/>
              </w:rPr>
              <w:t>0.99</w:t>
            </w:r>
          </w:p>
        </w:tc>
      </w:tr>
      <w:tr w:rsidR="00A974C1" w:rsidRPr="00A94043" w14:paraId="34CF0EAD" w14:textId="77777777" w:rsidTr="00A974C1">
        <w:trPr>
          <w:gridAfter w:val="1"/>
          <w:wAfter w:w="6" w:type="dxa"/>
          <w:cantSplit/>
          <w:trHeight w:val="290"/>
          <w:tblHeader/>
        </w:trPr>
        <w:tc>
          <w:tcPr>
            <w:tcW w:w="895" w:type="dxa"/>
            <w:noWrap/>
            <w:tcMar>
              <w:left w:w="57" w:type="dxa"/>
              <w:right w:w="57" w:type="dxa"/>
            </w:tcMar>
          </w:tcPr>
          <w:p w14:paraId="02BFFEA7" w14:textId="77777777" w:rsidR="00A974C1" w:rsidRPr="00FE3039" w:rsidRDefault="00A974C1">
            <w:pPr>
              <w:rPr>
                <w:sz w:val="20"/>
              </w:rPr>
            </w:pPr>
            <w:r w:rsidRPr="00FE3039">
              <w:rPr>
                <w:sz w:val="20"/>
              </w:rPr>
              <w:t>12</w:t>
            </w:r>
          </w:p>
        </w:tc>
        <w:tc>
          <w:tcPr>
            <w:tcW w:w="1260" w:type="dxa"/>
            <w:tcMar>
              <w:left w:w="57" w:type="dxa"/>
              <w:right w:w="57" w:type="dxa"/>
            </w:tcMar>
          </w:tcPr>
          <w:p w14:paraId="1A98ED90" w14:textId="77777777" w:rsidR="00A974C1" w:rsidRPr="00FE3039" w:rsidRDefault="00A974C1">
            <w:pPr>
              <w:rPr>
                <w:sz w:val="20"/>
              </w:rPr>
            </w:pPr>
            <w:r w:rsidRPr="00FE3039">
              <w:rPr>
                <w:sz w:val="20"/>
              </w:rPr>
              <w:t>Gas Space Heater</w:t>
            </w:r>
          </w:p>
        </w:tc>
        <w:tc>
          <w:tcPr>
            <w:tcW w:w="1440" w:type="dxa"/>
            <w:noWrap/>
            <w:tcMar>
              <w:left w:w="57" w:type="dxa"/>
              <w:right w:w="57" w:type="dxa"/>
            </w:tcMar>
          </w:tcPr>
          <w:p w14:paraId="77DE7D2F" w14:textId="77777777" w:rsidR="00A974C1" w:rsidRDefault="00A974C1">
            <w:pPr>
              <w:rPr>
                <w:sz w:val="20"/>
              </w:rPr>
            </w:pPr>
            <w:r w:rsidRPr="00FE3039">
              <w:rPr>
                <w:sz w:val="20"/>
              </w:rPr>
              <w:t>Fixed, Thermostatic Control, 2 data points</w:t>
            </w:r>
          </w:p>
        </w:tc>
        <w:tc>
          <w:tcPr>
            <w:tcW w:w="900" w:type="dxa"/>
            <w:tcMar>
              <w:left w:w="57" w:type="dxa"/>
              <w:right w:w="57" w:type="dxa"/>
            </w:tcMar>
          </w:tcPr>
          <w:p w14:paraId="2D757D0B" w14:textId="77777777" w:rsidR="00A974C1" w:rsidRPr="008446E1" w:rsidRDefault="00A974C1">
            <w:pPr>
              <w:jc w:val="center"/>
              <w:rPr>
                <w:sz w:val="20"/>
              </w:rPr>
            </w:pPr>
            <w:r w:rsidRPr="00A57086">
              <w:rPr>
                <w:sz w:val="20"/>
              </w:rPr>
              <w:t>Medium</w:t>
            </w:r>
          </w:p>
        </w:tc>
        <w:tc>
          <w:tcPr>
            <w:tcW w:w="1068" w:type="dxa"/>
            <w:noWrap/>
            <w:tcMar>
              <w:left w:w="57" w:type="dxa"/>
              <w:right w:w="57" w:type="dxa"/>
            </w:tcMar>
          </w:tcPr>
          <w:p w14:paraId="0F4AEA56"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480CA8D4" w14:textId="77777777" w:rsidR="00A974C1" w:rsidRPr="00FE3039" w:rsidRDefault="00A974C1">
            <w:pPr>
              <w:jc w:val="center"/>
              <w:rPr>
                <w:sz w:val="20"/>
              </w:rPr>
            </w:pPr>
            <w:r w:rsidRPr="00FE3039">
              <w:rPr>
                <w:sz w:val="20"/>
              </w:rPr>
              <w:t>8.9</w:t>
            </w:r>
          </w:p>
        </w:tc>
        <w:tc>
          <w:tcPr>
            <w:tcW w:w="1068" w:type="dxa"/>
            <w:noWrap/>
            <w:tcMar>
              <w:left w:w="57" w:type="dxa"/>
              <w:right w:w="57" w:type="dxa"/>
            </w:tcMar>
          </w:tcPr>
          <w:p w14:paraId="28B5A0B6" w14:textId="77777777" w:rsidR="00A974C1" w:rsidRPr="00FE3039" w:rsidRDefault="00A974C1">
            <w:pPr>
              <w:jc w:val="center"/>
              <w:rPr>
                <w:sz w:val="20"/>
              </w:rPr>
            </w:pPr>
            <w:r w:rsidRPr="00FE3039">
              <w:rPr>
                <w:sz w:val="20"/>
              </w:rPr>
              <w:t>78.6%</w:t>
            </w:r>
          </w:p>
        </w:tc>
        <w:tc>
          <w:tcPr>
            <w:tcW w:w="1068" w:type="dxa"/>
            <w:noWrap/>
            <w:tcMar>
              <w:left w:w="57" w:type="dxa"/>
              <w:right w:w="57" w:type="dxa"/>
            </w:tcMar>
          </w:tcPr>
          <w:p w14:paraId="5AE33BD5" w14:textId="77777777" w:rsidR="00A974C1" w:rsidRPr="00FE3039" w:rsidRDefault="00A974C1">
            <w:pPr>
              <w:jc w:val="center"/>
              <w:rPr>
                <w:sz w:val="20"/>
              </w:rPr>
            </w:pPr>
            <w:r w:rsidRPr="00FE3039">
              <w:rPr>
                <w:sz w:val="20"/>
              </w:rPr>
              <w:t>750</w:t>
            </w:r>
          </w:p>
        </w:tc>
        <w:tc>
          <w:tcPr>
            <w:tcW w:w="1068" w:type="dxa"/>
            <w:noWrap/>
            <w:tcMar>
              <w:left w:w="57" w:type="dxa"/>
              <w:right w:w="57" w:type="dxa"/>
            </w:tcMar>
          </w:tcPr>
          <w:p w14:paraId="5A7B52CA" w14:textId="77777777" w:rsidR="00A974C1" w:rsidRPr="00FE3039" w:rsidRDefault="00A974C1">
            <w:pPr>
              <w:jc w:val="center"/>
              <w:rPr>
                <w:sz w:val="20"/>
              </w:rPr>
            </w:pPr>
            <w:r w:rsidRPr="00FE3039">
              <w:rPr>
                <w:sz w:val="20"/>
              </w:rPr>
              <w:t>4824</w:t>
            </w:r>
          </w:p>
        </w:tc>
        <w:tc>
          <w:tcPr>
            <w:tcW w:w="1068" w:type="dxa"/>
            <w:noWrap/>
            <w:tcMar>
              <w:left w:w="57" w:type="dxa"/>
              <w:right w:w="57" w:type="dxa"/>
            </w:tcMar>
          </w:tcPr>
          <w:p w14:paraId="4823E540" w14:textId="77777777" w:rsidR="00A974C1" w:rsidRPr="00FE3039" w:rsidRDefault="00A974C1">
            <w:pPr>
              <w:jc w:val="center"/>
              <w:rPr>
                <w:sz w:val="20"/>
              </w:rPr>
            </w:pPr>
            <w:r w:rsidRPr="00FE3039">
              <w:rPr>
                <w:sz w:val="20"/>
              </w:rPr>
              <w:t>11576</w:t>
            </w:r>
          </w:p>
        </w:tc>
        <w:tc>
          <w:tcPr>
            <w:tcW w:w="1068" w:type="dxa"/>
            <w:noWrap/>
            <w:tcMar>
              <w:left w:w="57" w:type="dxa"/>
              <w:right w:w="57" w:type="dxa"/>
            </w:tcMar>
          </w:tcPr>
          <w:p w14:paraId="241EA83C" w14:textId="77777777" w:rsidR="00A974C1" w:rsidRPr="00FE3039" w:rsidRDefault="00A974C1">
            <w:pPr>
              <w:jc w:val="center"/>
              <w:rPr>
                <w:sz w:val="20"/>
              </w:rPr>
            </w:pPr>
            <w:r w:rsidRPr="00FE3039">
              <w:rPr>
                <w:sz w:val="20"/>
              </w:rPr>
              <w:t>0.78</w:t>
            </w:r>
          </w:p>
        </w:tc>
        <w:tc>
          <w:tcPr>
            <w:tcW w:w="1068" w:type="dxa"/>
            <w:noWrap/>
            <w:tcMar>
              <w:left w:w="57" w:type="dxa"/>
              <w:right w:w="57" w:type="dxa"/>
            </w:tcMar>
          </w:tcPr>
          <w:p w14:paraId="4728D36C" w14:textId="77777777" w:rsidR="00A974C1" w:rsidRPr="00FE3039" w:rsidRDefault="00A974C1">
            <w:pPr>
              <w:jc w:val="center"/>
              <w:rPr>
                <w:sz w:val="20"/>
              </w:rPr>
            </w:pPr>
            <w:r w:rsidRPr="00FE3039">
              <w:rPr>
                <w:sz w:val="20"/>
              </w:rPr>
              <w:t>0.79</w:t>
            </w:r>
          </w:p>
        </w:tc>
        <w:tc>
          <w:tcPr>
            <w:tcW w:w="793" w:type="dxa"/>
            <w:noWrap/>
            <w:tcMar>
              <w:left w:w="57" w:type="dxa"/>
              <w:right w:w="57" w:type="dxa"/>
            </w:tcMar>
          </w:tcPr>
          <w:p w14:paraId="0443B6F9" w14:textId="77777777" w:rsidR="00A974C1" w:rsidRPr="00FE3039" w:rsidRDefault="00A974C1">
            <w:pPr>
              <w:jc w:val="center"/>
              <w:rPr>
                <w:sz w:val="20"/>
              </w:rPr>
            </w:pPr>
            <w:r w:rsidRPr="00FE3039">
              <w:rPr>
                <w:sz w:val="20"/>
              </w:rPr>
              <w:t>0.79</w:t>
            </w:r>
          </w:p>
        </w:tc>
      </w:tr>
      <w:tr w:rsidR="00A974C1" w:rsidRPr="00A94043" w14:paraId="286353C4" w14:textId="77777777" w:rsidTr="00A974C1">
        <w:trPr>
          <w:gridAfter w:val="1"/>
          <w:wAfter w:w="6" w:type="dxa"/>
          <w:cantSplit/>
          <w:trHeight w:val="290"/>
          <w:tblHeader/>
        </w:trPr>
        <w:tc>
          <w:tcPr>
            <w:tcW w:w="895" w:type="dxa"/>
            <w:noWrap/>
            <w:tcMar>
              <w:left w:w="57" w:type="dxa"/>
              <w:right w:w="57" w:type="dxa"/>
            </w:tcMar>
          </w:tcPr>
          <w:p w14:paraId="0672E0BD" w14:textId="77777777" w:rsidR="00A974C1" w:rsidRPr="00FE3039" w:rsidRDefault="00A974C1">
            <w:pPr>
              <w:rPr>
                <w:sz w:val="20"/>
              </w:rPr>
            </w:pPr>
            <w:r w:rsidRPr="00FE3039">
              <w:rPr>
                <w:sz w:val="20"/>
              </w:rPr>
              <w:t>13</w:t>
            </w:r>
          </w:p>
        </w:tc>
        <w:tc>
          <w:tcPr>
            <w:tcW w:w="1260" w:type="dxa"/>
            <w:tcMar>
              <w:left w:w="57" w:type="dxa"/>
              <w:right w:w="57" w:type="dxa"/>
            </w:tcMar>
          </w:tcPr>
          <w:p w14:paraId="002456A1" w14:textId="77777777" w:rsidR="00A974C1" w:rsidRPr="00FE3039" w:rsidRDefault="00A974C1">
            <w:pPr>
              <w:rPr>
                <w:sz w:val="20"/>
              </w:rPr>
            </w:pPr>
            <w:r w:rsidRPr="00FE3039">
              <w:rPr>
                <w:sz w:val="20"/>
              </w:rPr>
              <w:t>Ducted Gas</w:t>
            </w:r>
          </w:p>
        </w:tc>
        <w:tc>
          <w:tcPr>
            <w:tcW w:w="1440" w:type="dxa"/>
            <w:noWrap/>
            <w:tcMar>
              <w:left w:w="57" w:type="dxa"/>
              <w:right w:w="57" w:type="dxa"/>
            </w:tcMar>
          </w:tcPr>
          <w:p w14:paraId="0D1C1929" w14:textId="77777777" w:rsidR="00A974C1" w:rsidRPr="00FE3039" w:rsidRDefault="00A974C1">
            <w:pPr>
              <w:rPr>
                <w:sz w:val="20"/>
              </w:rPr>
            </w:pPr>
            <w:r w:rsidRPr="00FE3039">
              <w:rPr>
                <w:sz w:val="20"/>
              </w:rPr>
              <w:t>Fixed, Thermostatic Control, 3 data points</w:t>
            </w:r>
          </w:p>
        </w:tc>
        <w:tc>
          <w:tcPr>
            <w:tcW w:w="900" w:type="dxa"/>
            <w:tcMar>
              <w:left w:w="57" w:type="dxa"/>
              <w:right w:w="57" w:type="dxa"/>
            </w:tcMar>
          </w:tcPr>
          <w:p w14:paraId="09FDF5FE" w14:textId="77777777" w:rsidR="00A974C1" w:rsidRPr="008446E1" w:rsidRDefault="00A974C1">
            <w:pPr>
              <w:jc w:val="center"/>
              <w:rPr>
                <w:sz w:val="20"/>
              </w:rPr>
            </w:pPr>
            <w:r w:rsidRPr="00A57086">
              <w:rPr>
                <w:sz w:val="20"/>
              </w:rPr>
              <w:t>Medium</w:t>
            </w:r>
          </w:p>
        </w:tc>
        <w:tc>
          <w:tcPr>
            <w:tcW w:w="1068" w:type="dxa"/>
            <w:noWrap/>
            <w:tcMar>
              <w:left w:w="57" w:type="dxa"/>
              <w:right w:w="57" w:type="dxa"/>
            </w:tcMar>
          </w:tcPr>
          <w:p w14:paraId="6ED2C6AF"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271D2C14" w14:textId="77777777" w:rsidR="00A974C1" w:rsidRPr="00FE3039" w:rsidRDefault="00A974C1">
            <w:pPr>
              <w:jc w:val="center"/>
              <w:rPr>
                <w:sz w:val="20"/>
              </w:rPr>
            </w:pPr>
            <w:r w:rsidRPr="00FE3039">
              <w:rPr>
                <w:sz w:val="20"/>
              </w:rPr>
              <w:t>9.33</w:t>
            </w:r>
          </w:p>
        </w:tc>
        <w:tc>
          <w:tcPr>
            <w:tcW w:w="1068" w:type="dxa"/>
            <w:noWrap/>
            <w:tcMar>
              <w:left w:w="57" w:type="dxa"/>
              <w:right w:w="57" w:type="dxa"/>
            </w:tcMar>
          </w:tcPr>
          <w:p w14:paraId="2530BBA2" w14:textId="77777777" w:rsidR="00A974C1" w:rsidRPr="00FE3039" w:rsidRDefault="00A974C1">
            <w:pPr>
              <w:jc w:val="center"/>
              <w:rPr>
                <w:sz w:val="20"/>
              </w:rPr>
            </w:pPr>
            <w:r w:rsidRPr="00FE3039">
              <w:rPr>
                <w:sz w:val="20"/>
              </w:rPr>
              <w:t>75.0%</w:t>
            </w:r>
          </w:p>
        </w:tc>
        <w:tc>
          <w:tcPr>
            <w:tcW w:w="1068" w:type="dxa"/>
            <w:noWrap/>
            <w:tcMar>
              <w:left w:w="57" w:type="dxa"/>
              <w:right w:w="57" w:type="dxa"/>
            </w:tcMar>
          </w:tcPr>
          <w:p w14:paraId="599AEA73" w14:textId="77777777" w:rsidR="00A974C1" w:rsidRPr="00FE3039" w:rsidRDefault="00A974C1">
            <w:pPr>
              <w:jc w:val="center"/>
              <w:rPr>
                <w:sz w:val="20"/>
              </w:rPr>
            </w:pPr>
            <w:r w:rsidRPr="00FE3039">
              <w:rPr>
                <w:sz w:val="20"/>
              </w:rPr>
              <w:t>787</w:t>
            </w:r>
          </w:p>
        </w:tc>
        <w:tc>
          <w:tcPr>
            <w:tcW w:w="1068" w:type="dxa"/>
            <w:noWrap/>
            <w:tcMar>
              <w:left w:w="57" w:type="dxa"/>
              <w:right w:w="57" w:type="dxa"/>
            </w:tcMar>
          </w:tcPr>
          <w:p w14:paraId="27212B40" w14:textId="77777777" w:rsidR="00A974C1" w:rsidRPr="00FE3039" w:rsidRDefault="00A974C1">
            <w:pPr>
              <w:jc w:val="center"/>
              <w:rPr>
                <w:sz w:val="20"/>
              </w:rPr>
            </w:pPr>
            <w:r w:rsidRPr="00FE3039">
              <w:rPr>
                <w:sz w:val="20"/>
              </w:rPr>
              <w:t>4942</w:t>
            </w:r>
          </w:p>
        </w:tc>
        <w:tc>
          <w:tcPr>
            <w:tcW w:w="1068" w:type="dxa"/>
            <w:noWrap/>
            <w:tcMar>
              <w:left w:w="57" w:type="dxa"/>
              <w:right w:w="57" w:type="dxa"/>
            </w:tcMar>
          </w:tcPr>
          <w:p w14:paraId="3E84F830" w14:textId="77777777" w:rsidR="00A974C1" w:rsidRPr="00FE3039" w:rsidRDefault="00A974C1">
            <w:pPr>
              <w:jc w:val="center"/>
              <w:rPr>
                <w:sz w:val="20"/>
              </w:rPr>
            </w:pPr>
            <w:r w:rsidRPr="00FE3039">
              <w:rPr>
                <w:sz w:val="20"/>
              </w:rPr>
              <w:t>11884</w:t>
            </w:r>
          </w:p>
        </w:tc>
        <w:tc>
          <w:tcPr>
            <w:tcW w:w="1068" w:type="dxa"/>
            <w:noWrap/>
            <w:tcMar>
              <w:left w:w="57" w:type="dxa"/>
              <w:right w:w="57" w:type="dxa"/>
            </w:tcMar>
          </w:tcPr>
          <w:p w14:paraId="0E321D49" w14:textId="77777777" w:rsidR="00A974C1" w:rsidRPr="00FE3039" w:rsidRDefault="00A974C1">
            <w:pPr>
              <w:jc w:val="center"/>
              <w:rPr>
                <w:sz w:val="20"/>
              </w:rPr>
            </w:pPr>
            <w:r w:rsidRPr="00FE3039">
              <w:rPr>
                <w:sz w:val="20"/>
              </w:rPr>
              <w:t>0.75</w:t>
            </w:r>
          </w:p>
        </w:tc>
        <w:tc>
          <w:tcPr>
            <w:tcW w:w="1068" w:type="dxa"/>
            <w:noWrap/>
            <w:tcMar>
              <w:left w:w="57" w:type="dxa"/>
              <w:right w:w="57" w:type="dxa"/>
            </w:tcMar>
          </w:tcPr>
          <w:p w14:paraId="339A36D0" w14:textId="77777777" w:rsidR="00A974C1" w:rsidRPr="00FE3039" w:rsidRDefault="00A974C1">
            <w:pPr>
              <w:jc w:val="center"/>
              <w:rPr>
                <w:sz w:val="20"/>
              </w:rPr>
            </w:pPr>
            <w:r w:rsidRPr="00FE3039">
              <w:rPr>
                <w:sz w:val="20"/>
              </w:rPr>
              <w:t>0.77</w:t>
            </w:r>
          </w:p>
        </w:tc>
        <w:tc>
          <w:tcPr>
            <w:tcW w:w="793" w:type="dxa"/>
            <w:noWrap/>
            <w:tcMar>
              <w:left w:w="57" w:type="dxa"/>
              <w:right w:w="57" w:type="dxa"/>
            </w:tcMar>
          </w:tcPr>
          <w:p w14:paraId="3E35935E" w14:textId="77777777" w:rsidR="00A974C1" w:rsidRPr="00FE3039" w:rsidRDefault="00A974C1">
            <w:pPr>
              <w:jc w:val="center"/>
              <w:rPr>
                <w:sz w:val="20"/>
              </w:rPr>
            </w:pPr>
            <w:r w:rsidRPr="00FE3039">
              <w:rPr>
                <w:sz w:val="20"/>
              </w:rPr>
              <w:t>0.77</w:t>
            </w:r>
          </w:p>
        </w:tc>
      </w:tr>
      <w:tr w:rsidR="00A974C1" w:rsidRPr="00A94043" w14:paraId="326D815A" w14:textId="77777777" w:rsidTr="00A974C1">
        <w:trPr>
          <w:gridAfter w:val="1"/>
          <w:wAfter w:w="6" w:type="dxa"/>
          <w:cantSplit/>
          <w:trHeight w:val="290"/>
          <w:tblHeader/>
        </w:trPr>
        <w:tc>
          <w:tcPr>
            <w:tcW w:w="895" w:type="dxa"/>
            <w:noWrap/>
            <w:tcMar>
              <w:left w:w="57" w:type="dxa"/>
              <w:right w:w="57" w:type="dxa"/>
            </w:tcMar>
          </w:tcPr>
          <w:p w14:paraId="05915F26" w14:textId="77777777" w:rsidR="00A974C1" w:rsidRPr="00FE3039" w:rsidRDefault="00A974C1">
            <w:pPr>
              <w:rPr>
                <w:sz w:val="20"/>
              </w:rPr>
            </w:pPr>
            <w:r w:rsidRPr="00FE3039">
              <w:rPr>
                <w:sz w:val="20"/>
              </w:rPr>
              <w:t>14</w:t>
            </w:r>
          </w:p>
        </w:tc>
        <w:tc>
          <w:tcPr>
            <w:tcW w:w="1260" w:type="dxa"/>
            <w:tcMar>
              <w:left w:w="57" w:type="dxa"/>
              <w:right w:w="57" w:type="dxa"/>
            </w:tcMar>
          </w:tcPr>
          <w:p w14:paraId="34FBD939" w14:textId="77777777" w:rsidR="00A974C1" w:rsidRPr="00FE3039" w:rsidRDefault="00A974C1">
            <w:pPr>
              <w:rPr>
                <w:sz w:val="20"/>
              </w:rPr>
            </w:pPr>
            <w:r w:rsidRPr="00FE3039">
              <w:rPr>
                <w:sz w:val="20"/>
              </w:rPr>
              <w:t>Solid Fuel Heater</w:t>
            </w:r>
          </w:p>
        </w:tc>
        <w:tc>
          <w:tcPr>
            <w:tcW w:w="1440" w:type="dxa"/>
            <w:noWrap/>
            <w:tcMar>
              <w:left w:w="57" w:type="dxa"/>
              <w:right w:w="57" w:type="dxa"/>
            </w:tcMar>
          </w:tcPr>
          <w:p w14:paraId="3CC91DD3" w14:textId="77777777" w:rsidR="00A974C1" w:rsidRPr="00FE3039" w:rsidRDefault="00A974C1">
            <w:pPr>
              <w:rPr>
                <w:sz w:val="20"/>
              </w:rPr>
            </w:pPr>
            <w:r w:rsidRPr="00FE3039">
              <w:rPr>
                <w:sz w:val="20"/>
              </w:rPr>
              <w:t>Fixed, Adjustable Air Control, 3 data points</w:t>
            </w:r>
          </w:p>
        </w:tc>
        <w:tc>
          <w:tcPr>
            <w:tcW w:w="900" w:type="dxa"/>
            <w:tcMar>
              <w:left w:w="57" w:type="dxa"/>
              <w:right w:w="57" w:type="dxa"/>
            </w:tcMar>
          </w:tcPr>
          <w:p w14:paraId="0A89F163" w14:textId="77777777" w:rsidR="00A974C1" w:rsidRPr="008446E1" w:rsidRDefault="00A974C1">
            <w:pPr>
              <w:jc w:val="center"/>
              <w:rPr>
                <w:sz w:val="20"/>
              </w:rPr>
            </w:pPr>
            <w:r w:rsidRPr="00A57086">
              <w:rPr>
                <w:sz w:val="20"/>
              </w:rPr>
              <w:t>Medium</w:t>
            </w:r>
          </w:p>
        </w:tc>
        <w:tc>
          <w:tcPr>
            <w:tcW w:w="1068" w:type="dxa"/>
            <w:noWrap/>
            <w:tcMar>
              <w:left w:w="57" w:type="dxa"/>
              <w:right w:w="57" w:type="dxa"/>
            </w:tcMar>
          </w:tcPr>
          <w:p w14:paraId="68FE0C40" w14:textId="77777777" w:rsidR="00A974C1" w:rsidRPr="00FE3039" w:rsidRDefault="00A974C1">
            <w:pPr>
              <w:jc w:val="center"/>
              <w:rPr>
                <w:sz w:val="20"/>
              </w:rPr>
            </w:pPr>
            <w:r w:rsidRPr="00FE3039">
              <w:rPr>
                <w:sz w:val="20"/>
              </w:rPr>
              <w:t>7</w:t>
            </w:r>
          </w:p>
        </w:tc>
        <w:tc>
          <w:tcPr>
            <w:tcW w:w="1068" w:type="dxa"/>
            <w:noWrap/>
            <w:tcMar>
              <w:left w:w="57" w:type="dxa"/>
              <w:right w:w="57" w:type="dxa"/>
            </w:tcMar>
          </w:tcPr>
          <w:p w14:paraId="7528D04F" w14:textId="77777777" w:rsidR="00A974C1" w:rsidRPr="00FE3039" w:rsidRDefault="00A974C1">
            <w:pPr>
              <w:jc w:val="center"/>
              <w:rPr>
                <w:sz w:val="20"/>
              </w:rPr>
            </w:pPr>
            <w:r w:rsidRPr="00FE3039">
              <w:rPr>
                <w:sz w:val="20"/>
              </w:rPr>
              <w:t>10.59</w:t>
            </w:r>
          </w:p>
        </w:tc>
        <w:tc>
          <w:tcPr>
            <w:tcW w:w="1068" w:type="dxa"/>
            <w:noWrap/>
            <w:tcMar>
              <w:left w:w="57" w:type="dxa"/>
              <w:right w:w="57" w:type="dxa"/>
            </w:tcMar>
          </w:tcPr>
          <w:p w14:paraId="39CC5778" w14:textId="77777777" w:rsidR="00A974C1" w:rsidRPr="00FE3039" w:rsidRDefault="00A974C1">
            <w:pPr>
              <w:jc w:val="center"/>
              <w:rPr>
                <w:sz w:val="20"/>
              </w:rPr>
            </w:pPr>
            <w:r w:rsidRPr="00FE3039">
              <w:rPr>
                <w:sz w:val="20"/>
              </w:rPr>
              <w:t>66.1%</w:t>
            </w:r>
          </w:p>
        </w:tc>
        <w:tc>
          <w:tcPr>
            <w:tcW w:w="1068" w:type="dxa"/>
            <w:noWrap/>
            <w:tcMar>
              <w:left w:w="57" w:type="dxa"/>
              <w:right w:w="57" w:type="dxa"/>
            </w:tcMar>
          </w:tcPr>
          <w:p w14:paraId="6F44584E" w14:textId="77777777" w:rsidR="00A974C1" w:rsidRPr="00FE3039" w:rsidRDefault="00A974C1">
            <w:pPr>
              <w:jc w:val="center"/>
              <w:rPr>
                <w:sz w:val="20"/>
              </w:rPr>
            </w:pPr>
            <w:r w:rsidRPr="00FE3039">
              <w:rPr>
                <w:sz w:val="20"/>
              </w:rPr>
              <w:t>1025</w:t>
            </w:r>
          </w:p>
        </w:tc>
        <w:tc>
          <w:tcPr>
            <w:tcW w:w="1068" w:type="dxa"/>
            <w:noWrap/>
            <w:tcMar>
              <w:left w:w="57" w:type="dxa"/>
              <w:right w:w="57" w:type="dxa"/>
            </w:tcMar>
          </w:tcPr>
          <w:p w14:paraId="2BFC8DA4" w14:textId="77777777" w:rsidR="00A974C1" w:rsidRPr="00FE3039" w:rsidRDefault="00A974C1">
            <w:pPr>
              <w:jc w:val="center"/>
              <w:rPr>
                <w:sz w:val="20"/>
              </w:rPr>
            </w:pPr>
            <w:r w:rsidRPr="00FE3039">
              <w:rPr>
                <w:sz w:val="20"/>
              </w:rPr>
              <w:t>6346</w:t>
            </w:r>
          </w:p>
        </w:tc>
        <w:tc>
          <w:tcPr>
            <w:tcW w:w="1068" w:type="dxa"/>
            <w:noWrap/>
            <w:tcMar>
              <w:left w:w="57" w:type="dxa"/>
              <w:right w:w="57" w:type="dxa"/>
            </w:tcMar>
          </w:tcPr>
          <w:p w14:paraId="12D2963C" w14:textId="77777777" w:rsidR="00A974C1" w:rsidRPr="00FE3039" w:rsidRDefault="00A974C1">
            <w:pPr>
              <w:jc w:val="center"/>
              <w:rPr>
                <w:sz w:val="20"/>
              </w:rPr>
            </w:pPr>
            <w:r w:rsidRPr="00FE3039">
              <w:rPr>
                <w:sz w:val="20"/>
              </w:rPr>
              <w:t>14996</w:t>
            </w:r>
          </w:p>
        </w:tc>
        <w:tc>
          <w:tcPr>
            <w:tcW w:w="1068" w:type="dxa"/>
            <w:noWrap/>
            <w:tcMar>
              <w:left w:w="57" w:type="dxa"/>
              <w:right w:w="57" w:type="dxa"/>
            </w:tcMar>
          </w:tcPr>
          <w:p w14:paraId="33DA447A" w14:textId="77777777" w:rsidR="00A974C1" w:rsidRPr="00FE3039" w:rsidRDefault="00A974C1">
            <w:pPr>
              <w:jc w:val="center"/>
              <w:rPr>
                <w:sz w:val="20"/>
              </w:rPr>
            </w:pPr>
            <w:r w:rsidRPr="00FE3039">
              <w:rPr>
                <w:sz w:val="20"/>
              </w:rPr>
              <w:t>0.57</w:t>
            </w:r>
          </w:p>
        </w:tc>
        <w:tc>
          <w:tcPr>
            <w:tcW w:w="1068" w:type="dxa"/>
            <w:noWrap/>
            <w:tcMar>
              <w:left w:w="57" w:type="dxa"/>
              <w:right w:w="57" w:type="dxa"/>
            </w:tcMar>
          </w:tcPr>
          <w:p w14:paraId="5781DD80" w14:textId="77777777" w:rsidR="00A974C1" w:rsidRPr="00FE3039" w:rsidRDefault="00A974C1">
            <w:pPr>
              <w:jc w:val="center"/>
              <w:rPr>
                <w:sz w:val="20"/>
              </w:rPr>
            </w:pPr>
            <w:r w:rsidRPr="00FE3039">
              <w:rPr>
                <w:sz w:val="20"/>
              </w:rPr>
              <w:t>0.60</w:t>
            </w:r>
          </w:p>
        </w:tc>
        <w:tc>
          <w:tcPr>
            <w:tcW w:w="793" w:type="dxa"/>
            <w:noWrap/>
            <w:tcMar>
              <w:left w:w="57" w:type="dxa"/>
              <w:right w:w="57" w:type="dxa"/>
            </w:tcMar>
          </w:tcPr>
          <w:p w14:paraId="2C1B67E5" w14:textId="77777777" w:rsidR="00A974C1" w:rsidRPr="00FE3039" w:rsidRDefault="00A974C1">
            <w:pPr>
              <w:jc w:val="center"/>
              <w:rPr>
                <w:sz w:val="20"/>
              </w:rPr>
            </w:pPr>
            <w:r w:rsidRPr="00FE3039">
              <w:rPr>
                <w:sz w:val="20"/>
              </w:rPr>
              <w:t>0.61</w:t>
            </w:r>
          </w:p>
        </w:tc>
      </w:tr>
      <w:tr w:rsidR="00A974C1" w:rsidRPr="00A94043" w14:paraId="672BE06C" w14:textId="77777777" w:rsidTr="00A974C1">
        <w:trPr>
          <w:gridAfter w:val="1"/>
          <w:wAfter w:w="6" w:type="dxa"/>
          <w:cantSplit/>
          <w:trHeight w:val="290"/>
          <w:tblHeader/>
        </w:trPr>
        <w:tc>
          <w:tcPr>
            <w:tcW w:w="895" w:type="dxa"/>
            <w:noWrap/>
            <w:tcMar>
              <w:left w:w="57" w:type="dxa"/>
              <w:right w:w="57" w:type="dxa"/>
            </w:tcMar>
          </w:tcPr>
          <w:p w14:paraId="2E082646" w14:textId="77777777" w:rsidR="00A974C1" w:rsidRPr="00FE3039" w:rsidRDefault="00A974C1">
            <w:pPr>
              <w:rPr>
                <w:sz w:val="20"/>
              </w:rPr>
            </w:pPr>
            <w:r w:rsidRPr="00A94043">
              <w:rPr>
                <w:sz w:val="20"/>
              </w:rPr>
              <w:t>15</w:t>
            </w:r>
          </w:p>
        </w:tc>
        <w:tc>
          <w:tcPr>
            <w:tcW w:w="1260" w:type="dxa"/>
            <w:tcMar>
              <w:left w:w="57" w:type="dxa"/>
              <w:right w:w="57" w:type="dxa"/>
            </w:tcMar>
          </w:tcPr>
          <w:p w14:paraId="09B11756" w14:textId="0DC4E605" w:rsidR="00A974C1" w:rsidRPr="00FE3039" w:rsidRDefault="00A974C1">
            <w:pPr>
              <w:rPr>
                <w:sz w:val="20"/>
              </w:rPr>
            </w:pPr>
            <w:r w:rsidRPr="00A94043">
              <w:rPr>
                <w:sz w:val="20"/>
              </w:rPr>
              <w:t>Air Conditioner</w:t>
            </w:r>
            <w:r w:rsidR="002803AE">
              <w:rPr>
                <w:sz w:val="20"/>
              </w:rPr>
              <w:fldChar w:fldCharType="begin"/>
            </w:r>
            <w:r w:rsidR="002803AE">
              <w:rPr>
                <w:sz w:val="20"/>
              </w:rPr>
              <w:instrText xml:space="preserve"> NOTEREF _Ref171938938 \h </w:instrText>
            </w:r>
            <w:r w:rsidR="002803AE">
              <w:rPr>
                <w:sz w:val="20"/>
              </w:rPr>
            </w:r>
            <w:r w:rsidR="002803AE">
              <w:rPr>
                <w:sz w:val="20"/>
              </w:rPr>
              <w:fldChar w:fldCharType="separate"/>
            </w:r>
            <w:r w:rsidR="007068DD" w:rsidRPr="007068DD">
              <w:t>*</w:t>
            </w:r>
            <w:r w:rsidR="002803AE">
              <w:rPr>
                <w:sz w:val="20"/>
              </w:rPr>
              <w:fldChar w:fldCharType="end"/>
            </w:r>
            <w:r w:rsidRPr="00A94043">
              <w:rPr>
                <w:sz w:val="20"/>
              </w:rPr>
              <w:t xml:space="preserve"> (Non-ducted)</w:t>
            </w:r>
          </w:p>
        </w:tc>
        <w:tc>
          <w:tcPr>
            <w:tcW w:w="1440" w:type="dxa"/>
            <w:noWrap/>
            <w:tcMar>
              <w:left w:w="57" w:type="dxa"/>
              <w:right w:w="57" w:type="dxa"/>
            </w:tcMar>
          </w:tcPr>
          <w:p w14:paraId="69D8F1CA" w14:textId="77777777" w:rsidR="00A974C1" w:rsidRPr="00FE3039" w:rsidRDefault="00A974C1">
            <w:pPr>
              <w:rPr>
                <w:sz w:val="20"/>
              </w:rPr>
            </w:pPr>
            <w:r w:rsidRPr="00A94043">
              <w:rPr>
                <w:sz w:val="20"/>
              </w:rPr>
              <w:t>Avg GEMS Register 11-13kW non-ducted</w:t>
            </w:r>
          </w:p>
        </w:tc>
        <w:tc>
          <w:tcPr>
            <w:tcW w:w="900" w:type="dxa"/>
            <w:tcMar>
              <w:left w:w="57" w:type="dxa"/>
              <w:right w:w="57" w:type="dxa"/>
            </w:tcMar>
          </w:tcPr>
          <w:p w14:paraId="42C0D163" w14:textId="77777777" w:rsidR="00A974C1" w:rsidRPr="00A57086" w:rsidRDefault="00A974C1">
            <w:pPr>
              <w:jc w:val="center"/>
              <w:rPr>
                <w:sz w:val="20"/>
              </w:rPr>
            </w:pPr>
            <w:r>
              <w:rPr>
                <w:sz w:val="20"/>
              </w:rPr>
              <w:t>Large</w:t>
            </w:r>
          </w:p>
        </w:tc>
        <w:tc>
          <w:tcPr>
            <w:tcW w:w="1068" w:type="dxa"/>
            <w:noWrap/>
            <w:tcMar>
              <w:left w:w="57" w:type="dxa"/>
              <w:right w:w="57" w:type="dxa"/>
            </w:tcMar>
          </w:tcPr>
          <w:p w14:paraId="7A2D983B" w14:textId="77777777" w:rsidR="00A974C1" w:rsidRPr="00FE3039" w:rsidRDefault="00A974C1">
            <w:pPr>
              <w:jc w:val="center"/>
              <w:rPr>
                <w:sz w:val="20"/>
              </w:rPr>
            </w:pPr>
            <w:r w:rsidRPr="00A94043">
              <w:rPr>
                <w:sz w:val="20"/>
              </w:rPr>
              <w:t xml:space="preserve">12 </w:t>
            </w:r>
          </w:p>
        </w:tc>
        <w:tc>
          <w:tcPr>
            <w:tcW w:w="1068" w:type="dxa"/>
            <w:noWrap/>
            <w:tcMar>
              <w:left w:w="57" w:type="dxa"/>
              <w:right w:w="57" w:type="dxa"/>
            </w:tcMar>
          </w:tcPr>
          <w:p w14:paraId="42360466" w14:textId="77777777" w:rsidR="00A974C1" w:rsidRPr="00FE3039" w:rsidRDefault="00A974C1">
            <w:pPr>
              <w:jc w:val="center"/>
              <w:rPr>
                <w:sz w:val="20"/>
              </w:rPr>
            </w:pPr>
            <w:r w:rsidRPr="00A94043">
              <w:rPr>
                <w:sz w:val="20"/>
              </w:rPr>
              <w:t>2.9</w:t>
            </w:r>
          </w:p>
        </w:tc>
        <w:tc>
          <w:tcPr>
            <w:tcW w:w="1068" w:type="dxa"/>
            <w:noWrap/>
            <w:tcMar>
              <w:left w:w="57" w:type="dxa"/>
              <w:right w:w="57" w:type="dxa"/>
            </w:tcMar>
          </w:tcPr>
          <w:p w14:paraId="2D53855D" w14:textId="77777777" w:rsidR="00A974C1" w:rsidRPr="00FE3039" w:rsidRDefault="00A974C1">
            <w:pPr>
              <w:jc w:val="center"/>
              <w:rPr>
                <w:sz w:val="20"/>
              </w:rPr>
            </w:pPr>
            <w:r w:rsidRPr="00A94043">
              <w:rPr>
                <w:sz w:val="20"/>
              </w:rPr>
              <w:t>3</w:t>
            </w:r>
            <w:r>
              <w:rPr>
                <w:sz w:val="20"/>
              </w:rPr>
              <w:t>91</w:t>
            </w:r>
            <w:r w:rsidRPr="00A94043">
              <w:rPr>
                <w:sz w:val="20"/>
              </w:rPr>
              <w:t>%</w:t>
            </w:r>
          </w:p>
        </w:tc>
        <w:tc>
          <w:tcPr>
            <w:tcW w:w="1068" w:type="dxa"/>
            <w:noWrap/>
            <w:tcMar>
              <w:left w:w="57" w:type="dxa"/>
              <w:right w:w="57" w:type="dxa"/>
            </w:tcMar>
          </w:tcPr>
          <w:p w14:paraId="782FFF1F" w14:textId="77777777" w:rsidR="00A974C1" w:rsidRPr="00FE3039" w:rsidRDefault="00A974C1">
            <w:pPr>
              <w:jc w:val="center"/>
              <w:rPr>
                <w:sz w:val="20"/>
              </w:rPr>
            </w:pPr>
            <w:r w:rsidRPr="00A94043">
              <w:rPr>
                <w:sz w:val="20"/>
              </w:rPr>
              <w:t>248</w:t>
            </w:r>
          </w:p>
        </w:tc>
        <w:tc>
          <w:tcPr>
            <w:tcW w:w="1068" w:type="dxa"/>
            <w:noWrap/>
            <w:tcMar>
              <w:left w:w="57" w:type="dxa"/>
              <w:right w:w="57" w:type="dxa"/>
            </w:tcMar>
          </w:tcPr>
          <w:p w14:paraId="645B4D42" w14:textId="77777777" w:rsidR="00A974C1" w:rsidRPr="00FE3039" w:rsidRDefault="00A974C1">
            <w:pPr>
              <w:jc w:val="center"/>
              <w:rPr>
                <w:sz w:val="20"/>
              </w:rPr>
            </w:pPr>
            <w:r w:rsidRPr="00A94043">
              <w:rPr>
                <w:sz w:val="20"/>
              </w:rPr>
              <w:t>1563</w:t>
            </w:r>
          </w:p>
        </w:tc>
        <w:tc>
          <w:tcPr>
            <w:tcW w:w="1068" w:type="dxa"/>
            <w:noWrap/>
            <w:tcMar>
              <w:left w:w="57" w:type="dxa"/>
              <w:right w:w="57" w:type="dxa"/>
            </w:tcMar>
          </w:tcPr>
          <w:p w14:paraId="1DAFC6B4" w14:textId="77777777" w:rsidR="00A974C1" w:rsidRPr="00FE3039" w:rsidRDefault="00A974C1">
            <w:pPr>
              <w:jc w:val="center"/>
              <w:rPr>
                <w:sz w:val="20"/>
              </w:rPr>
            </w:pPr>
            <w:r w:rsidRPr="00A94043">
              <w:rPr>
                <w:sz w:val="20"/>
              </w:rPr>
              <w:t>4253</w:t>
            </w:r>
          </w:p>
        </w:tc>
        <w:tc>
          <w:tcPr>
            <w:tcW w:w="1068" w:type="dxa"/>
            <w:noWrap/>
            <w:tcMar>
              <w:left w:w="57" w:type="dxa"/>
              <w:right w:w="57" w:type="dxa"/>
            </w:tcMar>
          </w:tcPr>
          <w:p w14:paraId="7B66A62D" w14:textId="77777777" w:rsidR="00A974C1" w:rsidRPr="00FE3039" w:rsidRDefault="00A974C1">
            <w:pPr>
              <w:jc w:val="center"/>
              <w:rPr>
                <w:sz w:val="20"/>
              </w:rPr>
            </w:pPr>
            <w:r w:rsidRPr="00A94043">
              <w:rPr>
                <w:sz w:val="20"/>
              </w:rPr>
              <w:t>5.0</w:t>
            </w:r>
          </w:p>
        </w:tc>
        <w:tc>
          <w:tcPr>
            <w:tcW w:w="1068" w:type="dxa"/>
            <w:noWrap/>
            <w:tcMar>
              <w:left w:w="57" w:type="dxa"/>
              <w:right w:w="57" w:type="dxa"/>
            </w:tcMar>
          </w:tcPr>
          <w:p w14:paraId="2C0214CB" w14:textId="77777777" w:rsidR="00A974C1" w:rsidRPr="00FE3039" w:rsidRDefault="00A974C1">
            <w:pPr>
              <w:jc w:val="center"/>
              <w:rPr>
                <w:sz w:val="20"/>
              </w:rPr>
            </w:pPr>
            <w:r w:rsidRPr="00A94043">
              <w:rPr>
                <w:sz w:val="20"/>
              </w:rPr>
              <w:t>4.3</w:t>
            </w:r>
          </w:p>
        </w:tc>
        <w:tc>
          <w:tcPr>
            <w:tcW w:w="793" w:type="dxa"/>
            <w:noWrap/>
            <w:tcMar>
              <w:left w:w="57" w:type="dxa"/>
              <w:right w:w="57" w:type="dxa"/>
            </w:tcMar>
          </w:tcPr>
          <w:p w14:paraId="66E480BE" w14:textId="77777777" w:rsidR="00A974C1" w:rsidRPr="00FE3039" w:rsidRDefault="00A974C1">
            <w:pPr>
              <w:jc w:val="center"/>
              <w:rPr>
                <w:sz w:val="20"/>
              </w:rPr>
            </w:pPr>
            <w:r w:rsidRPr="00A94043">
              <w:rPr>
                <w:sz w:val="20"/>
              </w:rPr>
              <w:t>3.7</w:t>
            </w:r>
          </w:p>
        </w:tc>
      </w:tr>
      <w:tr w:rsidR="00A974C1" w:rsidRPr="00A94043" w14:paraId="00A018EA" w14:textId="77777777" w:rsidTr="00A974C1">
        <w:trPr>
          <w:gridAfter w:val="1"/>
          <w:wAfter w:w="6" w:type="dxa"/>
          <w:cantSplit/>
          <w:trHeight w:val="290"/>
          <w:tblHeader/>
        </w:trPr>
        <w:tc>
          <w:tcPr>
            <w:tcW w:w="895" w:type="dxa"/>
            <w:noWrap/>
            <w:tcMar>
              <w:left w:w="57" w:type="dxa"/>
              <w:right w:w="57" w:type="dxa"/>
            </w:tcMar>
          </w:tcPr>
          <w:p w14:paraId="194D828D" w14:textId="77777777" w:rsidR="00A974C1" w:rsidRPr="00A94043" w:rsidRDefault="00A974C1">
            <w:pPr>
              <w:rPr>
                <w:sz w:val="20"/>
              </w:rPr>
            </w:pPr>
            <w:r w:rsidRPr="00A94043">
              <w:rPr>
                <w:sz w:val="20"/>
              </w:rPr>
              <w:t>16</w:t>
            </w:r>
          </w:p>
        </w:tc>
        <w:tc>
          <w:tcPr>
            <w:tcW w:w="1260" w:type="dxa"/>
            <w:tcMar>
              <w:left w:w="57" w:type="dxa"/>
              <w:right w:w="57" w:type="dxa"/>
            </w:tcMar>
          </w:tcPr>
          <w:p w14:paraId="4D96239A" w14:textId="0FFAD824" w:rsidR="00A974C1" w:rsidRPr="00A94043" w:rsidRDefault="00A974C1">
            <w:pPr>
              <w:rPr>
                <w:sz w:val="20"/>
              </w:rPr>
            </w:pPr>
            <w:r w:rsidRPr="00A94043">
              <w:rPr>
                <w:sz w:val="20"/>
              </w:rPr>
              <w:t>Ducted Air Conditioner</w:t>
            </w:r>
            <w:r w:rsidR="002803AE">
              <w:rPr>
                <w:sz w:val="20"/>
              </w:rPr>
              <w:fldChar w:fldCharType="begin"/>
            </w:r>
            <w:r w:rsidR="002803AE">
              <w:rPr>
                <w:sz w:val="20"/>
              </w:rPr>
              <w:instrText xml:space="preserve"> NOTEREF _Ref171938938 \h </w:instrText>
            </w:r>
            <w:r w:rsidR="002803AE">
              <w:rPr>
                <w:sz w:val="20"/>
              </w:rPr>
            </w:r>
            <w:r w:rsidR="002803AE">
              <w:rPr>
                <w:sz w:val="20"/>
              </w:rPr>
              <w:fldChar w:fldCharType="separate"/>
            </w:r>
            <w:r w:rsidR="007068DD" w:rsidRPr="007068DD">
              <w:t>*</w:t>
            </w:r>
            <w:r w:rsidR="002803AE">
              <w:rPr>
                <w:sz w:val="20"/>
              </w:rPr>
              <w:fldChar w:fldCharType="end"/>
            </w:r>
          </w:p>
        </w:tc>
        <w:tc>
          <w:tcPr>
            <w:tcW w:w="1440" w:type="dxa"/>
            <w:noWrap/>
            <w:tcMar>
              <w:left w:w="57" w:type="dxa"/>
              <w:right w:w="57" w:type="dxa"/>
            </w:tcMar>
          </w:tcPr>
          <w:p w14:paraId="13E0B69F" w14:textId="77777777" w:rsidR="00A974C1" w:rsidRPr="00A94043" w:rsidRDefault="00A974C1">
            <w:pPr>
              <w:rPr>
                <w:sz w:val="20"/>
              </w:rPr>
            </w:pPr>
            <w:r w:rsidRPr="00A94043">
              <w:rPr>
                <w:sz w:val="20"/>
              </w:rPr>
              <w:t>Avg GEMS Register 11-13kW ducted</w:t>
            </w:r>
          </w:p>
        </w:tc>
        <w:tc>
          <w:tcPr>
            <w:tcW w:w="900" w:type="dxa"/>
            <w:tcMar>
              <w:left w:w="57" w:type="dxa"/>
              <w:right w:w="57" w:type="dxa"/>
            </w:tcMar>
          </w:tcPr>
          <w:p w14:paraId="2ECAA5EA" w14:textId="77777777" w:rsidR="00A974C1" w:rsidRPr="00A57086" w:rsidRDefault="00A974C1">
            <w:pPr>
              <w:jc w:val="center"/>
              <w:rPr>
                <w:sz w:val="20"/>
              </w:rPr>
            </w:pPr>
            <w:r w:rsidRPr="006B764E">
              <w:rPr>
                <w:sz w:val="20"/>
              </w:rPr>
              <w:t>Large</w:t>
            </w:r>
          </w:p>
        </w:tc>
        <w:tc>
          <w:tcPr>
            <w:tcW w:w="1068" w:type="dxa"/>
            <w:noWrap/>
            <w:tcMar>
              <w:left w:w="57" w:type="dxa"/>
              <w:right w:w="57" w:type="dxa"/>
            </w:tcMar>
          </w:tcPr>
          <w:p w14:paraId="2F4BC5AB" w14:textId="77777777" w:rsidR="00A974C1" w:rsidRPr="00FE3039" w:rsidRDefault="00A974C1">
            <w:pPr>
              <w:jc w:val="center"/>
              <w:rPr>
                <w:sz w:val="20"/>
              </w:rPr>
            </w:pPr>
            <w:r w:rsidRPr="00A94043">
              <w:rPr>
                <w:sz w:val="20"/>
              </w:rPr>
              <w:t xml:space="preserve">12 </w:t>
            </w:r>
          </w:p>
        </w:tc>
        <w:tc>
          <w:tcPr>
            <w:tcW w:w="1068" w:type="dxa"/>
            <w:noWrap/>
            <w:tcMar>
              <w:left w:w="57" w:type="dxa"/>
              <w:right w:w="57" w:type="dxa"/>
            </w:tcMar>
          </w:tcPr>
          <w:p w14:paraId="08EB0BCA" w14:textId="77777777" w:rsidR="00A974C1" w:rsidRPr="00FE3039" w:rsidRDefault="00A974C1">
            <w:pPr>
              <w:jc w:val="center"/>
              <w:rPr>
                <w:sz w:val="20"/>
              </w:rPr>
            </w:pPr>
            <w:r w:rsidRPr="00A94043">
              <w:rPr>
                <w:sz w:val="20"/>
              </w:rPr>
              <w:t>3.0</w:t>
            </w:r>
          </w:p>
        </w:tc>
        <w:tc>
          <w:tcPr>
            <w:tcW w:w="1068" w:type="dxa"/>
            <w:noWrap/>
            <w:tcMar>
              <w:left w:w="57" w:type="dxa"/>
              <w:right w:w="57" w:type="dxa"/>
            </w:tcMar>
          </w:tcPr>
          <w:p w14:paraId="3C2FEF9E" w14:textId="77777777" w:rsidR="00A974C1" w:rsidRPr="00FE3039" w:rsidRDefault="00A974C1">
            <w:pPr>
              <w:jc w:val="center"/>
              <w:rPr>
                <w:sz w:val="20"/>
              </w:rPr>
            </w:pPr>
            <w:r w:rsidRPr="00A94043">
              <w:rPr>
                <w:sz w:val="20"/>
              </w:rPr>
              <w:t>3</w:t>
            </w:r>
            <w:r>
              <w:rPr>
                <w:sz w:val="20"/>
              </w:rPr>
              <w:t>92</w:t>
            </w:r>
            <w:r w:rsidRPr="00A94043">
              <w:rPr>
                <w:sz w:val="20"/>
              </w:rPr>
              <w:t>%</w:t>
            </w:r>
          </w:p>
        </w:tc>
        <w:tc>
          <w:tcPr>
            <w:tcW w:w="1068" w:type="dxa"/>
            <w:noWrap/>
            <w:tcMar>
              <w:left w:w="57" w:type="dxa"/>
              <w:right w:w="57" w:type="dxa"/>
            </w:tcMar>
          </w:tcPr>
          <w:p w14:paraId="160852D3" w14:textId="77777777" w:rsidR="00A974C1" w:rsidRPr="00FE3039" w:rsidRDefault="00A974C1">
            <w:pPr>
              <w:jc w:val="center"/>
              <w:rPr>
                <w:sz w:val="20"/>
              </w:rPr>
            </w:pPr>
            <w:r w:rsidRPr="00A94043">
              <w:rPr>
                <w:sz w:val="20"/>
              </w:rPr>
              <w:t>274</w:t>
            </w:r>
          </w:p>
        </w:tc>
        <w:tc>
          <w:tcPr>
            <w:tcW w:w="1068" w:type="dxa"/>
            <w:noWrap/>
            <w:tcMar>
              <w:left w:w="57" w:type="dxa"/>
              <w:right w:w="57" w:type="dxa"/>
            </w:tcMar>
          </w:tcPr>
          <w:p w14:paraId="585E14A2" w14:textId="77777777" w:rsidR="00A974C1" w:rsidRPr="00FE3039" w:rsidRDefault="00A974C1">
            <w:pPr>
              <w:jc w:val="center"/>
              <w:rPr>
                <w:sz w:val="20"/>
              </w:rPr>
            </w:pPr>
            <w:r w:rsidRPr="00A94043">
              <w:rPr>
                <w:sz w:val="20"/>
              </w:rPr>
              <w:t>1684</w:t>
            </w:r>
          </w:p>
        </w:tc>
        <w:tc>
          <w:tcPr>
            <w:tcW w:w="1068" w:type="dxa"/>
            <w:noWrap/>
            <w:tcMar>
              <w:left w:w="57" w:type="dxa"/>
              <w:right w:w="57" w:type="dxa"/>
            </w:tcMar>
          </w:tcPr>
          <w:p w14:paraId="2C4A7C98" w14:textId="77777777" w:rsidR="00A974C1" w:rsidRPr="00FE3039" w:rsidRDefault="00A974C1">
            <w:pPr>
              <w:jc w:val="center"/>
              <w:rPr>
                <w:sz w:val="20"/>
              </w:rPr>
            </w:pPr>
            <w:r w:rsidRPr="00A94043">
              <w:rPr>
                <w:sz w:val="20"/>
              </w:rPr>
              <w:t>4494</w:t>
            </w:r>
          </w:p>
        </w:tc>
        <w:tc>
          <w:tcPr>
            <w:tcW w:w="1068" w:type="dxa"/>
            <w:noWrap/>
            <w:tcMar>
              <w:left w:w="57" w:type="dxa"/>
              <w:right w:w="57" w:type="dxa"/>
            </w:tcMar>
          </w:tcPr>
          <w:p w14:paraId="409AA2B8" w14:textId="77777777" w:rsidR="00A974C1" w:rsidRPr="00FE3039" w:rsidRDefault="00A974C1">
            <w:pPr>
              <w:jc w:val="center"/>
              <w:rPr>
                <w:sz w:val="20"/>
              </w:rPr>
            </w:pPr>
            <w:r w:rsidRPr="00A94043">
              <w:rPr>
                <w:sz w:val="20"/>
              </w:rPr>
              <w:t>4.5</w:t>
            </w:r>
          </w:p>
        </w:tc>
        <w:tc>
          <w:tcPr>
            <w:tcW w:w="1068" w:type="dxa"/>
            <w:noWrap/>
            <w:tcMar>
              <w:left w:w="57" w:type="dxa"/>
              <w:right w:w="57" w:type="dxa"/>
            </w:tcMar>
          </w:tcPr>
          <w:p w14:paraId="07613BF9" w14:textId="77777777" w:rsidR="00A974C1" w:rsidRPr="00FE3039" w:rsidRDefault="00A974C1">
            <w:pPr>
              <w:jc w:val="center"/>
              <w:rPr>
                <w:sz w:val="20"/>
              </w:rPr>
            </w:pPr>
            <w:r w:rsidRPr="00A94043">
              <w:rPr>
                <w:sz w:val="20"/>
              </w:rPr>
              <w:t>4.0</w:t>
            </w:r>
          </w:p>
        </w:tc>
        <w:tc>
          <w:tcPr>
            <w:tcW w:w="793" w:type="dxa"/>
            <w:noWrap/>
            <w:tcMar>
              <w:left w:w="57" w:type="dxa"/>
              <w:right w:w="57" w:type="dxa"/>
            </w:tcMar>
          </w:tcPr>
          <w:p w14:paraId="38466BBE" w14:textId="77777777" w:rsidR="00A974C1" w:rsidRPr="00FE3039" w:rsidRDefault="00A974C1">
            <w:pPr>
              <w:jc w:val="center"/>
              <w:rPr>
                <w:sz w:val="20"/>
              </w:rPr>
            </w:pPr>
            <w:r w:rsidRPr="00A94043">
              <w:rPr>
                <w:sz w:val="20"/>
              </w:rPr>
              <w:t>3.5</w:t>
            </w:r>
          </w:p>
        </w:tc>
      </w:tr>
      <w:tr w:rsidR="00A974C1" w:rsidRPr="00A94043" w14:paraId="3B7AE74D" w14:textId="77777777" w:rsidTr="00A974C1">
        <w:trPr>
          <w:gridAfter w:val="1"/>
          <w:wAfter w:w="6" w:type="dxa"/>
          <w:cantSplit/>
          <w:trHeight w:val="290"/>
          <w:tblHeader/>
        </w:trPr>
        <w:tc>
          <w:tcPr>
            <w:tcW w:w="895" w:type="dxa"/>
            <w:noWrap/>
            <w:tcMar>
              <w:left w:w="57" w:type="dxa"/>
              <w:right w:w="57" w:type="dxa"/>
            </w:tcMar>
          </w:tcPr>
          <w:p w14:paraId="18E88806" w14:textId="77777777" w:rsidR="00A974C1" w:rsidRPr="00A94043" w:rsidRDefault="00A974C1">
            <w:pPr>
              <w:rPr>
                <w:sz w:val="20"/>
              </w:rPr>
            </w:pPr>
            <w:r w:rsidRPr="00A94043">
              <w:rPr>
                <w:sz w:val="20"/>
              </w:rPr>
              <w:lastRenderedPageBreak/>
              <w:t>17</w:t>
            </w:r>
          </w:p>
        </w:tc>
        <w:tc>
          <w:tcPr>
            <w:tcW w:w="1260" w:type="dxa"/>
            <w:tcMar>
              <w:left w:w="57" w:type="dxa"/>
              <w:right w:w="57" w:type="dxa"/>
            </w:tcMar>
          </w:tcPr>
          <w:p w14:paraId="2BB71ECE" w14:textId="77777777" w:rsidR="00A974C1" w:rsidRPr="00A94043" w:rsidRDefault="00A974C1">
            <w:pPr>
              <w:rPr>
                <w:sz w:val="20"/>
              </w:rPr>
            </w:pPr>
            <w:r w:rsidRPr="00A94043">
              <w:rPr>
                <w:sz w:val="20"/>
              </w:rPr>
              <w:t>Electric Resistance</w:t>
            </w:r>
          </w:p>
        </w:tc>
        <w:tc>
          <w:tcPr>
            <w:tcW w:w="1440" w:type="dxa"/>
            <w:noWrap/>
            <w:tcMar>
              <w:left w:w="57" w:type="dxa"/>
              <w:right w:w="57" w:type="dxa"/>
            </w:tcMar>
          </w:tcPr>
          <w:p w14:paraId="2B2594E6" w14:textId="77777777" w:rsidR="00A974C1" w:rsidRPr="00A94043" w:rsidRDefault="00A974C1">
            <w:pPr>
              <w:rPr>
                <w:sz w:val="20"/>
              </w:rPr>
            </w:pPr>
            <w:r>
              <w:rPr>
                <w:sz w:val="20"/>
              </w:rPr>
              <w:t xml:space="preserve">Multiple </w:t>
            </w:r>
            <w:r w:rsidRPr="00A94043">
              <w:rPr>
                <w:sz w:val="20"/>
              </w:rPr>
              <w:t>Fixed</w:t>
            </w:r>
            <w:r>
              <w:rPr>
                <w:sz w:val="20"/>
              </w:rPr>
              <w:t xml:space="preserve"> (e.g. 4kW + 4kW + 4kW)</w:t>
            </w:r>
            <w:r w:rsidRPr="00A94043">
              <w:rPr>
                <w:sz w:val="20"/>
              </w:rPr>
              <w:t>, Thermostatic Control</w:t>
            </w:r>
          </w:p>
        </w:tc>
        <w:tc>
          <w:tcPr>
            <w:tcW w:w="900" w:type="dxa"/>
            <w:tcMar>
              <w:left w:w="57" w:type="dxa"/>
              <w:right w:w="57" w:type="dxa"/>
            </w:tcMar>
          </w:tcPr>
          <w:p w14:paraId="5BCE0565" w14:textId="77777777" w:rsidR="00A974C1" w:rsidRPr="00A57086" w:rsidRDefault="00A974C1">
            <w:pPr>
              <w:jc w:val="center"/>
              <w:rPr>
                <w:sz w:val="20"/>
              </w:rPr>
            </w:pPr>
            <w:r w:rsidRPr="006B764E">
              <w:rPr>
                <w:sz w:val="20"/>
              </w:rPr>
              <w:t>Large</w:t>
            </w:r>
          </w:p>
        </w:tc>
        <w:tc>
          <w:tcPr>
            <w:tcW w:w="1068" w:type="dxa"/>
            <w:noWrap/>
            <w:tcMar>
              <w:left w:w="57" w:type="dxa"/>
              <w:right w:w="57" w:type="dxa"/>
            </w:tcMar>
          </w:tcPr>
          <w:p w14:paraId="09B1E0FA" w14:textId="77777777" w:rsidR="00A974C1" w:rsidRPr="00FE3039" w:rsidRDefault="00A974C1">
            <w:pPr>
              <w:jc w:val="center"/>
              <w:rPr>
                <w:sz w:val="20"/>
              </w:rPr>
            </w:pPr>
            <w:r w:rsidRPr="00A94043">
              <w:rPr>
                <w:sz w:val="20"/>
              </w:rPr>
              <w:t>12</w:t>
            </w:r>
          </w:p>
        </w:tc>
        <w:tc>
          <w:tcPr>
            <w:tcW w:w="1068" w:type="dxa"/>
            <w:noWrap/>
            <w:tcMar>
              <w:left w:w="57" w:type="dxa"/>
              <w:right w:w="57" w:type="dxa"/>
            </w:tcMar>
          </w:tcPr>
          <w:p w14:paraId="08109A8F" w14:textId="77777777" w:rsidR="00A974C1" w:rsidRPr="00FE3039" w:rsidRDefault="00A974C1">
            <w:pPr>
              <w:jc w:val="center"/>
              <w:rPr>
                <w:sz w:val="20"/>
              </w:rPr>
            </w:pPr>
            <w:r w:rsidRPr="00A94043">
              <w:rPr>
                <w:sz w:val="20"/>
              </w:rPr>
              <w:t>12</w:t>
            </w:r>
          </w:p>
        </w:tc>
        <w:tc>
          <w:tcPr>
            <w:tcW w:w="1068" w:type="dxa"/>
            <w:noWrap/>
            <w:tcMar>
              <w:left w:w="57" w:type="dxa"/>
              <w:right w:w="57" w:type="dxa"/>
            </w:tcMar>
          </w:tcPr>
          <w:p w14:paraId="00061B39" w14:textId="77777777" w:rsidR="00A974C1" w:rsidRPr="00FE3039" w:rsidRDefault="00A974C1">
            <w:pPr>
              <w:jc w:val="center"/>
              <w:rPr>
                <w:sz w:val="20"/>
              </w:rPr>
            </w:pPr>
            <w:r w:rsidRPr="00A94043">
              <w:rPr>
                <w:sz w:val="20"/>
              </w:rPr>
              <w:t>100%</w:t>
            </w:r>
          </w:p>
        </w:tc>
        <w:tc>
          <w:tcPr>
            <w:tcW w:w="1068" w:type="dxa"/>
            <w:noWrap/>
            <w:tcMar>
              <w:left w:w="57" w:type="dxa"/>
              <w:right w:w="57" w:type="dxa"/>
            </w:tcMar>
          </w:tcPr>
          <w:p w14:paraId="054F00D3" w14:textId="77777777" w:rsidR="00A974C1" w:rsidRPr="00FE3039" w:rsidRDefault="00A974C1">
            <w:pPr>
              <w:jc w:val="center"/>
              <w:rPr>
                <w:sz w:val="20"/>
              </w:rPr>
            </w:pPr>
            <w:r w:rsidRPr="00A94043">
              <w:rPr>
                <w:sz w:val="20"/>
              </w:rPr>
              <w:t>1134</w:t>
            </w:r>
          </w:p>
        </w:tc>
        <w:tc>
          <w:tcPr>
            <w:tcW w:w="1068" w:type="dxa"/>
            <w:noWrap/>
            <w:tcMar>
              <w:left w:w="57" w:type="dxa"/>
              <w:right w:w="57" w:type="dxa"/>
            </w:tcMar>
          </w:tcPr>
          <w:p w14:paraId="42DF4B16" w14:textId="77777777" w:rsidR="00A974C1" w:rsidRPr="00FE3039" w:rsidRDefault="00A974C1">
            <w:pPr>
              <w:jc w:val="center"/>
              <w:rPr>
                <w:sz w:val="20"/>
              </w:rPr>
            </w:pPr>
            <w:r w:rsidRPr="00A94043">
              <w:rPr>
                <w:sz w:val="20"/>
              </w:rPr>
              <w:t>6628</w:t>
            </w:r>
          </w:p>
        </w:tc>
        <w:tc>
          <w:tcPr>
            <w:tcW w:w="1068" w:type="dxa"/>
            <w:noWrap/>
            <w:tcMar>
              <w:left w:w="57" w:type="dxa"/>
              <w:right w:w="57" w:type="dxa"/>
            </w:tcMar>
          </w:tcPr>
          <w:p w14:paraId="0B50677A" w14:textId="77777777" w:rsidR="00A974C1" w:rsidRPr="00FE3039" w:rsidRDefault="00A974C1">
            <w:pPr>
              <w:jc w:val="center"/>
              <w:rPr>
                <w:sz w:val="20"/>
              </w:rPr>
            </w:pPr>
            <w:r w:rsidRPr="00A94043">
              <w:rPr>
                <w:sz w:val="20"/>
              </w:rPr>
              <w:t>15731</w:t>
            </w:r>
          </w:p>
        </w:tc>
        <w:tc>
          <w:tcPr>
            <w:tcW w:w="1068" w:type="dxa"/>
            <w:noWrap/>
            <w:tcMar>
              <w:left w:w="57" w:type="dxa"/>
              <w:right w:w="57" w:type="dxa"/>
            </w:tcMar>
          </w:tcPr>
          <w:p w14:paraId="269E647A" w14:textId="77777777" w:rsidR="00A974C1" w:rsidRPr="00FE3039" w:rsidRDefault="00A974C1">
            <w:pPr>
              <w:jc w:val="center"/>
              <w:rPr>
                <w:sz w:val="20"/>
              </w:rPr>
            </w:pPr>
            <w:r w:rsidRPr="00A94043">
              <w:rPr>
                <w:sz w:val="20"/>
              </w:rPr>
              <w:t>0.89</w:t>
            </w:r>
          </w:p>
        </w:tc>
        <w:tc>
          <w:tcPr>
            <w:tcW w:w="1068" w:type="dxa"/>
            <w:noWrap/>
            <w:tcMar>
              <w:left w:w="57" w:type="dxa"/>
              <w:right w:w="57" w:type="dxa"/>
            </w:tcMar>
          </w:tcPr>
          <w:p w14:paraId="258155CB" w14:textId="77777777" w:rsidR="00A974C1" w:rsidRPr="00FE3039" w:rsidRDefault="00A974C1">
            <w:pPr>
              <w:jc w:val="center"/>
              <w:rPr>
                <w:sz w:val="20"/>
              </w:rPr>
            </w:pPr>
            <w:r w:rsidRPr="00A94043">
              <w:rPr>
                <w:sz w:val="20"/>
              </w:rPr>
              <w:t>0.98</w:t>
            </w:r>
          </w:p>
        </w:tc>
        <w:tc>
          <w:tcPr>
            <w:tcW w:w="793" w:type="dxa"/>
            <w:noWrap/>
            <w:tcMar>
              <w:left w:w="57" w:type="dxa"/>
              <w:right w:w="57" w:type="dxa"/>
            </w:tcMar>
          </w:tcPr>
          <w:p w14:paraId="6DC50C6F" w14:textId="77777777" w:rsidR="00A974C1" w:rsidRPr="00FE3039" w:rsidRDefault="00A974C1">
            <w:pPr>
              <w:jc w:val="center"/>
              <w:rPr>
                <w:sz w:val="20"/>
              </w:rPr>
            </w:pPr>
            <w:r w:rsidRPr="00A94043">
              <w:rPr>
                <w:sz w:val="20"/>
              </w:rPr>
              <w:t>1.00</w:t>
            </w:r>
          </w:p>
        </w:tc>
      </w:tr>
      <w:tr w:rsidR="00A974C1" w:rsidRPr="00A94043" w14:paraId="3A55D777" w14:textId="77777777" w:rsidTr="00A974C1">
        <w:trPr>
          <w:gridAfter w:val="1"/>
          <w:wAfter w:w="6" w:type="dxa"/>
          <w:cantSplit/>
          <w:trHeight w:val="290"/>
          <w:tblHeader/>
        </w:trPr>
        <w:tc>
          <w:tcPr>
            <w:tcW w:w="895" w:type="dxa"/>
            <w:noWrap/>
            <w:tcMar>
              <w:left w:w="57" w:type="dxa"/>
              <w:right w:w="57" w:type="dxa"/>
            </w:tcMar>
          </w:tcPr>
          <w:p w14:paraId="75083AE1" w14:textId="77777777" w:rsidR="00A974C1" w:rsidRPr="00A94043" w:rsidRDefault="00A974C1">
            <w:pPr>
              <w:rPr>
                <w:sz w:val="20"/>
              </w:rPr>
            </w:pPr>
            <w:r w:rsidRPr="00A94043">
              <w:rPr>
                <w:sz w:val="20"/>
              </w:rPr>
              <w:t>18</w:t>
            </w:r>
          </w:p>
        </w:tc>
        <w:tc>
          <w:tcPr>
            <w:tcW w:w="1260" w:type="dxa"/>
            <w:tcMar>
              <w:left w:w="57" w:type="dxa"/>
              <w:right w:w="57" w:type="dxa"/>
            </w:tcMar>
          </w:tcPr>
          <w:p w14:paraId="57C7B5A2" w14:textId="77777777" w:rsidR="00A974C1" w:rsidRPr="00A94043" w:rsidRDefault="00A974C1">
            <w:pPr>
              <w:rPr>
                <w:sz w:val="20"/>
              </w:rPr>
            </w:pPr>
            <w:r w:rsidRPr="00A94043">
              <w:rPr>
                <w:sz w:val="20"/>
              </w:rPr>
              <w:t>Gas Space Heater</w:t>
            </w:r>
          </w:p>
        </w:tc>
        <w:tc>
          <w:tcPr>
            <w:tcW w:w="1440" w:type="dxa"/>
            <w:noWrap/>
            <w:tcMar>
              <w:left w:w="57" w:type="dxa"/>
              <w:right w:w="57" w:type="dxa"/>
            </w:tcMar>
          </w:tcPr>
          <w:p w14:paraId="238FF746" w14:textId="77777777" w:rsidR="00A974C1" w:rsidRDefault="00A974C1">
            <w:pPr>
              <w:rPr>
                <w:sz w:val="20"/>
              </w:rPr>
            </w:pPr>
            <w:r>
              <w:rPr>
                <w:sz w:val="20"/>
              </w:rPr>
              <w:t xml:space="preserve">Multiple </w:t>
            </w:r>
            <w:r w:rsidRPr="00A94043">
              <w:rPr>
                <w:sz w:val="20"/>
              </w:rPr>
              <w:t>Fixed</w:t>
            </w:r>
            <w:r>
              <w:rPr>
                <w:sz w:val="20"/>
              </w:rPr>
              <w:t xml:space="preserve"> (e.g. 6kW + 6kW)</w:t>
            </w:r>
            <w:r w:rsidRPr="00A94043">
              <w:rPr>
                <w:sz w:val="20"/>
              </w:rPr>
              <w:t>, Thermostatic Control, 2 data points</w:t>
            </w:r>
          </w:p>
        </w:tc>
        <w:tc>
          <w:tcPr>
            <w:tcW w:w="900" w:type="dxa"/>
            <w:tcMar>
              <w:left w:w="57" w:type="dxa"/>
              <w:right w:w="57" w:type="dxa"/>
            </w:tcMar>
          </w:tcPr>
          <w:p w14:paraId="650DEFBA" w14:textId="77777777" w:rsidR="00A974C1" w:rsidRPr="00A57086" w:rsidRDefault="00A974C1">
            <w:pPr>
              <w:jc w:val="center"/>
              <w:rPr>
                <w:sz w:val="20"/>
              </w:rPr>
            </w:pPr>
            <w:r w:rsidRPr="006B764E">
              <w:rPr>
                <w:sz w:val="20"/>
              </w:rPr>
              <w:t>Large</w:t>
            </w:r>
          </w:p>
        </w:tc>
        <w:tc>
          <w:tcPr>
            <w:tcW w:w="1068" w:type="dxa"/>
            <w:noWrap/>
            <w:tcMar>
              <w:left w:w="57" w:type="dxa"/>
              <w:right w:w="57" w:type="dxa"/>
            </w:tcMar>
          </w:tcPr>
          <w:p w14:paraId="62B28E5B" w14:textId="77777777" w:rsidR="00A974C1" w:rsidRPr="00FE3039" w:rsidRDefault="00A974C1">
            <w:pPr>
              <w:jc w:val="center"/>
              <w:rPr>
                <w:sz w:val="20"/>
              </w:rPr>
            </w:pPr>
            <w:r w:rsidRPr="00A94043">
              <w:rPr>
                <w:sz w:val="20"/>
              </w:rPr>
              <w:t>12</w:t>
            </w:r>
          </w:p>
        </w:tc>
        <w:tc>
          <w:tcPr>
            <w:tcW w:w="1068" w:type="dxa"/>
            <w:noWrap/>
            <w:tcMar>
              <w:left w:w="57" w:type="dxa"/>
              <w:right w:w="57" w:type="dxa"/>
            </w:tcMar>
          </w:tcPr>
          <w:p w14:paraId="770C2673" w14:textId="77777777" w:rsidR="00A974C1" w:rsidRPr="00FE3039" w:rsidRDefault="00A974C1">
            <w:pPr>
              <w:jc w:val="center"/>
              <w:rPr>
                <w:sz w:val="20"/>
              </w:rPr>
            </w:pPr>
            <w:r w:rsidRPr="00A94043">
              <w:rPr>
                <w:sz w:val="20"/>
              </w:rPr>
              <w:t>15.3</w:t>
            </w:r>
          </w:p>
        </w:tc>
        <w:tc>
          <w:tcPr>
            <w:tcW w:w="1068" w:type="dxa"/>
            <w:noWrap/>
            <w:tcMar>
              <w:left w:w="57" w:type="dxa"/>
              <w:right w:w="57" w:type="dxa"/>
            </w:tcMar>
          </w:tcPr>
          <w:p w14:paraId="282C1179" w14:textId="77777777" w:rsidR="00A974C1" w:rsidRPr="00FE3039" w:rsidRDefault="00A974C1">
            <w:pPr>
              <w:jc w:val="center"/>
              <w:rPr>
                <w:sz w:val="20"/>
              </w:rPr>
            </w:pPr>
            <w:r w:rsidRPr="00A94043">
              <w:rPr>
                <w:sz w:val="20"/>
              </w:rPr>
              <w:t>78.6%</w:t>
            </w:r>
          </w:p>
        </w:tc>
        <w:tc>
          <w:tcPr>
            <w:tcW w:w="1068" w:type="dxa"/>
            <w:noWrap/>
            <w:tcMar>
              <w:left w:w="57" w:type="dxa"/>
              <w:right w:w="57" w:type="dxa"/>
            </w:tcMar>
          </w:tcPr>
          <w:p w14:paraId="3DA72700" w14:textId="77777777" w:rsidR="00A974C1" w:rsidRPr="00FE3039" w:rsidRDefault="00A974C1">
            <w:pPr>
              <w:jc w:val="center"/>
              <w:rPr>
                <w:sz w:val="20"/>
              </w:rPr>
            </w:pPr>
            <w:r w:rsidRPr="00A94043">
              <w:rPr>
                <w:sz w:val="20"/>
              </w:rPr>
              <w:t>1282</w:t>
            </w:r>
          </w:p>
        </w:tc>
        <w:tc>
          <w:tcPr>
            <w:tcW w:w="1068" w:type="dxa"/>
            <w:noWrap/>
            <w:tcMar>
              <w:left w:w="57" w:type="dxa"/>
              <w:right w:w="57" w:type="dxa"/>
            </w:tcMar>
          </w:tcPr>
          <w:p w14:paraId="508FEEE2" w14:textId="77777777" w:rsidR="00A974C1" w:rsidRPr="00FE3039" w:rsidRDefault="00A974C1">
            <w:pPr>
              <w:jc w:val="center"/>
              <w:rPr>
                <w:sz w:val="20"/>
              </w:rPr>
            </w:pPr>
            <w:r w:rsidRPr="00A94043">
              <w:rPr>
                <w:sz w:val="20"/>
              </w:rPr>
              <w:t>8267</w:t>
            </w:r>
          </w:p>
        </w:tc>
        <w:tc>
          <w:tcPr>
            <w:tcW w:w="1068" w:type="dxa"/>
            <w:noWrap/>
            <w:tcMar>
              <w:left w:w="57" w:type="dxa"/>
              <w:right w:w="57" w:type="dxa"/>
            </w:tcMar>
          </w:tcPr>
          <w:p w14:paraId="3CCC43AC" w14:textId="77777777" w:rsidR="00A974C1" w:rsidRPr="00FE3039" w:rsidRDefault="00A974C1">
            <w:pPr>
              <w:jc w:val="center"/>
              <w:rPr>
                <w:sz w:val="20"/>
              </w:rPr>
            </w:pPr>
            <w:r w:rsidRPr="00A94043">
              <w:rPr>
                <w:sz w:val="20"/>
              </w:rPr>
              <w:t>19841</w:t>
            </w:r>
          </w:p>
        </w:tc>
        <w:tc>
          <w:tcPr>
            <w:tcW w:w="1068" w:type="dxa"/>
            <w:noWrap/>
            <w:tcMar>
              <w:left w:w="57" w:type="dxa"/>
              <w:right w:w="57" w:type="dxa"/>
            </w:tcMar>
          </w:tcPr>
          <w:p w14:paraId="034CE2B9" w14:textId="77777777" w:rsidR="00A974C1" w:rsidRPr="00FE3039" w:rsidRDefault="00A974C1">
            <w:pPr>
              <w:jc w:val="center"/>
              <w:rPr>
                <w:sz w:val="20"/>
              </w:rPr>
            </w:pPr>
            <w:r w:rsidRPr="00A94043">
              <w:rPr>
                <w:sz w:val="20"/>
              </w:rPr>
              <w:t>0.79</w:t>
            </w:r>
          </w:p>
        </w:tc>
        <w:tc>
          <w:tcPr>
            <w:tcW w:w="1068" w:type="dxa"/>
            <w:noWrap/>
            <w:tcMar>
              <w:left w:w="57" w:type="dxa"/>
              <w:right w:w="57" w:type="dxa"/>
            </w:tcMar>
          </w:tcPr>
          <w:p w14:paraId="37A28064" w14:textId="77777777" w:rsidR="00A974C1" w:rsidRPr="00FE3039" w:rsidRDefault="00A974C1">
            <w:pPr>
              <w:jc w:val="center"/>
              <w:rPr>
                <w:sz w:val="20"/>
              </w:rPr>
            </w:pPr>
            <w:r w:rsidRPr="00A94043">
              <w:rPr>
                <w:sz w:val="20"/>
              </w:rPr>
              <w:t>0.79</w:t>
            </w:r>
          </w:p>
        </w:tc>
        <w:tc>
          <w:tcPr>
            <w:tcW w:w="793" w:type="dxa"/>
            <w:noWrap/>
            <w:tcMar>
              <w:left w:w="57" w:type="dxa"/>
              <w:right w:w="57" w:type="dxa"/>
            </w:tcMar>
          </w:tcPr>
          <w:p w14:paraId="7024441C" w14:textId="77777777" w:rsidR="00A974C1" w:rsidRPr="00FE3039" w:rsidRDefault="00A974C1">
            <w:pPr>
              <w:jc w:val="center"/>
              <w:rPr>
                <w:sz w:val="20"/>
              </w:rPr>
            </w:pPr>
            <w:r w:rsidRPr="00A94043">
              <w:rPr>
                <w:sz w:val="20"/>
              </w:rPr>
              <w:t>0.79</w:t>
            </w:r>
          </w:p>
        </w:tc>
      </w:tr>
      <w:tr w:rsidR="00A974C1" w:rsidRPr="00A94043" w14:paraId="4D23B155" w14:textId="77777777" w:rsidTr="00A974C1">
        <w:trPr>
          <w:gridAfter w:val="1"/>
          <w:wAfter w:w="6" w:type="dxa"/>
          <w:cantSplit/>
          <w:trHeight w:val="290"/>
          <w:tblHeader/>
        </w:trPr>
        <w:tc>
          <w:tcPr>
            <w:tcW w:w="895" w:type="dxa"/>
            <w:noWrap/>
            <w:tcMar>
              <w:left w:w="57" w:type="dxa"/>
              <w:right w:w="57" w:type="dxa"/>
            </w:tcMar>
          </w:tcPr>
          <w:p w14:paraId="0A37BC49" w14:textId="77777777" w:rsidR="00A974C1" w:rsidRPr="00A94043" w:rsidRDefault="00A974C1">
            <w:pPr>
              <w:rPr>
                <w:sz w:val="20"/>
              </w:rPr>
            </w:pPr>
            <w:r w:rsidRPr="00A94043">
              <w:rPr>
                <w:sz w:val="20"/>
              </w:rPr>
              <w:t>19</w:t>
            </w:r>
          </w:p>
        </w:tc>
        <w:tc>
          <w:tcPr>
            <w:tcW w:w="1260" w:type="dxa"/>
            <w:tcMar>
              <w:left w:w="57" w:type="dxa"/>
              <w:right w:w="57" w:type="dxa"/>
            </w:tcMar>
          </w:tcPr>
          <w:p w14:paraId="173EFE02" w14:textId="77777777" w:rsidR="00A974C1" w:rsidRPr="00A94043" w:rsidRDefault="00A974C1">
            <w:pPr>
              <w:rPr>
                <w:sz w:val="20"/>
              </w:rPr>
            </w:pPr>
            <w:r w:rsidRPr="00A94043">
              <w:rPr>
                <w:sz w:val="20"/>
              </w:rPr>
              <w:t>Ducted Gas</w:t>
            </w:r>
          </w:p>
        </w:tc>
        <w:tc>
          <w:tcPr>
            <w:tcW w:w="1440" w:type="dxa"/>
            <w:noWrap/>
            <w:tcMar>
              <w:left w:w="57" w:type="dxa"/>
              <w:right w:w="57" w:type="dxa"/>
            </w:tcMar>
          </w:tcPr>
          <w:p w14:paraId="66A3631F" w14:textId="77777777" w:rsidR="00A974C1" w:rsidRDefault="00A974C1">
            <w:pPr>
              <w:rPr>
                <w:sz w:val="20"/>
              </w:rPr>
            </w:pPr>
            <w:r w:rsidRPr="00A94043">
              <w:rPr>
                <w:sz w:val="20"/>
              </w:rPr>
              <w:t>Fixed, Thermostatic Control, 3 data points</w:t>
            </w:r>
          </w:p>
        </w:tc>
        <w:tc>
          <w:tcPr>
            <w:tcW w:w="900" w:type="dxa"/>
            <w:tcMar>
              <w:left w:w="57" w:type="dxa"/>
              <w:right w:w="57" w:type="dxa"/>
            </w:tcMar>
          </w:tcPr>
          <w:p w14:paraId="251E98A5" w14:textId="77777777" w:rsidR="00A974C1" w:rsidRPr="00A57086" w:rsidRDefault="00A974C1">
            <w:pPr>
              <w:jc w:val="center"/>
              <w:rPr>
                <w:sz w:val="20"/>
              </w:rPr>
            </w:pPr>
            <w:r w:rsidRPr="006B764E">
              <w:rPr>
                <w:sz w:val="20"/>
              </w:rPr>
              <w:t>Large</w:t>
            </w:r>
          </w:p>
        </w:tc>
        <w:tc>
          <w:tcPr>
            <w:tcW w:w="1068" w:type="dxa"/>
            <w:noWrap/>
            <w:tcMar>
              <w:left w:w="57" w:type="dxa"/>
              <w:right w:w="57" w:type="dxa"/>
            </w:tcMar>
          </w:tcPr>
          <w:p w14:paraId="21D2B980" w14:textId="77777777" w:rsidR="00A974C1" w:rsidRPr="00FE3039" w:rsidRDefault="00A974C1">
            <w:pPr>
              <w:jc w:val="center"/>
              <w:rPr>
                <w:sz w:val="20"/>
              </w:rPr>
            </w:pPr>
            <w:r w:rsidRPr="00A94043">
              <w:rPr>
                <w:sz w:val="20"/>
              </w:rPr>
              <w:t>12</w:t>
            </w:r>
          </w:p>
        </w:tc>
        <w:tc>
          <w:tcPr>
            <w:tcW w:w="1068" w:type="dxa"/>
            <w:noWrap/>
            <w:tcMar>
              <w:left w:w="57" w:type="dxa"/>
              <w:right w:w="57" w:type="dxa"/>
            </w:tcMar>
          </w:tcPr>
          <w:p w14:paraId="2C2328E3" w14:textId="77777777" w:rsidR="00A974C1" w:rsidRPr="00FE3039" w:rsidRDefault="00A974C1">
            <w:pPr>
              <w:jc w:val="center"/>
              <w:rPr>
                <w:sz w:val="20"/>
              </w:rPr>
            </w:pPr>
            <w:r w:rsidRPr="00A94043">
              <w:rPr>
                <w:sz w:val="20"/>
              </w:rPr>
              <w:t>15.75</w:t>
            </w:r>
          </w:p>
        </w:tc>
        <w:tc>
          <w:tcPr>
            <w:tcW w:w="1068" w:type="dxa"/>
            <w:noWrap/>
            <w:tcMar>
              <w:left w:w="57" w:type="dxa"/>
              <w:right w:w="57" w:type="dxa"/>
            </w:tcMar>
          </w:tcPr>
          <w:p w14:paraId="5BE44795" w14:textId="77777777" w:rsidR="00A974C1" w:rsidRPr="00FE3039" w:rsidRDefault="00A974C1">
            <w:pPr>
              <w:jc w:val="center"/>
              <w:rPr>
                <w:sz w:val="20"/>
              </w:rPr>
            </w:pPr>
            <w:r w:rsidRPr="00A94043">
              <w:rPr>
                <w:sz w:val="20"/>
              </w:rPr>
              <w:t>75.0%</w:t>
            </w:r>
          </w:p>
        </w:tc>
        <w:tc>
          <w:tcPr>
            <w:tcW w:w="1068" w:type="dxa"/>
            <w:noWrap/>
            <w:tcMar>
              <w:left w:w="57" w:type="dxa"/>
              <w:right w:w="57" w:type="dxa"/>
            </w:tcMar>
          </w:tcPr>
          <w:p w14:paraId="5F9B0508" w14:textId="77777777" w:rsidR="00A974C1" w:rsidRPr="00FE3039" w:rsidRDefault="00A974C1">
            <w:pPr>
              <w:jc w:val="center"/>
              <w:rPr>
                <w:sz w:val="20"/>
              </w:rPr>
            </w:pPr>
            <w:r w:rsidRPr="00A94043">
              <w:rPr>
                <w:sz w:val="20"/>
              </w:rPr>
              <w:t>1299</w:t>
            </w:r>
          </w:p>
        </w:tc>
        <w:tc>
          <w:tcPr>
            <w:tcW w:w="1068" w:type="dxa"/>
            <w:noWrap/>
            <w:tcMar>
              <w:left w:w="57" w:type="dxa"/>
              <w:right w:w="57" w:type="dxa"/>
            </w:tcMar>
          </w:tcPr>
          <w:p w14:paraId="591CDEF1" w14:textId="77777777" w:rsidR="00A974C1" w:rsidRPr="00FE3039" w:rsidRDefault="00A974C1">
            <w:pPr>
              <w:jc w:val="center"/>
              <w:rPr>
                <w:sz w:val="20"/>
              </w:rPr>
            </w:pPr>
            <w:r w:rsidRPr="00A94043">
              <w:rPr>
                <w:sz w:val="20"/>
              </w:rPr>
              <w:t>8315</w:t>
            </w:r>
          </w:p>
        </w:tc>
        <w:tc>
          <w:tcPr>
            <w:tcW w:w="1068" w:type="dxa"/>
            <w:noWrap/>
            <w:tcMar>
              <w:left w:w="57" w:type="dxa"/>
              <w:right w:w="57" w:type="dxa"/>
            </w:tcMar>
          </w:tcPr>
          <w:p w14:paraId="43A1B7FD" w14:textId="77777777" w:rsidR="00A974C1" w:rsidRPr="00FE3039" w:rsidRDefault="00A974C1">
            <w:pPr>
              <w:jc w:val="center"/>
              <w:rPr>
                <w:sz w:val="20"/>
              </w:rPr>
            </w:pPr>
            <w:r w:rsidRPr="00A94043">
              <w:rPr>
                <w:sz w:val="20"/>
              </w:rPr>
              <w:t>20036</w:t>
            </w:r>
          </w:p>
        </w:tc>
        <w:tc>
          <w:tcPr>
            <w:tcW w:w="1068" w:type="dxa"/>
            <w:noWrap/>
            <w:tcMar>
              <w:left w:w="57" w:type="dxa"/>
              <w:right w:w="57" w:type="dxa"/>
            </w:tcMar>
          </w:tcPr>
          <w:p w14:paraId="2E1C4917" w14:textId="77777777" w:rsidR="00A974C1" w:rsidRPr="00FE3039" w:rsidRDefault="00A974C1">
            <w:pPr>
              <w:jc w:val="center"/>
              <w:rPr>
                <w:sz w:val="20"/>
              </w:rPr>
            </w:pPr>
            <w:r w:rsidRPr="00A94043">
              <w:rPr>
                <w:sz w:val="20"/>
              </w:rPr>
              <w:t>0.76</w:t>
            </w:r>
          </w:p>
        </w:tc>
        <w:tc>
          <w:tcPr>
            <w:tcW w:w="1068" w:type="dxa"/>
            <w:noWrap/>
            <w:tcMar>
              <w:left w:w="57" w:type="dxa"/>
              <w:right w:w="57" w:type="dxa"/>
            </w:tcMar>
          </w:tcPr>
          <w:p w14:paraId="0E2CCB94" w14:textId="77777777" w:rsidR="00A974C1" w:rsidRPr="00FE3039" w:rsidRDefault="00A974C1">
            <w:pPr>
              <w:jc w:val="center"/>
              <w:rPr>
                <w:sz w:val="20"/>
              </w:rPr>
            </w:pPr>
            <w:r w:rsidRPr="00A94043">
              <w:rPr>
                <w:sz w:val="20"/>
              </w:rPr>
              <w:t>0.77</w:t>
            </w:r>
          </w:p>
        </w:tc>
        <w:tc>
          <w:tcPr>
            <w:tcW w:w="793" w:type="dxa"/>
            <w:noWrap/>
            <w:tcMar>
              <w:left w:w="57" w:type="dxa"/>
              <w:right w:w="57" w:type="dxa"/>
            </w:tcMar>
          </w:tcPr>
          <w:p w14:paraId="678AA689" w14:textId="77777777" w:rsidR="00A974C1" w:rsidRPr="00FE3039" w:rsidRDefault="00A974C1">
            <w:pPr>
              <w:jc w:val="center"/>
              <w:rPr>
                <w:sz w:val="20"/>
              </w:rPr>
            </w:pPr>
            <w:r w:rsidRPr="00A94043">
              <w:rPr>
                <w:sz w:val="20"/>
              </w:rPr>
              <w:t>0.77</w:t>
            </w:r>
          </w:p>
        </w:tc>
      </w:tr>
      <w:tr w:rsidR="00A974C1" w:rsidRPr="00A94043" w14:paraId="72168ECC" w14:textId="77777777" w:rsidTr="00A974C1">
        <w:trPr>
          <w:gridAfter w:val="1"/>
          <w:wAfter w:w="6" w:type="dxa"/>
          <w:cantSplit/>
          <w:trHeight w:val="290"/>
          <w:tblHeader/>
        </w:trPr>
        <w:tc>
          <w:tcPr>
            <w:tcW w:w="895" w:type="dxa"/>
            <w:noWrap/>
            <w:tcMar>
              <w:left w:w="57" w:type="dxa"/>
              <w:right w:w="57" w:type="dxa"/>
            </w:tcMar>
          </w:tcPr>
          <w:p w14:paraId="6D56E25E" w14:textId="77777777" w:rsidR="00A974C1" w:rsidRPr="00A94043" w:rsidRDefault="00A974C1">
            <w:pPr>
              <w:rPr>
                <w:sz w:val="20"/>
              </w:rPr>
            </w:pPr>
            <w:r w:rsidRPr="00A94043">
              <w:rPr>
                <w:sz w:val="20"/>
              </w:rPr>
              <w:t>20</w:t>
            </w:r>
          </w:p>
        </w:tc>
        <w:tc>
          <w:tcPr>
            <w:tcW w:w="1260" w:type="dxa"/>
            <w:tcMar>
              <w:left w:w="57" w:type="dxa"/>
              <w:right w:w="57" w:type="dxa"/>
            </w:tcMar>
          </w:tcPr>
          <w:p w14:paraId="39371DD8" w14:textId="77777777" w:rsidR="00A974C1" w:rsidRPr="00A94043" w:rsidRDefault="00A974C1">
            <w:pPr>
              <w:rPr>
                <w:sz w:val="20"/>
              </w:rPr>
            </w:pPr>
            <w:r w:rsidRPr="00A94043">
              <w:rPr>
                <w:sz w:val="20"/>
              </w:rPr>
              <w:t>Solid Fuel Heater</w:t>
            </w:r>
          </w:p>
        </w:tc>
        <w:tc>
          <w:tcPr>
            <w:tcW w:w="1440" w:type="dxa"/>
            <w:noWrap/>
            <w:tcMar>
              <w:left w:w="57" w:type="dxa"/>
              <w:right w:w="57" w:type="dxa"/>
            </w:tcMar>
          </w:tcPr>
          <w:p w14:paraId="1280BE50" w14:textId="77777777" w:rsidR="00A974C1" w:rsidRPr="00A94043" w:rsidRDefault="00A974C1">
            <w:pPr>
              <w:rPr>
                <w:sz w:val="20"/>
              </w:rPr>
            </w:pPr>
            <w:r w:rsidRPr="00A94043">
              <w:rPr>
                <w:sz w:val="20"/>
              </w:rPr>
              <w:t>Fixed, Adjustable Air Control, 3 data points</w:t>
            </w:r>
          </w:p>
        </w:tc>
        <w:tc>
          <w:tcPr>
            <w:tcW w:w="900" w:type="dxa"/>
            <w:tcMar>
              <w:left w:w="57" w:type="dxa"/>
              <w:right w:w="57" w:type="dxa"/>
            </w:tcMar>
          </w:tcPr>
          <w:p w14:paraId="7011CA8B" w14:textId="77777777" w:rsidR="00A974C1" w:rsidRPr="00A57086" w:rsidRDefault="00A974C1">
            <w:pPr>
              <w:jc w:val="center"/>
              <w:rPr>
                <w:sz w:val="20"/>
              </w:rPr>
            </w:pPr>
            <w:r w:rsidRPr="006B764E">
              <w:rPr>
                <w:sz w:val="20"/>
              </w:rPr>
              <w:t>Large</w:t>
            </w:r>
          </w:p>
        </w:tc>
        <w:tc>
          <w:tcPr>
            <w:tcW w:w="1068" w:type="dxa"/>
            <w:noWrap/>
            <w:tcMar>
              <w:left w:w="57" w:type="dxa"/>
              <w:right w:w="57" w:type="dxa"/>
            </w:tcMar>
          </w:tcPr>
          <w:p w14:paraId="75941B46" w14:textId="77777777" w:rsidR="00A974C1" w:rsidRPr="00FE3039" w:rsidRDefault="00A974C1">
            <w:pPr>
              <w:jc w:val="center"/>
              <w:rPr>
                <w:sz w:val="20"/>
              </w:rPr>
            </w:pPr>
            <w:r w:rsidRPr="00A94043">
              <w:rPr>
                <w:sz w:val="20"/>
              </w:rPr>
              <w:t>12</w:t>
            </w:r>
          </w:p>
        </w:tc>
        <w:tc>
          <w:tcPr>
            <w:tcW w:w="1068" w:type="dxa"/>
            <w:noWrap/>
            <w:tcMar>
              <w:left w:w="57" w:type="dxa"/>
              <w:right w:w="57" w:type="dxa"/>
            </w:tcMar>
          </w:tcPr>
          <w:p w14:paraId="4DE7321B" w14:textId="77777777" w:rsidR="00A974C1" w:rsidRPr="00FE3039" w:rsidRDefault="00A974C1">
            <w:pPr>
              <w:jc w:val="center"/>
              <w:rPr>
                <w:sz w:val="20"/>
              </w:rPr>
            </w:pPr>
            <w:r w:rsidRPr="00A94043">
              <w:rPr>
                <w:sz w:val="20"/>
              </w:rPr>
              <w:t>18.46</w:t>
            </w:r>
          </w:p>
        </w:tc>
        <w:tc>
          <w:tcPr>
            <w:tcW w:w="1068" w:type="dxa"/>
            <w:noWrap/>
            <w:tcMar>
              <w:left w:w="57" w:type="dxa"/>
              <w:right w:w="57" w:type="dxa"/>
            </w:tcMar>
          </w:tcPr>
          <w:p w14:paraId="397A2261" w14:textId="77777777" w:rsidR="00A974C1" w:rsidRPr="00FE3039" w:rsidRDefault="00A974C1">
            <w:pPr>
              <w:jc w:val="center"/>
              <w:rPr>
                <w:sz w:val="20"/>
              </w:rPr>
            </w:pPr>
            <w:r w:rsidRPr="00A94043">
              <w:rPr>
                <w:sz w:val="20"/>
              </w:rPr>
              <w:t>65.0%</w:t>
            </w:r>
          </w:p>
        </w:tc>
        <w:tc>
          <w:tcPr>
            <w:tcW w:w="1068" w:type="dxa"/>
            <w:noWrap/>
            <w:tcMar>
              <w:left w:w="57" w:type="dxa"/>
              <w:right w:w="57" w:type="dxa"/>
            </w:tcMar>
          </w:tcPr>
          <w:p w14:paraId="1D85C4A6" w14:textId="77777777" w:rsidR="00A974C1" w:rsidRPr="00FE3039" w:rsidRDefault="00A974C1">
            <w:pPr>
              <w:jc w:val="center"/>
              <w:rPr>
                <w:sz w:val="20"/>
              </w:rPr>
            </w:pPr>
            <w:r w:rsidRPr="00A94043">
              <w:rPr>
                <w:sz w:val="20"/>
              </w:rPr>
              <w:t>1343</w:t>
            </w:r>
          </w:p>
        </w:tc>
        <w:tc>
          <w:tcPr>
            <w:tcW w:w="1068" w:type="dxa"/>
            <w:noWrap/>
            <w:tcMar>
              <w:left w:w="57" w:type="dxa"/>
              <w:right w:w="57" w:type="dxa"/>
            </w:tcMar>
          </w:tcPr>
          <w:p w14:paraId="2FD5CCE0" w14:textId="77777777" w:rsidR="00A974C1" w:rsidRPr="00FE3039" w:rsidRDefault="00A974C1">
            <w:pPr>
              <w:jc w:val="center"/>
              <w:rPr>
                <w:sz w:val="20"/>
              </w:rPr>
            </w:pPr>
            <w:r w:rsidRPr="00A94043">
              <w:rPr>
                <w:sz w:val="20"/>
              </w:rPr>
              <w:t>8761</w:t>
            </w:r>
          </w:p>
        </w:tc>
        <w:tc>
          <w:tcPr>
            <w:tcW w:w="1068" w:type="dxa"/>
            <w:noWrap/>
            <w:tcMar>
              <w:left w:w="57" w:type="dxa"/>
              <w:right w:w="57" w:type="dxa"/>
            </w:tcMar>
          </w:tcPr>
          <w:p w14:paraId="38218C89" w14:textId="77777777" w:rsidR="00A974C1" w:rsidRPr="00FE3039" w:rsidRDefault="00A974C1">
            <w:pPr>
              <w:jc w:val="center"/>
              <w:rPr>
                <w:sz w:val="20"/>
              </w:rPr>
            </w:pPr>
            <w:r w:rsidRPr="00A94043">
              <w:rPr>
                <w:sz w:val="20"/>
              </w:rPr>
              <w:t>21399</w:t>
            </w:r>
          </w:p>
        </w:tc>
        <w:tc>
          <w:tcPr>
            <w:tcW w:w="1068" w:type="dxa"/>
            <w:noWrap/>
            <w:tcMar>
              <w:left w:w="57" w:type="dxa"/>
              <w:right w:w="57" w:type="dxa"/>
            </w:tcMar>
          </w:tcPr>
          <w:p w14:paraId="7A193178" w14:textId="77777777" w:rsidR="00A974C1" w:rsidRPr="00FE3039" w:rsidRDefault="00A974C1">
            <w:pPr>
              <w:jc w:val="center"/>
              <w:rPr>
                <w:sz w:val="20"/>
              </w:rPr>
            </w:pPr>
            <w:r w:rsidRPr="00A94043">
              <w:rPr>
                <w:sz w:val="20"/>
              </w:rPr>
              <w:t>0.75</w:t>
            </w:r>
          </w:p>
        </w:tc>
        <w:tc>
          <w:tcPr>
            <w:tcW w:w="1068" w:type="dxa"/>
            <w:noWrap/>
            <w:tcMar>
              <w:left w:w="57" w:type="dxa"/>
              <w:right w:w="57" w:type="dxa"/>
            </w:tcMar>
          </w:tcPr>
          <w:p w14:paraId="338BB04C" w14:textId="77777777" w:rsidR="00A974C1" w:rsidRPr="00FE3039" w:rsidRDefault="00A974C1">
            <w:pPr>
              <w:jc w:val="center"/>
              <w:rPr>
                <w:sz w:val="20"/>
              </w:rPr>
            </w:pPr>
            <w:r w:rsidRPr="00A94043">
              <w:rPr>
                <w:sz w:val="20"/>
              </w:rPr>
              <w:t>0.74</w:t>
            </w:r>
          </w:p>
        </w:tc>
        <w:tc>
          <w:tcPr>
            <w:tcW w:w="793" w:type="dxa"/>
            <w:noWrap/>
            <w:tcMar>
              <w:left w:w="57" w:type="dxa"/>
              <w:right w:w="57" w:type="dxa"/>
            </w:tcMar>
          </w:tcPr>
          <w:p w14:paraId="10F71613" w14:textId="77777777" w:rsidR="00A974C1" w:rsidRPr="00FE3039" w:rsidRDefault="00A974C1">
            <w:pPr>
              <w:jc w:val="center"/>
              <w:rPr>
                <w:sz w:val="20"/>
              </w:rPr>
            </w:pPr>
            <w:r w:rsidRPr="00A94043">
              <w:rPr>
                <w:sz w:val="20"/>
              </w:rPr>
              <w:t>0.73</w:t>
            </w:r>
          </w:p>
        </w:tc>
      </w:tr>
      <w:bookmarkEnd w:id="75"/>
    </w:tbl>
    <w:p w14:paraId="0A18172F" w14:textId="5485BF1C" w:rsidR="00BC4955" w:rsidRPr="00BE666F" w:rsidRDefault="00BC4955" w:rsidP="00A94043">
      <w:pPr>
        <w:rPr>
          <w:sz w:val="20"/>
        </w:rPr>
      </w:pPr>
    </w:p>
    <w:p w14:paraId="10D5EF2E" w14:textId="657F0372" w:rsidR="00BC4955" w:rsidRPr="00A94043" w:rsidRDefault="00BC4955" w:rsidP="00C03B58">
      <w:pPr>
        <w:sectPr w:rsidR="00BC4955" w:rsidRPr="00A94043" w:rsidSect="00B246CB">
          <w:pgSz w:w="16838" w:h="11906" w:orient="landscape"/>
          <w:pgMar w:top="1440" w:right="1440" w:bottom="1440" w:left="1440" w:header="708" w:footer="708" w:gutter="0"/>
          <w:cols w:space="708"/>
          <w:docGrid w:linePitch="360"/>
        </w:sectPr>
      </w:pPr>
    </w:p>
    <w:p w14:paraId="2902559C" w14:textId="2EFFE8C1" w:rsidR="00AF0EDC" w:rsidRPr="00A94043" w:rsidRDefault="00AF0EDC" w:rsidP="004F5C1E">
      <w:pPr>
        <w:pStyle w:val="Heading1"/>
      </w:pPr>
      <w:bookmarkStart w:id="76" w:name="_Toc175311927"/>
      <w:r w:rsidRPr="00A94043">
        <w:lastRenderedPageBreak/>
        <w:t>Conclusion</w:t>
      </w:r>
      <w:bookmarkEnd w:id="76"/>
    </w:p>
    <w:p w14:paraId="43E62925" w14:textId="68431086" w:rsidR="00AF0EDC" w:rsidRPr="00A94043" w:rsidRDefault="00AF0EDC" w:rsidP="008C172F">
      <w:r w:rsidRPr="00A94043">
        <w:t xml:space="preserve">A detailed space heating comparison methodology has been developed with the specialist technical input and guidance of the Space </w:t>
      </w:r>
      <w:r w:rsidR="00727C0F">
        <w:t>H</w:t>
      </w:r>
      <w:r w:rsidRPr="00A94043">
        <w:t xml:space="preserve">eating </w:t>
      </w:r>
      <w:r w:rsidR="00727C0F">
        <w:t>E</w:t>
      </w:r>
      <w:r w:rsidRPr="00A94043">
        <w:t>quipment Technical Working Group. This methodology is based on the GEMS Determination for air conditioners; utilises existing individual space heater test methods to define the key performance characteristics of a heater; and enables a common evaluation method to be used to calculate performance metrics</w:t>
      </w:r>
      <w:r w:rsidR="00FF5362">
        <w:t>,</w:t>
      </w:r>
      <w:r w:rsidRPr="00A94043">
        <w:t xml:space="preserve"> so that products can be objectively compared across technology types.</w:t>
      </w:r>
    </w:p>
    <w:p w14:paraId="4186BF05" w14:textId="009D7C81" w:rsidR="00AF0EDC" w:rsidRPr="00A94043" w:rsidRDefault="00AF0EDC" w:rsidP="008C172F">
      <w:r w:rsidRPr="00A94043">
        <w:t>This paper provides a summary of the space heating comparison method, definition</w:t>
      </w:r>
      <w:r w:rsidR="009A7289">
        <w:t>s</w:t>
      </w:r>
      <w:r w:rsidRPr="00A94043">
        <w:t xml:space="preserve"> of the key performance characteristics for each technology type, and example results for a range of technology types and climate zones. These results demonstrate that the methodology can </w:t>
      </w:r>
      <w:r w:rsidR="00CC45E3">
        <w:t xml:space="preserve">generate </w:t>
      </w:r>
      <w:r w:rsidR="004E7FFD">
        <w:t>comparable</w:t>
      </w:r>
      <w:r w:rsidR="00E2411B">
        <w:t xml:space="preserve"> performance information for different technologies by using </w:t>
      </w:r>
      <w:r w:rsidRPr="00A94043">
        <w:t>existing test results. The methodology could therefore be implemented in a straightforward manner without requiring significant additional testing for most product types. The outputs of the method could be used to communicate to consumers the heating capacity of space heaters, their annual energy use, and their overall efficiency, all determined on a common basis.</w:t>
      </w:r>
    </w:p>
    <w:p w14:paraId="0F82CF5F" w14:textId="4680181E" w:rsidR="00263959" w:rsidRPr="00CE16EE" w:rsidRDefault="00BC6978" w:rsidP="00263959">
      <w:pPr>
        <w:rPr>
          <w:rFonts w:eastAsia="Calibri"/>
          <w:szCs w:val="22"/>
        </w:rPr>
      </w:pPr>
      <w:r w:rsidRPr="00A94043">
        <w:t>Work will continue to develop calculation methods for more complex heaters such as electric</w:t>
      </w:r>
      <w:r w:rsidR="004F1D54">
        <w:t xml:space="preserve"> </w:t>
      </w:r>
      <w:r w:rsidRPr="00A94043">
        <w:t>resistance underfloor</w:t>
      </w:r>
      <w:r w:rsidR="00285BFF">
        <w:t xml:space="preserve"> </w:t>
      </w:r>
      <w:r w:rsidRPr="00A94043">
        <w:t>heating</w:t>
      </w:r>
      <w:r w:rsidR="00A6319F">
        <w:t xml:space="preserve"> </w:t>
      </w:r>
      <w:r w:rsidR="00A6319F">
        <w:rPr>
          <w:rFonts w:cs="Calibri"/>
        </w:rPr>
        <w:t>systems (including directly under flooring, in-screed and in-slab)</w:t>
      </w:r>
      <w:r w:rsidR="00A6319F" w:rsidRPr="002E63C1">
        <w:rPr>
          <w:rFonts w:cs="Calibri"/>
        </w:rPr>
        <w:t xml:space="preserve"> </w:t>
      </w:r>
      <w:r w:rsidRPr="00A94043">
        <w:t>and hydronic (gas, electric</w:t>
      </w:r>
      <w:r w:rsidR="004F1D54">
        <w:t xml:space="preserve"> </w:t>
      </w:r>
      <w:r w:rsidRPr="00A94043">
        <w:t>resistance, solar or heat</w:t>
      </w:r>
      <w:r w:rsidR="004F1D54">
        <w:t xml:space="preserve"> </w:t>
      </w:r>
      <w:r w:rsidRPr="00A94043">
        <w:t>pump) heating systems</w:t>
      </w:r>
      <w:r>
        <w:t>. The calculation methods for more complex heaters would be</w:t>
      </w:r>
      <w:r w:rsidRPr="00A94043">
        <w:t xml:space="preserve"> based on a similar approach</w:t>
      </w:r>
      <w:r>
        <w:t xml:space="preserve"> to the calculation methods already developed for the simpler heaters, and include </w:t>
      </w:r>
      <w:r w:rsidRPr="00A94043">
        <w:t xml:space="preserve">consideration of the distribution system losses and effects of thermal mass, outdoor temperature and solar radiation as appropriate for each </w:t>
      </w:r>
      <w:r>
        <w:t xml:space="preserve">complex </w:t>
      </w:r>
      <w:r w:rsidRPr="00A94043">
        <w:t>technology type.</w:t>
      </w:r>
      <w:r w:rsidR="00263959" w:rsidRPr="00263959">
        <w:t xml:space="preserve"> </w:t>
      </w:r>
      <w:r w:rsidR="00263959">
        <w:t xml:space="preserve">The </w:t>
      </w:r>
      <w:r w:rsidR="00985A50">
        <w:t xml:space="preserve">department </w:t>
      </w:r>
      <w:r w:rsidR="00263959">
        <w:t xml:space="preserve">will consult </w:t>
      </w:r>
      <w:r w:rsidR="00985A50">
        <w:t xml:space="preserve">with </w:t>
      </w:r>
      <w:r w:rsidR="00263959">
        <w:t>relevant stakeholders for these technologies as part of developing these product methods.</w:t>
      </w:r>
      <w:r w:rsidR="00263959" w:rsidRPr="00263959">
        <w:t xml:space="preserve"> </w:t>
      </w:r>
      <w:r w:rsidR="00263959">
        <w:t xml:space="preserve">Once ready, the product method papers </w:t>
      </w:r>
      <w:r w:rsidR="00985A50">
        <w:t xml:space="preserve">for more complex heaters </w:t>
      </w:r>
      <w:r w:rsidR="00263959">
        <w:t>would be published for broader consultation.</w:t>
      </w:r>
    </w:p>
    <w:p w14:paraId="54F5C24F" w14:textId="16EC9D9C" w:rsidR="00193850" w:rsidRPr="004A3CA7" w:rsidRDefault="06117B23" w:rsidP="00193850">
      <w:r>
        <w:t xml:space="preserve">The </w:t>
      </w:r>
      <w:r w:rsidR="6B5675C0">
        <w:t xml:space="preserve">department will use </w:t>
      </w:r>
      <w:r w:rsidR="648403C0">
        <w:t xml:space="preserve">the </w:t>
      </w:r>
      <w:r w:rsidR="389D72D0">
        <w:t xml:space="preserve">information </w:t>
      </w:r>
      <w:r w:rsidR="648403C0">
        <w:t xml:space="preserve">and feedback </w:t>
      </w:r>
      <w:r w:rsidR="1E052BB2">
        <w:t>obtained from</w:t>
      </w:r>
      <w:r>
        <w:t xml:space="preserve"> </w:t>
      </w:r>
      <w:r w:rsidR="648403C0">
        <w:t xml:space="preserve">public </w:t>
      </w:r>
      <w:r>
        <w:t>consul</w:t>
      </w:r>
      <w:r w:rsidR="1E052BB2">
        <w:t>t</w:t>
      </w:r>
      <w:r>
        <w:t xml:space="preserve">ation on </w:t>
      </w:r>
      <w:r w:rsidR="3207B9A2">
        <w:t xml:space="preserve">this paper to refine </w:t>
      </w:r>
      <w:r>
        <w:t xml:space="preserve">the </w:t>
      </w:r>
      <w:r w:rsidR="514E146B">
        <w:t>comparison</w:t>
      </w:r>
      <w:r>
        <w:t xml:space="preserve"> methodology</w:t>
      </w:r>
      <w:r w:rsidR="59676C4B">
        <w:t xml:space="preserve">. </w:t>
      </w:r>
      <w:r w:rsidR="0A0FC2E4">
        <w:t xml:space="preserve">With a suitable </w:t>
      </w:r>
      <w:r w:rsidR="323BC2BC">
        <w:t xml:space="preserve">comparison </w:t>
      </w:r>
      <w:r w:rsidR="0A0FC2E4">
        <w:t>methodology identified, t</w:t>
      </w:r>
      <w:r w:rsidR="4C5AA9AB">
        <w:t xml:space="preserve">he department can </w:t>
      </w:r>
      <w:r w:rsidR="0748B2A2">
        <w:t xml:space="preserve">continue to </w:t>
      </w:r>
      <w:r w:rsidR="3405C381">
        <w:t>explor</w:t>
      </w:r>
      <w:r w:rsidR="0748B2A2">
        <w:t>e</w:t>
      </w:r>
      <w:r w:rsidR="7285A3CC">
        <w:t xml:space="preserve"> </w:t>
      </w:r>
      <w:r w:rsidR="296B0141">
        <w:t xml:space="preserve">options </w:t>
      </w:r>
      <w:r w:rsidR="006439C6">
        <w:t xml:space="preserve">that would enable consumers to make easy </w:t>
      </w:r>
      <w:r w:rsidR="00885F4C">
        <w:t xml:space="preserve">energy performance </w:t>
      </w:r>
      <w:r w:rsidR="006439C6">
        <w:t>comparisons of residential space heaters.</w:t>
      </w:r>
    </w:p>
    <w:p w14:paraId="5BF46647" w14:textId="77777777" w:rsidR="00360EEC" w:rsidRPr="00A94043" w:rsidRDefault="00360EEC" w:rsidP="00BC6978"/>
    <w:p w14:paraId="7CB2CA84" w14:textId="17DBF067" w:rsidR="0058264F" w:rsidRPr="004F5C1E" w:rsidRDefault="0058264F" w:rsidP="004F5C1E">
      <w:pPr>
        <w:pStyle w:val="Heading1"/>
      </w:pPr>
      <w:bookmarkStart w:id="77" w:name="_Toc41903328"/>
      <w:bookmarkStart w:id="78" w:name="_Toc99633230"/>
      <w:bookmarkStart w:id="79" w:name="_Toc175311928"/>
      <w:r w:rsidRPr="004F5C1E">
        <w:lastRenderedPageBreak/>
        <w:t>References</w:t>
      </w:r>
      <w:bookmarkEnd w:id="77"/>
      <w:bookmarkEnd w:id="78"/>
      <w:bookmarkEnd w:id="79"/>
    </w:p>
    <w:p w14:paraId="4AC357E3" w14:textId="6032A768" w:rsidR="00C523D2" w:rsidRPr="00A94043" w:rsidRDefault="00276CDD" w:rsidP="00C523D2">
      <w:pPr>
        <w:widowControl w:val="0"/>
        <w:autoSpaceDE w:val="0"/>
        <w:autoSpaceDN w:val="0"/>
        <w:adjustRightInd w:val="0"/>
        <w:spacing w:line="240" w:lineRule="auto"/>
      </w:pPr>
      <w:bookmarkStart w:id="80" w:name="_Hlk135402306"/>
      <w:r w:rsidRPr="00A94043">
        <w:rPr>
          <w:rFonts w:cs="Calibri"/>
          <w:szCs w:val="24"/>
        </w:rPr>
        <w:t>E3 2021</w:t>
      </w:r>
      <w:r>
        <w:rPr>
          <w:rFonts w:cs="Calibri"/>
          <w:szCs w:val="24"/>
        </w:rPr>
        <w:t>,</w:t>
      </w:r>
      <w:r w:rsidRPr="00A94043">
        <w:rPr>
          <w:rFonts w:cs="Calibri"/>
          <w:szCs w:val="24"/>
        </w:rPr>
        <w:t xml:space="preserve"> </w:t>
      </w:r>
      <w:r w:rsidRPr="00A94043">
        <w:rPr>
          <w:rFonts w:cs="Calibri"/>
          <w:i/>
          <w:iCs/>
          <w:szCs w:val="24"/>
        </w:rPr>
        <w:t>Product Profile: Residential Space Heaters in Australia and New Zealand</w:t>
      </w:r>
    </w:p>
    <w:bookmarkEnd w:id="80"/>
    <w:p w14:paraId="365FB01D" w14:textId="77ABB037" w:rsidR="00C523D2" w:rsidRPr="00A94043" w:rsidRDefault="00276CDD" w:rsidP="00C523D2">
      <w:r w:rsidRPr="00276CDD">
        <w:t>Sustainability Victoria 2015</w:t>
      </w:r>
      <w:r>
        <w:t>,</w:t>
      </w:r>
      <w:r w:rsidRPr="00276CDD">
        <w:t xml:space="preserve"> </w:t>
      </w:r>
      <w:r w:rsidRPr="00276CDD">
        <w:rPr>
          <w:i/>
          <w:iCs/>
        </w:rPr>
        <w:t>Energy Efficiency Upgrade Potential of Existing Victorian Houses</w:t>
      </w:r>
    </w:p>
    <w:p w14:paraId="1EF05E8E" w14:textId="7B8C89C9" w:rsidR="00A75EF8" w:rsidRPr="004F5C1E" w:rsidRDefault="00A75EF8" w:rsidP="004F5C1E">
      <w:pPr>
        <w:pStyle w:val="Heading1"/>
      </w:pPr>
      <w:bookmarkStart w:id="81" w:name="_Toc149030460"/>
      <w:bookmarkStart w:id="82" w:name="_Toc175311929"/>
      <w:r w:rsidRPr="004F5C1E">
        <w:lastRenderedPageBreak/>
        <w:t xml:space="preserve">Appendix </w:t>
      </w:r>
      <w:r w:rsidR="00CA24FD" w:rsidRPr="004F5C1E">
        <w:t>1</w:t>
      </w:r>
      <w:r w:rsidRPr="004F5C1E">
        <w:t>: Glossary of Terms</w:t>
      </w:r>
      <w:bookmarkEnd w:id="81"/>
      <w:bookmarkEnd w:id="82"/>
      <w:r w:rsidRPr="004F5C1E">
        <w:t xml:space="preserve">  </w:t>
      </w:r>
    </w:p>
    <w:tbl>
      <w:tblPr>
        <w:tblStyle w:val="TableGrid"/>
        <w:tblW w:w="0" w:type="auto"/>
        <w:tblLook w:val="04A0" w:firstRow="1" w:lastRow="0" w:firstColumn="1" w:lastColumn="0" w:noHBand="0" w:noVBand="1"/>
      </w:tblPr>
      <w:tblGrid>
        <w:gridCol w:w="2622"/>
        <w:gridCol w:w="6994"/>
      </w:tblGrid>
      <w:tr w:rsidR="00F567D8" w:rsidRPr="00A94043" w14:paraId="671B77E5" w14:textId="77777777" w:rsidTr="5825CB59">
        <w:trPr>
          <w:tblHeader/>
        </w:trPr>
        <w:tc>
          <w:tcPr>
            <w:tcW w:w="2622" w:type="dxa"/>
            <w:shd w:val="clear" w:color="auto" w:fill="auto"/>
          </w:tcPr>
          <w:p w14:paraId="18B992E9" w14:textId="314246F6" w:rsidR="00F567D8" w:rsidRPr="00CA1498" w:rsidRDefault="00F567D8">
            <w:pPr>
              <w:pStyle w:val="NoSpacing"/>
              <w:rPr>
                <w:rFonts w:asciiTheme="minorHAnsi" w:hAnsiTheme="minorHAnsi" w:cstheme="minorHAnsi"/>
                <w:b/>
                <w:bCs/>
                <w:szCs w:val="22"/>
              </w:rPr>
            </w:pPr>
            <w:r w:rsidRPr="00CA1498">
              <w:rPr>
                <w:rFonts w:asciiTheme="minorHAnsi" w:hAnsiTheme="minorHAnsi" w:cstheme="minorHAnsi"/>
                <w:b/>
                <w:bCs/>
                <w:szCs w:val="22"/>
              </w:rPr>
              <w:t>Term</w:t>
            </w:r>
          </w:p>
        </w:tc>
        <w:tc>
          <w:tcPr>
            <w:tcW w:w="6994" w:type="dxa"/>
            <w:shd w:val="clear" w:color="auto" w:fill="auto"/>
          </w:tcPr>
          <w:p w14:paraId="2245B41D" w14:textId="1DC61E07" w:rsidR="00F567D8" w:rsidRPr="00CA1498" w:rsidRDefault="00F567D8">
            <w:pPr>
              <w:rPr>
                <w:rFonts w:asciiTheme="minorHAnsi" w:hAnsiTheme="minorHAnsi" w:cstheme="minorHAnsi"/>
                <w:b/>
                <w:bCs/>
                <w:szCs w:val="22"/>
              </w:rPr>
            </w:pPr>
            <w:r w:rsidRPr="00CA1498">
              <w:rPr>
                <w:rFonts w:asciiTheme="minorHAnsi" w:hAnsiTheme="minorHAnsi" w:cstheme="minorHAnsi"/>
                <w:b/>
                <w:bCs/>
                <w:szCs w:val="22"/>
              </w:rPr>
              <w:t>Description</w:t>
            </w:r>
          </w:p>
        </w:tc>
      </w:tr>
      <w:tr w:rsidR="00F273C6" w:rsidRPr="00A94043" w14:paraId="34A515E2" w14:textId="77777777" w:rsidTr="5825CB59">
        <w:tc>
          <w:tcPr>
            <w:tcW w:w="2622" w:type="dxa"/>
            <w:shd w:val="clear" w:color="auto" w:fill="auto"/>
          </w:tcPr>
          <w:p w14:paraId="06682F27" w14:textId="77777777" w:rsidR="00A75EF8" w:rsidRPr="000C2245" w:rsidRDefault="00A75EF8">
            <w:pPr>
              <w:pStyle w:val="NoSpacing"/>
              <w:rPr>
                <w:rFonts w:asciiTheme="minorHAnsi" w:hAnsiTheme="minorHAnsi" w:cstheme="minorHAnsi"/>
                <w:szCs w:val="22"/>
              </w:rPr>
            </w:pPr>
            <w:r w:rsidRPr="000C2245">
              <w:rPr>
                <w:rFonts w:asciiTheme="minorHAnsi" w:hAnsiTheme="minorHAnsi" w:cstheme="minorHAnsi"/>
                <w:szCs w:val="22"/>
              </w:rPr>
              <w:t>ACCM</w:t>
            </w:r>
          </w:p>
        </w:tc>
        <w:tc>
          <w:tcPr>
            <w:tcW w:w="6994" w:type="dxa"/>
            <w:shd w:val="clear" w:color="auto" w:fill="auto"/>
          </w:tcPr>
          <w:p w14:paraId="65E59C2B" w14:textId="79754570" w:rsidR="00A75EF8" w:rsidRPr="000C2245" w:rsidRDefault="00A75EF8">
            <w:pPr>
              <w:rPr>
                <w:rFonts w:asciiTheme="minorHAnsi" w:hAnsiTheme="minorHAnsi" w:cstheme="minorHAnsi"/>
                <w:szCs w:val="22"/>
              </w:rPr>
            </w:pPr>
            <w:r w:rsidRPr="000C2245">
              <w:rPr>
                <w:rFonts w:asciiTheme="minorHAnsi" w:hAnsiTheme="minorHAnsi" w:cstheme="minorHAnsi"/>
                <w:szCs w:val="22"/>
              </w:rPr>
              <w:t xml:space="preserve">Air Conditioner Comparison Methodology </w:t>
            </w:r>
            <w:r w:rsidRPr="000C2245">
              <w:t>is a term used in this paper to collectively refer to documents and regulations that operate in combination as a comparison methodology for air conditioners, and consists of the Greenhouse and Energy Minimum Standards (Air Conditioners up to 65kW) Determination 2019</w:t>
            </w:r>
            <w:r w:rsidR="0035337F">
              <w:t xml:space="preserve"> </w:t>
            </w:r>
            <w:r w:rsidR="00EB5CA1">
              <w:t>in Australia or the</w:t>
            </w:r>
            <w:r w:rsidR="00F56233">
              <w:t xml:space="preserve"> </w:t>
            </w:r>
            <w:r w:rsidR="00E33741">
              <w:t>EUP Regulations</w:t>
            </w:r>
            <w:r w:rsidR="00EB5CA1">
              <w:t xml:space="preserve"> (Schedule 2A</w:t>
            </w:r>
            <w:r w:rsidR="00991A11">
              <w:t>,</w:t>
            </w:r>
            <w:r w:rsidR="00C50F95">
              <w:t xml:space="preserve"> Air Conditioners up to 65kW) </w:t>
            </w:r>
            <w:r w:rsidR="00EB5CA1">
              <w:t>in New Zealand</w:t>
            </w:r>
            <w:r w:rsidR="00F56233">
              <w:t>,</w:t>
            </w:r>
            <w:r w:rsidRPr="000C2245">
              <w:t xml:space="preserve"> and AS/NZS 3823.4.2.</w:t>
            </w:r>
          </w:p>
        </w:tc>
      </w:tr>
      <w:tr w:rsidR="00420F22" w:rsidRPr="00A94043" w14:paraId="4A04BBE8" w14:textId="77777777" w:rsidTr="5825CB59">
        <w:tc>
          <w:tcPr>
            <w:tcW w:w="2622" w:type="dxa"/>
            <w:shd w:val="clear" w:color="auto" w:fill="auto"/>
          </w:tcPr>
          <w:p w14:paraId="39D3E69C" w14:textId="6B5C014C" w:rsidR="00420F22" w:rsidRPr="000C2245" w:rsidRDefault="00420F22" w:rsidP="00420F22">
            <w:pPr>
              <w:pStyle w:val="NoSpacing"/>
              <w:rPr>
                <w:rFonts w:asciiTheme="minorHAnsi" w:hAnsiTheme="minorHAnsi" w:cstheme="minorHAnsi"/>
                <w:szCs w:val="22"/>
              </w:rPr>
            </w:pPr>
            <w:r w:rsidRPr="00720ADF">
              <w:rPr>
                <w:rFonts w:asciiTheme="minorHAnsi" w:hAnsiTheme="minorHAnsi" w:cstheme="minorHAnsi"/>
                <w:szCs w:val="22"/>
              </w:rPr>
              <w:t>Annual inactive (standby) energy consumption</w:t>
            </w:r>
            <w:r w:rsidRPr="000C2245">
              <w:rPr>
                <w:rFonts w:asciiTheme="minorHAnsi" w:hAnsiTheme="minorHAnsi" w:cstheme="minorHAnsi"/>
                <w:szCs w:val="22"/>
              </w:rPr>
              <w:t xml:space="preserve"> (IAEC)</w:t>
            </w:r>
          </w:p>
        </w:tc>
        <w:tc>
          <w:tcPr>
            <w:tcW w:w="6994" w:type="dxa"/>
            <w:shd w:val="clear" w:color="auto" w:fill="auto"/>
          </w:tcPr>
          <w:p w14:paraId="1142C824" w14:textId="224C8341" w:rsidR="00420F22" w:rsidRPr="000C2245" w:rsidRDefault="00420F22" w:rsidP="00420F22">
            <w:pPr>
              <w:rPr>
                <w:rFonts w:asciiTheme="minorHAnsi" w:hAnsiTheme="minorHAnsi" w:cstheme="minorHAnsi"/>
                <w:szCs w:val="22"/>
              </w:rPr>
            </w:pPr>
            <w:r w:rsidRPr="00720ADF">
              <w:rPr>
                <w:rFonts w:asciiTheme="minorHAnsi" w:hAnsiTheme="minorHAnsi" w:cstheme="minorHAnsi"/>
                <w:szCs w:val="22"/>
              </w:rPr>
              <w:t>This is the total amount of energy consumed in standby (or inactive) mode, in a year, and is calculated from the number of hours of inactive (standby) mode multiplied by the inactive (standby) power consumption.</w:t>
            </w:r>
            <w:r w:rsidRPr="000C2245">
              <w:rPr>
                <w:rFonts w:asciiTheme="minorHAnsi" w:hAnsiTheme="minorHAnsi" w:cstheme="minorHAnsi"/>
                <w:szCs w:val="22"/>
              </w:rPr>
              <w:t xml:space="preserve"> For air conditioners the inactive (standby) power consumption is defined by a weighted average over multiple air temperatures.</w:t>
            </w:r>
          </w:p>
        </w:tc>
      </w:tr>
      <w:tr w:rsidR="00420F22" w:rsidRPr="00A94043" w14:paraId="7803733A" w14:textId="77777777" w:rsidTr="5825CB59">
        <w:tc>
          <w:tcPr>
            <w:tcW w:w="2622" w:type="dxa"/>
            <w:shd w:val="clear" w:color="auto" w:fill="auto"/>
          </w:tcPr>
          <w:p w14:paraId="3C454709" w14:textId="06289993" w:rsidR="00420F22" w:rsidRPr="000C2245" w:rsidRDefault="00420F22" w:rsidP="5825CB59">
            <w:pPr>
              <w:pStyle w:val="NoSpacing"/>
              <w:rPr>
                <w:rFonts w:asciiTheme="minorHAnsi" w:hAnsiTheme="minorHAnsi" w:cstheme="minorHAnsi"/>
                <w:szCs w:val="22"/>
              </w:rPr>
            </w:pPr>
            <w:r w:rsidRPr="000C2245">
              <w:rPr>
                <w:rFonts w:asciiTheme="minorHAnsi" w:hAnsiTheme="minorHAnsi" w:cstheme="minorHAnsi"/>
                <w:szCs w:val="22"/>
              </w:rPr>
              <w:t>Appliance (or heater)</w:t>
            </w:r>
          </w:p>
        </w:tc>
        <w:tc>
          <w:tcPr>
            <w:tcW w:w="6994" w:type="dxa"/>
            <w:shd w:val="clear" w:color="auto" w:fill="auto"/>
          </w:tcPr>
          <w:p w14:paraId="48C2E622"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 xml:space="preserve">The part or parts of the heating system as </w:t>
            </w:r>
            <w:r w:rsidRPr="000C2245">
              <w:rPr>
                <w:rStyle w:val="cf01"/>
                <w:rFonts w:asciiTheme="minorHAnsi" w:hAnsiTheme="minorHAnsi" w:cstheme="minorHAnsi"/>
                <w:sz w:val="22"/>
                <w:szCs w:val="22"/>
              </w:rPr>
              <w:t>manufactured or imported and sold as a single unit or package. “</w:t>
            </w:r>
            <w:r w:rsidRPr="000C2245">
              <w:rPr>
                <w:rFonts w:asciiTheme="minorHAnsi" w:hAnsiTheme="minorHAnsi" w:cstheme="minorHAnsi"/>
                <w:szCs w:val="22"/>
              </w:rPr>
              <w:t xml:space="preserve">Appliance” is used interchangeably with “heater”. </w:t>
            </w:r>
          </w:p>
        </w:tc>
      </w:tr>
      <w:tr w:rsidR="00420F22" w:rsidRPr="00A94043" w14:paraId="2438B15A" w14:textId="77777777" w:rsidTr="5825CB59">
        <w:tc>
          <w:tcPr>
            <w:tcW w:w="2622" w:type="dxa"/>
            <w:shd w:val="clear" w:color="auto" w:fill="auto"/>
          </w:tcPr>
          <w:p w14:paraId="37685FD9"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Capacity (or heating capacity)</w:t>
            </w:r>
          </w:p>
        </w:tc>
        <w:tc>
          <w:tcPr>
            <w:tcW w:w="6994" w:type="dxa"/>
            <w:shd w:val="clear" w:color="auto" w:fill="auto"/>
          </w:tcPr>
          <w:p w14:paraId="393105AF" w14:textId="58DC484E" w:rsidR="004B37DC" w:rsidRPr="000C2245" w:rsidRDefault="00420F22" w:rsidP="004B37DC">
            <w:pPr>
              <w:pStyle w:val="NoSpacing"/>
            </w:pPr>
            <w:r w:rsidRPr="000C2245">
              <w:t>The rate at which a product is able to supply heat, to the conditioned space.</w:t>
            </w:r>
            <w:r w:rsidR="004B37DC" w:rsidRPr="000C2245">
              <w:t xml:space="preserve"> </w:t>
            </w:r>
            <w:r w:rsidR="00D14A4F" w:rsidRPr="000C2245">
              <w:t>Heating capacity is used for air conditioners to distinguish it from cooling capacity.</w:t>
            </w:r>
            <w:r w:rsidR="00ED3F36" w:rsidRPr="000C2245">
              <w:t xml:space="preserve"> </w:t>
            </w:r>
            <w:r w:rsidR="00ED3F36" w:rsidRPr="000C2245">
              <w:rPr>
                <w:rFonts w:asciiTheme="minorHAnsi" w:hAnsiTheme="minorHAnsi" w:cstheme="minorHAnsi"/>
                <w:szCs w:val="22"/>
              </w:rPr>
              <w:t>Capacity is used both as a general term for the useful thermal output of a heater (the amount of heating it provides), and more specifically for the rated capacity based on testing to a specific standard (such as AS/NZS 3823.1.1: 2012 for air conditioners or AS/NZS 5263.1.3: 2021 for gas space heaters), at a specified temperature condition  and load. For air conditioners, it most commonly refers to the value at H1 (7</w:t>
            </w:r>
            <w:r w:rsidR="00ED3F36" w:rsidRPr="000C2245">
              <w:rPr>
                <w:rFonts w:asciiTheme="minorHAnsi" w:eastAsia="Symbol" w:hAnsiTheme="minorHAnsi" w:cstheme="minorHAnsi"/>
                <w:szCs w:val="22"/>
              </w:rPr>
              <w:t>°</w:t>
            </w:r>
            <w:r w:rsidR="00ED3F36" w:rsidRPr="000C2245">
              <w:rPr>
                <w:rFonts w:asciiTheme="minorHAnsi" w:hAnsiTheme="minorHAnsi" w:cstheme="minorHAnsi"/>
                <w:szCs w:val="22"/>
              </w:rPr>
              <w:t>C outdoor temperature) at full load.</w:t>
            </w:r>
          </w:p>
          <w:p w14:paraId="3017D4A0" w14:textId="55289AD0" w:rsidR="00ED3F36" w:rsidRPr="000C2245" w:rsidRDefault="004B37DC" w:rsidP="004B37DC">
            <w:pPr>
              <w:pStyle w:val="NoSpacing"/>
            </w:pPr>
            <w:r w:rsidRPr="000C2245">
              <w:t>The capacity of a heater may vary due to a number of factors including weather dependence and controller setting</w:t>
            </w:r>
            <w:r w:rsidR="00ED3F36" w:rsidRPr="000C2245">
              <w:t>:</w:t>
            </w:r>
          </w:p>
          <w:p w14:paraId="743BBF38" w14:textId="65F92569" w:rsidR="00ED3F36" w:rsidRPr="000C2245" w:rsidRDefault="004B37DC" w:rsidP="00D90977">
            <w:pPr>
              <w:pStyle w:val="NoSpacing"/>
              <w:numPr>
                <w:ilvl w:val="0"/>
                <w:numId w:val="21"/>
              </w:numPr>
            </w:pPr>
            <w:r w:rsidRPr="000C2245">
              <w:t>For most heaters, the user or a thermostatic controller may be able to adjust the heater output from a minimum capacity to</w:t>
            </w:r>
            <w:r w:rsidR="00ED3F36" w:rsidRPr="000C2245">
              <w:t xml:space="preserve"> half capacity and to</w:t>
            </w:r>
            <w:r w:rsidRPr="000C2245">
              <w:t xml:space="preserve"> full capacity (maximum for most heaters)</w:t>
            </w:r>
            <w:r w:rsidR="00ED3F36" w:rsidRPr="000C2245">
              <w:t>, depending on whether the product is fixed-capacity, two-setting capacity, multi-capacity or variable capacity</w:t>
            </w:r>
            <w:r w:rsidRPr="000C2245">
              <w:t xml:space="preserve">. </w:t>
            </w:r>
          </w:p>
          <w:p w14:paraId="3A31D156" w14:textId="376D8B81" w:rsidR="00D14A4F" w:rsidRPr="00720ADF" w:rsidRDefault="004B37DC" w:rsidP="00D90977">
            <w:pPr>
              <w:pStyle w:val="NoSpacing"/>
              <w:numPr>
                <w:ilvl w:val="0"/>
                <w:numId w:val="21"/>
              </w:numPr>
            </w:pPr>
            <w:r w:rsidRPr="000C2245">
              <w:t xml:space="preserve">For air conditioners, </w:t>
            </w:r>
            <w:r w:rsidR="00D14A4F" w:rsidRPr="000C2245">
              <w:t xml:space="preserve">heating </w:t>
            </w:r>
            <w:r w:rsidRPr="000C2245">
              <w:t>capacity is also dependent on outdoor temperature, and there may be a</w:t>
            </w:r>
            <w:r w:rsidR="00ED3F36" w:rsidRPr="000C2245">
              <w:t xml:space="preserve"> low temperature</w:t>
            </w:r>
            <w:r w:rsidRPr="000C2245">
              <w:t xml:space="preserve"> extended capacity which is larger than the </w:t>
            </w:r>
            <w:r w:rsidR="00ED3F36" w:rsidRPr="000C2245">
              <w:t>low temperature full</w:t>
            </w:r>
            <w:r w:rsidR="00D14A4F" w:rsidRPr="000C2245">
              <w:t xml:space="preserve"> </w:t>
            </w:r>
            <w:r w:rsidRPr="000C2245">
              <w:t>capacity, and due to limitations of air conditioner technology may only be available at low outdoor temperatures.</w:t>
            </w:r>
          </w:p>
        </w:tc>
      </w:tr>
      <w:tr w:rsidR="004B37DC" w:rsidRPr="00A94043" w14:paraId="5A351F3F" w14:textId="77777777" w:rsidTr="5825CB59">
        <w:tc>
          <w:tcPr>
            <w:tcW w:w="2622" w:type="dxa"/>
            <w:shd w:val="clear" w:color="auto" w:fill="auto"/>
          </w:tcPr>
          <w:p w14:paraId="3A00B0B9" w14:textId="70F64150" w:rsidR="004B37DC" w:rsidRPr="000C2245" w:rsidRDefault="00A021A9" w:rsidP="00D90977">
            <w:pPr>
              <w:pStyle w:val="NoSpacing"/>
              <w:numPr>
                <w:ilvl w:val="0"/>
                <w:numId w:val="20"/>
              </w:numPr>
              <w:rPr>
                <w:rFonts w:asciiTheme="minorHAnsi" w:hAnsiTheme="minorHAnsi" w:cstheme="minorHAnsi"/>
                <w:szCs w:val="22"/>
              </w:rPr>
            </w:pPr>
            <w:r w:rsidRPr="000C2245">
              <w:rPr>
                <w:rFonts w:asciiTheme="minorHAnsi" w:hAnsiTheme="minorHAnsi" w:cstheme="minorHAnsi"/>
                <w:szCs w:val="22"/>
              </w:rPr>
              <w:t>Extended capacity, or low temperature extended capacity</w:t>
            </w:r>
          </w:p>
        </w:tc>
        <w:tc>
          <w:tcPr>
            <w:tcW w:w="6994" w:type="dxa"/>
            <w:shd w:val="clear" w:color="auto" w:fill="auto"/>
          </w:tcPr>
          <w:p w14:paraId="47887D20" w14:textId="4F84E92F"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Typically extended capacity, or low temperature extended capacity, refers to an air conditioner’s heating capacity when tested at 2</w:t>
            </w:r>
            <w:r w:rsidRPr="000C2245">
              <w:rPr>
                <w:rFonts w:asciiTheme="minorHAnsi" w:eastAsia="Symbol" w:hAnsiTheme="minorHAnsi" w:cstheme="minorHAnsi"/>
                <w:szCs w:val="22"/>
              </w:rPr>
              <w:t>°</w:t>
            </w:r>
            <w:r w:rsidRPr="000C2245">
              <w:rPr>
                <w:rFonts w:asciiTheme="minorHAnsi" w:hAnsiTheme="minorHAnsi" w:cstheme="minorHAnsi"/>
                <w:szCs w:val="22"/>
              </w:rPr>
              <w:t xml:space="preserve">C, at extended-load operation, but may also be generally used to refer to the air-conditioner’s capacity at any temperature while at extended-load </w:t>
            </w:r>
            <w:r w:rsidRPr="000C2245">
              <w:rPr>
                <w:rFonts w:asciiTheme="minorHAnsi" w:hAnsiTheme="minorHAnsi" w:cstheme="minorHAnsi"/>
                <w:szCs w:val="22"/>
              </w:rPr>
              <w:lastRenderedPageBreak/>
              <w:t>operation. Extended-load operation may only be available at lower outdoor temperatures.</w:t>
            </w:r>
          </w:p>
        </w:tc>
      </w:tr>
      <w:tr w:rsidR="004B37DC" w:rsidRPr="00A94043" w14:paraId="4506A2FC" w14:textId="77777777" w:rsidTr="5825CB59">
        <w:tc>
          <w:tcPr>
            <w:tcW w:w="2622" w:type="dxa"/>
            <w:shd w:val="clear" w:color="auto" w:fill="auto"/>
          </w:tcPr>
          <w:p w14:paraId="5C2D72B0" w14:textId="25430925" w:rsidR="004B37DC" w:rsidRPr="000C2245" w:rsidRDefault="004B37DC" w:rsidP="00D90977">
            <w:pPr>
              <w:pStyle w:val="NoSpacing"/>
              <w:numPr>
                <w:ilvl w:val="0"/>
                <w:numId w:val="20"/>
              </w:numPr>
              <w:rPr>
                <w:rFonts w:asciiTheme="minorHAnsi" w:hAnsiTheme="minorHAnsi" w:cstheme="minorHAnsi"/>
                <w:szCs w:val="22"/>
              </w:rPr>
            </w:pPr>
            <w:r w:rsidRPr="000C2245">
              <w:rPr>
                <w:rFonts w:asciiTheme="minorHAnsi" w:hAnsiTheme="minorHAnsi" w:cstheme="minorHAnsi"/>
                <w:szCs w:val="22"/>
              </w:rPr>
              <w:lastRenderedPageBreak/>
              <w:t>Fixed-</w:t>
            </w:r>
            <w:r w:rsidR="00A021A9" w:rsidRPr="000C2245">
              <w:rPr>
                <w:rFonts w:asciiTheme="minorHAnsi" w:hAnsiTheme="minorHAnsi" w:cstheme="minorHAnsi"/>
                <w:szCs w:val="22"/>
              </w:rPr>
              <w:t>c</w:t>
            </w:r>
            <w:r w:rsidRPr="000C2245">
              <w:rPr>
                <w:rFonts w:asciiTheme="minorHAnsi" w:hAnsiTheme="minorHAnsi" w:cstheme="minorHAnsi"/>
                <w:szCs w:val="22"/>
              </w:rPr>
              <w:t>apacity</w:t>
            </w:r>
            <w:r w:rsidR="00ED3F36" w:rsidRPr="000C2245">
              <w:rPr>
                <w:rFonts w:asciiTheme="minorHAnsi" w:hAnsiTheme="minorHAnsi" w:cstheme="minorHAnsi"/>
                <w:szCs w:val="22"/>
              </w:rPr>
              <w:t xml:space="preserve"> </w:t>
            </w:r>
            <w:r w:rsidR="00A021A9" w:rsidRPr="000C2245">
              <w:rPr>
                <w:rFonts w:asciiTheme="minorHAnsi" w:hAnsiTheme="minorHAnsi" w:cstheme="minorHAnsi"/>
                <w:szCs w:val="22"/>
              </w:rPr>
              <w:t>h</w:t>
            </w:r>
            <w:r w:rsidR="00ED3F36" w:rsidRPr="000C2245">
              <w:rPr>
                <w:rFonts w:asciiTheme="minorHAnsi" w:hAnsiTheme="minorHAnsi" w:cstheme="minorHAnsi"/>
                <w:szCs w:val="22"/>
              </w:rPr>
              <w:t>eater</w:t>
            </w:r>
          </w:p>
        </w:tc>
        <w:tc>
          <w:tcPr>
            <w:tcW w:w="6994" w:type="dxa"/>
            <w:shd w:val="clear" w:color="auto" w:fill="auto"/>
          </w:tcPr>
          <w:p w14:paraId="56959F21" w14:textId="4C6D2076"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A fixed-capacity heater is one which only has a single mode of operation or setting.</w:t>
            </w:r>
          </w:p>
        </w:tc>
      </w:tr>
      <w:tr w:rsidR="00D14A4F" w:rsidRPr="00A94043" w14:paraId="24A79C77" w14:textId="77777777" w:rsidTr="5825CB59">
        <w:tc>
          <w:tcPr>
            <w:tcW w:w="2622" w:type="dxa"/>
            <w:shd w:val="clear" w:color="auto" w:fill="auto"/>
          </w:tcPr>
          <w:p w14:paraId="5866AEEA" w14:textId="17C291A2" w:rsidR="00D14A4F" w:rsidRPr="000C2245" w:rsidRDefault="00D14A4F" w:rsidP="00D90977">
            <w:pPr>
              <w:pStyle w:val="NoSpacing"/>
              <w:numPr>
                <w:ilvl w:val="0"/>
                <w:numId w:val="20"/>
              </w:numPr>
              <w:rPr>
                <w:rFonts w:asciiTheme="minorHAnsi" w:hAnsiTheme="minorHAnsi" w:cstheme="minorHAnsi"/>
                <w:szCs w:val="22"/>
              </w:rPr>
            </w:pPr>
            <w:r w:rsidRPr="000C2245">
              <w:rPr>
                <w:rFonts w:asciiTheme="minorHAnsi" w:hAnsiTheme="minorHAnsi" w:cstheme="minorHAnsi"/>
                <w:szCs w:val="22"/>
              </w:rPr>
              <w:t xml:space="preserve">Frosting </w:t>
            </w:r>
            <w:r w:rsidR="00A021A9" w:rsidRPr="000C2245">
              <w:rPr>
                <w:rFonts w:asciiTheme="minorHAnsi" w:hAnsiTheme="minorHAnsi" w:cstheme="minorHAnsi"/>
                <w:szCs w:val="22"/>
              </w:rPr>
              <w:t>ca</w:t>
            </w:r>
            <w:r w:rsidRPr="000C2245">
              <w:rPr>
                <w:rFonts w:asciiTheme="minorHAnsi" w:hAnsiTheme="minorHAnsi" w:cstheme="minorHAnsi"/>
                <w:szCs w:val="22"/>
              </w:rPr>
              <w:t>pacity</w:t>
            </w:r>
          </w:p>
        </w:tc>
        <w:tc>
          <w:tcPr>
            <w:tcW w:w="6994" w:type="dxa"/>
            <w:shd w:val="clear" w:color="auto" w:fill="auto"/>
          </w:tcPr>
          <w:p w14:paraId="76513693" w14:textId="7C5D054D" w:rsidR="00D14A4F"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The capacity of an air conditioner including consideration of the effects of frosting (frosting is typically considered to occur between -7</w:t>
            </w:r>
            <w:r w:rsidRPr="000C2245">
              <w:rPr>
                <w:rFonts w:asciiTheme="minorHAnsi" w:eastAsia="Symbol" w:hAnsiTheme="minorHAnsi" w:cstheme="minorHAnsi"/>
                <w:szCs w:val="22"/>
              </w:rPr>
              <w:t>°</w:t>
            </w:r>
            <w:r w:rsidRPr="000C2245">
              <w:rPr>
                <w:rFonts w:asciiTheme="minorHAnsi" w:hAnsiTheme="minorHAnsi" w:cstheme="minorHAnsi"/>
                <w:szCs w:val="22"/>
              </w:rPr>
              <w:t>C and 5.5</w:t>
            </w:r>
            <w:r w:rsidRPr="000C2245">
              <w:rPr>
                <w:rFonts w:asciiTheme="minorHAnsi" w:eastAsia="Symbol" w:hAnsiTheme="minorHAnsi" w:cstheme="minorHAnsi"/>
                <w:szCs w:val="22"/>
              </w:rPr>
              <w:t>°</w:t>
            </w:r>
            <w:r w:rsidRPr="000C2245">
              <w:rPr>
                <w:rFonts w:asciiTheme="minorHAnsi" w:hAnsiTheme="minorHAnsi" w:cstheme="minorHAnsi"/>
                <w:szCs w:val="22"/>
              </w:rPr>
              <w:t>C).</w:t>
            </w:r>
          </w:p>
        </w:tc>
      </w:tr>
      <w:tr w:rsidR="004B37DC" w:rsidRPr="00A94043" w14:paraId="3D206DBF" w14:textId="77777777" w:rsidTr="5825CB59">
        <w:tc>
          <w:tcPr>
            <w:tcW w:w="2622" w:type="dxa"/>
            <w:shd w:val="clear" w:color="auto" w:fill="auto"/>
          </w:tcPr>
          <w:p w14:paraId="4BC269F7" w14:textId="1E59A861" w:rsidR="004B37DC" w:rsidRPr="000C2245" w:rsidRDefault="004B37DC" w:rsidP="00D90977">
            <w:pPr>
              <w:pStyle w:val="NoSpacing"/>
              <w:numPr>
                <w:ilvl w:val="0"/>
                <w:numId w:val="19"/>
              </w:numPr>
              <w:rPr>
                <w:rFonts w:asciiTheme="minorHAnsi" w:hAnsiTheme="minorHAnsi" w:cstheme="minorHAnsi"/>
                <w:szCs w:val="22"/>
              </w:rPr>
            </w:pPr>
            <w:r w:rsidRPr="000C2245">
              <w:rPr>
                <w:rFonts w:asciiTheme="minorHAnsi" w:hAnsiTheme="minorHAnsi" w:cstheme="minorHAnsi"/>
                <w:szCs w:val="22"/>
              </w:rPr>
              <w:t xml:space="preserve">Full </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7C6801F7" w14:textId="26E8003A"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Typically full capacity refers to a heater’s maximum capacity when tested at a standard test condition, such as 7</w:t>
            </w:r>
            <w:r w:rsidRPr="000C2245">
              <w:rPr>
                <w:rFonts w:asciiTheme="minorHAnsi" w:eastAsia="Symbol" w:hAnsiTheme="minorHAnsi" w:cstheme="minorHAnsi"/>
                <w:szCs w:val="22"/>
              </w:rPr>
              <w:t>°</w:t>
            </w:r>
            <w:r w:rsidRPr="000C2245">
              <w:rPr>
                <w:rFonts w:asciiTheme="minorHAnsi" w:hAnsiTheme="minorHAnsi" w:cstheme="minorHAnsi"/>
                <w:szCs w:val="22"/>
              </w:rPr>
              <w:t>C for air conditioners. Full capacity may also be generally used to refer to the heater’s capacity at any temperature while operating in the same mode as during its full capacity test. For most heaters this operating mode is maximum output, however, air conditioner’s may have an extended-load operation for use at low outdoor temperature which provides more heat output than their full capacity.</w:t>
            </w:r>
          </w:p>
        </w:tc>
      </w:tr>
      <w:tr w:rsidR="004B37DC" w:rsidRPr="00A94043" w14:paraId="115C9208" w14:textId="77777777" w:rsidTr="5825CB59">
        <w:tc>
          <w:tcPr>
            <w:tcW w:w="2622" w:type="dxa"/>
            <w:shd w:val="clear" w:color="auto" w:fill="auto"/>
          </w:tcPr>
          <w:p w14:paraId="3771007C" w14:textId="709D5160" w:rsidR="004B37DC" w:rsidRPr="000C2245" w:rsidRDefault="004B37DC" w:rsidP="00D90977">
            <w:pPr>
              <w:pStyle w:val="NoSpacing"/>
              <w:numPr>
                <w:ilvl w:val="0"/>
                <w:numId w:val="19"/>
              </w:numPr>
              <w:rPr>
                <w:rFonts w:asciiTheme="minorHAnsi" w:hAnsiTheme="minorHAnsi" w:cstheme="minorHAnsi"/>
                <w:szCs w:val="22"/>
              </w:rPr>
            </w:pPr>
            <w:r w:rsidRPr="000C2245">
              <w:rPr>
                <w:rFonts w:asciiTheme="minorHAnsi" w:hAnsiTheme="minorHAnsi" w:cstheme="minorHAnsi"/>
                <w:szCs w:val="22"/>
              </w:rPr>
              <w:t xml:space="preserve">Half </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052C58F0" w14:textId="22B476ED"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 xml:space="preserve">For multi-capacity and variable capacity heaters where the output can be adjusted to more than two levels, the thermal performance of the heater can be evaluated at a medium level of output or “Half Capacity”. The specific evaluation point is aligned with existing standards and may not be either half of the full capacity, nor half of the power input. For example, for solid-fuel combustion heaters the medium burn rate is used. </w:t>
            </w:r>
          </w:p>
        </w:tc>
      </w:tr>
      <w:tr w:rsidR="004B37DC" w:rsidRPr="00A94043" w14:paraId="3A6FAA0F" w14:textId="77777777" w:rsidTr="5825CB59">
        <w:tc>
          <w:tcPr>
            <w:tcW w:w="2622" w:type="dxa"/>
            <w:shd w:val="clear" w:color="auto" w:fill="auto"/>
          </w:tcPr>
          <w:p w14:paraId="5D0BA9FB" w14:textId="5E47BC4B" w:rsidR="004B37DC" w:rsidRPr="000C2245" w:rsidRDefault="004B37DC" w:rsidP="00D90977">
            <w:pPr>
              <w:pStyle w:val="NoSpacing"/>
              <w:numPr>
                <w:ilvl w:val="0"/>
                <w:numId w:val="19"/>
              </w:numPr>
              <w:rPr>
                <w:rFonts w:asciiTheme="minorHAnsi" w:hAnsiTheme="minorHAnsi" w:cstheme="minorHAnsi"/>
                <w:szCs w:val="22"/>
              </w:rPr>
            </w:pPr>
            <w:r w:rsidRPr="000C2245">
              <w:rPr>
                <w:rFonts w:asciiTheme="minorHAnsi" w:hAnsiTheme="minorHAnsi" w:cstheme="minorHAnsi"/>
                <w:szCs w:val="22"/>
              </w:rPr>
              <w:t xml:space="preserve">Minimum </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2384D86E" w14:textId="694F5436"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For two-setting, multi-capacity and variable capacity heaters where the output can be adjusted, the thermal performance of the heater can be evaluated at a minimum level of output or “Minimum Capacity”. The specific evaluation point is aligned with existing standards and may not be actual minimum output of the product, nor the minimum power input. For example, for solid-fuel combustion heaters the low burn rate is used.</w:t>
            </w:r>
          </w:p>
        </w:tc>
      </w:tr>
      <w:tr w:rsidR="004B37DC" w:rsidRPr="00A94043" w14:paraId="5A2F3A64" w14:textId="77777777" w:rsidTr="5825CB59">
        <w:tc>
          <w:tcPr>
            <w:tcW w:w="2622" w:type="dxa"/>
            <w:shd w:val="clear" w:color="auto" w:fill="auto"/>
          </w:tcPr>
          <w:p w14:paraId="4E5476CD" w14:textId="010F8329" w:rsidR="004B37DC" w:rsidRPr="000C2245" w:rsidRDefault="004B37DC" w:rsidP="00D90977">
            <w:pPr>
              <w:pStyle w:val="NoSpacing"/>
              <w:numPr>
                <w:ilvl w:val="0"/>
                <w:numId w:val="19"/>
              </w:numPr>
              <w:rPr>
                <w:rFonts w:asciiTheme="minorHAnsi" w:hAnsiTheme="minorHAnsi" w:cstheme="minorHAnsi"/>
                <w:szCs w:val="22"/>
              </w:rPr>
            </w:pPr>
            <w:r w:rsidRPr="000C2245">
              <w:rPr>
                <w:rFonts w:asciiTheme="minorHAnsi" w:hAnsiTheme="minorHAnsi" w:cstheme="minorHAnsi"/>
                <w:szCs w:val="22"/>
              </w:rPr>
              <w:t>Multi-</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195E855F" w14:textId="1E8998B7"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A multi-capacity heater is one which</w:t>
            </w:r>
            <w:r w:rsidR="00600CDA" w:rsidRPr="000C2245">
              <w:rPr>
                <w:rFonts w:asciiTheme="minorHAnsi" w:hAnsiTheme="minorHAnsi" w:cstheme="minorHAnsi"/>
                <w:szCs w:val="22"/>
              </w:rPr>
              <w:t xml:space="preserve"> where the output can be switched between </w:t>
            </w:r>
            <w:r w:rsidRPr="000C2245">
              <w:rPr>
                <w:rFonts w:asciiTheme="minorHAnsi" w:hAnsiTheme="minorHAnsi" w:cstheme="minorHAnsi"/>
                <w:szCs w:val="22"/>
              </w:rPr>
              <w:t>three or more discrete modes of operation or settings.</w:t>
            </w:r>
          </w:p>
        </w:tc>
      </w:tr>
      <w:tr w:rsidR="004B37DC" w:rsidRPr="00A94043" w14:paraId="7BE139E3" w14:textId="77777777" w:rsidTr="5825CB59">
        <w:tc>
          <w:tcPr>
            <w:tcW w:w="2622" w:type="dxa"/>
            <w:shd w:val="clear" w:color="auto" w:fill="auto"/>
          </w:tcPr>
          <w:p w14:paraId="071D659D" w14:textId="4B275D50" w:rsidR="004B37DC" w:rsidRPr="000C2245" w:rsidRDefault="004B37DC" w:rsidP="00D90977">
            <w:pPr>
              <w:pStyle w:val="NoSpacing"/>
              <w:numPr>
                <w:ilvl w:val="0"/>
                <w:numId w:val="19"/>
              </w:numPr>
              <w:rPr>
                <w:rFonts w:asciiTheme="minorHAnsi" w:hAnsiTheme="minorHAnsi" w:cstheme="minorHAnsi"/>
                <w:szCs w:val="22"/>
              </w:rPr>
            </w:pPr>
            <w:r w:rsidRPr="000C2245">
              <w:rPr>
                <w:rFonts w:asciiTheme="minorHAnsi" w:hAnsiTheme="minorHAnsi" w:cstheme="minorHAnsi"/>
                <w:szCs w:val="22"/>
              </w:rPr>
              <w:t xml:space="preserve">Nominal </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0DCFE718" w14:textId="02E5351A" w:rsidR="004B37DC" w:rsidRPr="000C2245" w:rsidDel="00765AFD" w:rsidRDefault="00600CDA" w:rsidP="004B37DC">
            <w:pPr>
              <w:pStyle w:val="NoSpacing"/>
              <w:rPr>
                <w:rFonts w:asciiTheme="minorHAnsi" w:hAnsiTheme="minorHAnsi" w:cstheme="minorHAnsi"/>
                <w:szCs w:val="22"/>
              </w:rPr>
            </w:pPr>
            <w:r w:rsidRPr="000C2245">
              <w:rPr>
                <w:rFonts w:asciiTheme="minorHAnsi" w:hAnsiTheme="minorHAnsi" w:cstheme="minorHAnsi"/>
                <w:szCs w:val="22"/>
              </w:rPr>
              <w:t>The nominal capacity of a product is the capacity as stated by the manufacturer, and typically displayed on labels, packaging and brochures. It is often, but not necessarily, the rated capacity of the product.</w:t>
            </w:r>
          </w:p>
        </w:tc>
      </w:tr>
      <w:tr w:rsidR="004B37DC" w:rsidRPr="00A94043" w14:paraId="666B2C6D" w14:textId="77777777" w:rsidTr="5825CB59">
        <w:tc>
          <w:tcPr>
            <w:tcW w:w="2622" w:type="dxa"/>
            <w:shd w:val="clear" w:color="auto" w:fill="auto"/>
          </w:tcPr>
          <w:p w14:paraId="1F25AEC7" w14:textId="4033A05A" w:rsidR="004B37DC" w:rsidRPr="000C2245" w:rsidRDefault="004B37DC" w:rsidP="00D90977">
            <w:pPr>
              <w:pStyle w:val="NoSpacing"/>
              <w:numPr>
                <w:ilvl w:val="0"/>
                <w:numId w:val="18"/>
              </w:numPr>
              <w:rPr>
                <w:rFonts w:asciiTheme="minorHAnsi" w:hAnsiTheme="minorHAnsi" w:cstheme="minorHAnsi"/>
                <w:szCs w:val="22"/>
              </w:rPr>
            </w:pPr>
            <w:r w:rsidRPr="000C2245">
              <w:rPr>
                <w:rFonts w:asciiTheme="minorHAnsi" w:hAnsiTheme="minorHAnsi" w:cstheme="minorHAnsi"/>
                <w:szCs w:val="22"/>
              </w:rPr>
              <w:t xml:space="preserve">Rated </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03AEDD44" w14:textId="78BD0CD5" w:rsidR="004B37DC" w:rsidRPr="000C2245" w:rsidDel="00765AFD" w:rsidRDefault="00600CDA" w:rsidP="004B37DC">
            <w:pPr>
              <w:pStyle w:val="NoSpacing"/>
              <w:rPr>
                <w:rFonts w:asciiTheme="minorHAnsi" w:hAnsiTheme="minorHAnsi" w:cstheme="minorHAnsi"/>
                <w:szCs w:val="22"/>
              </w:rPr>
            </w:pPr>
            <w:r w:rsidRPr="000C2245">
              <w:rPr>
                <w:rFonts w:asciiTheme="minorHAnsi" w:hAnsiTheme="minorHAnsi" w:cstheme="minorHAnsi"/>
                <w:szCs w:val="22"/>
              </w:rPr>
              <w:t>The capacity of a product when tested under standard rating conditions. For air-conditioners, the rated full capacity is tested at 7</w:t>
            </w:r>
            <w:r w:rsidRPr="000C2245">
              <w:rPr>
                <w:rFonts w:asciiTheme="minorHAnsi" w:eastAsia="Symbol" w:hAnsiTheme="minorHAnsi" w:cstheme="minorHAnsi"/>
                <w:szCs w:val="22"/>
              </w:rPr>
              <w:t>°</w:t>
            </w:r>
            <w:r w:rsidRPr="000C2245">
              <w:rPr>
                <w:rFonts w:asciiTheme="minorHAnsi" w:hAnsiTheme="minorHAnsi" w:cstheme="minorHAnsi"/>
                <w:szCs w:val="22"/>
              </w:rPr>
              <w:t>C outdoor temperature.</w:t>
            </w:r>
          </w:p>
        </w:tc>
      </w:tr>
      <w:tr w:rsidR="004B37DC" w:rsidRPr="00A94043" w14:paraId="6BDFEF9C" w14:textId="77777777" w:rsidTr="5825CB59">
        <w:tc>
          <w:tcPr>
            <w:tcW w:w="2622" w:type="dxa"/>
            <w:shd w:val="clear" w:color="auto" w:fill="auto"/>
          </w:tcPr>
          <w:p w14:paraId="3260D932" w14:textId="4321EBCD" w:rsidR="004B37DC" w:rsidRPr="000C2245" w:rsidRDefault="004B37DC" w:rsidP="00D90977">
            <w:pPr>
              <w:pStyle w:val="NoSpacing"/>
              <w:numPr>
                <w:ilvl w:val="0"/>
                <w:numId w:val="18"/>
              </w:numPr>
              <w:rPr>
                <w:rFonts w:asciiTheme="minorHAnsi" w:hAnsiTheme="minorHAnsi" w:cstheme="minorHAnsi"/>
                <w:szCs w:val="22"/>
              </w:rPr>
            </w:pPr>
            <w:r w:rsidRPr="000C2245">
              <w:rPr>
                <w:rFonts w:asciiTheme="minorHAnsi" w:hAnsiTheme="minorHAnsi" w:cstheme="minorHAnsi"/>
                <w:szCs w:val="22"/>
              </w:rPr>
              <w:t>Two-</w:t>
            </w:r>
            <w:r w:rsidR="00600CDA" w:rsidRPr="000C2245">
              <w:rPr>
                <w:rFonts w:asciiTheme="minorHAnsi" w:hAnsiTheme="minorHAnsi" w:cstheme="minorHAnsi"/>
                <w:szCs w:val="22"/>
              </w:rPr>
              <w:t xml:space="preserve">Setting </w:t>
            </w:r>
            <w:r w:rsidR="00A021A9" w:rsidRPr="000C2245">
              <w:rPr>
                <w:rFonts w:asciiTheme="minorHAnsi" w:hAnsiTheme="minorHAnsi" w:cstheme="minorHAnsi"/>
                <w:szCs w:val="22"/>
              </w:rPr>
              <w:t>c</w:t>
            </w:r>
            <w:r w:rsidRPr="000C2245">
              <w:rPr>
                <w:rFonts w:asciiTheme="minorHAnsi" w:hAnsiTheme="minorHAnsi" w:cstheme="minorHAnsi"/>
                <w:szCs w:val="22"/>
              </w:rPr>
              <w:t>apacity</w:t>
            </w:r>
            <w:r w:rsidR="00600CDA" w:rsidRPr="000C2245">
              <w:rPr>
                <w:rFonts w:asciiTheme="minorHAnsi" w:hAnsiTheme="minorHAnsi" w:cstheme="minorHAnsi"/>
                <w:szCs w:val="22"/>
              </w:rPr>
              <w:t xml:space="preserve">, or </w:t>
            </w:r>
            <w:r w:rsidR="00A021A9" w:rsidRPr="000C2245">
              <w:rPr>
                <w:rFonts w:asciiTheme="minorHAnsi" w:hAnsiTheme="minorHAnsi" w:cstheme="minorHAnsi"/>
                <w:szCs w:val="22"/>
              </w:rPr>
              <w:t>t</w:t>
            </w:r>
            <w:r w:rsidR="00600CDA" w:rsidRPr="000C2245">
              <w:rPr>
                <w:rFonts w:asciiTheme="minorHAnsi" w:hAnsiTheme="minorHAnsi" w:cstheme="minorHAnsi"/>
                <w:szCs w:val="22"/>
              </w:rPr>
              <w:t>wo-stage</w:t>
            </w:r>
          </w:p>
        </w:tc>
        <w:tc>
          <w:tcPr>
            <w:tcW w:w="6994" w:type="dxa"/>
            <w:shd w:val="clear" w:color="auto" w:fill="auto"/>
          </w:tcPr>
          <w:p w14:paraId="48792DD4" w14:textId="5EFE868C" w:rsidR="004B37DC" w:rsidRPr="00146DBF" w:rsidDel="00765AFD" w:rsidRDefault="00600CDA" w:rsidP="00146DBF">
            <w:pPr>
              <w:pStyle w:val="NoSpacing"/>
            </w:pPr>
            <w:r w:rsidRPr="000C2245">
              <w:t>A two-setting capacity, or two-stage, heater is one where the output can be switched between two output settings or modes of operation.</w:t>
            </w:r>
          </w:p>
        </w:tc>
      </w:tr>
      <w:tr w:rsidR="004B37DC" w:rsidRPr="00A94043" w14:paraId="4F189DDA" w14:textId="77777777" w:rsidTr="5825CB59">
        <w:tc>
          <w:tcPr>
            <w:tcW w:w="2622" w:type="dxa"/>
            <w:shd w:val="clear" w:color="auto" w:fill="auto"/>
          </w:tcPr>
          <w:p w14:paraId="751A6FA4" w14:textId="075FFD9B" w:rsidR="004B37DC" w:rsidRPr="000C2245" w:rsidRDefault="004B37DC" w:rsidP="00D90977">
            <w:pPr>
              <w:pStyle w:val="NoSpacing"/>
              <w:numPr>
                <w:ilvl w:val="0"/>
                <w:numId w:val="18"/>
              </w:numPr>
              <w:rPr>
                <w:rFonts w:asciiTheme="minorHAnsi" w:hAnsiTheme="minorHAnsi" w:cstheme="minorHAnsi"/>
                <w:szCs w:val="22"/>
              </w:rPr>
            </w:pPr>
            <w:r w:rsidRPr="000C2245">
              <w:rPr>
                <w:rFonts w:asciiTheme="minorHAnsi" w:hAnsiTheme="minorHAnsi" w:cstheme="minorHAnsi"/>
                <w:szCs w:val="22"/>
              </w:rPr>
              <w:t xml:space="preserve">Variable </w:t>
            </w:r>
            <w:r w:rsidR="00A021A9" w:rsidRPr="000C2245">
              <w:rPr>
                <w:rFonts w:asciiTheme="minorHAnsi" w:hAnsiTheme="minorHAnsi" w:cstheme="minorHAnsi"/>
                <w:szCs w:val="22"/>
              </w:rPr>
              <w:t>c</w:t>
            </w:r>
            <w:r w:rsidRPr="000C2245">
              <w:rPr>
                <w:rFonts w:asciiTheme="minorHAnsi" w:hAnsiTheme="minorHAnsi" w:cstheme="minorHAnsi"/>
                <w:szCs w:val="22"/>
              </w:rPr>
              <w:t>apacity</w:t>
            </w:r>
          </w:p>
        </w:tc>
        <w:tc>
          <w:tcPr>
            <w:tcW w:w="6994" w:type="dxa"/>
            <w:shd w:val="clear" w:color="auto" w:fill="auto"/>
          </w:tcPr>
          <w:p w14:paraId="1239D121" w14:textId="3DD28A78" w:rsidR="004B37DC" w:rsidRPr="000C2245" w:rsidDel="00765AFD" w:rsidRDefault="00ED3F36" w:rsidP="004B37DC">
            <w:pPr>
              <w:pStyle w:val="NoSpacing"/>
              <w:rPr>
                <w:rFonts w:asciiTheme="minorHAnsi" w:hAnsiTheme="minorHAnsi" w:cstheme="minorHAnsi"/>
                <w:szCs w:val="22"/>
              </w:rPr>
            </w:pPr>
            <w:r w:rsidRPr="000C2245">
              <w:rPr>
                <w:rFonts w:asciiTheme="minorHAnsi" w:hAnsiTheme="minorHAnsi" w:cstheme="minorHAnsi"/>
                <w:szCs w:val="22"/>
              </w:rPr>
              <w:t xml:space="preserve">A variable capacity heater is one where the output of the heater can be continuous varied, however, it is also often used to refer to both multi- and variable capacity heaters, </w:t>
            </w:r>
            <w:r w:rsidR="00600CDA" w:rsidRPr="000C2245">
              <w:rPr>
                <w:rFonts w:asciiTheme="minorHAnsi" w:hAnsiTheme="minorHAnsi" w:cstheme="minorHAnsi"/>
                <w:szCs w:val="22"/>
              </w:rPr>
              <w:t>and more generally to any heater where the output can be varied</w:t>
            </w:r>
            <w:r w:rsidRPr="000C2245">
              <w:rPr>
                <w:rFonts w:asciiTheme="minorHAnsi" w:hAnsiTheme="minorHAnsi" w:cstheme="minorHAnsi"/>
                <w:szCs w:val="22"/>
              </w:rPr>
              <w:t>.</w:t>
            </w:r>
          </w:p>
        </w:tc>
      </w:tr>
      <w:tr w:rsidR="00420F22" w:rsidRPr="00A94043" w14:paraId="6324281F" w14:textId="77777777" w:rsidTr="5825CB59">
        <w:tc>
          <w:tcPr>
            <w:tcW w:w="2622" w:type="dxa"/>
            <w:shd w:val="clear" w:color="auto" w:fill="auto"/>
          </w:tcPr>
          <w:p w14:paraId="00170E8B" w14:textId="4B165AD4" w:rsidR="00420F22" w:rsidRPr="000C2245" w:rsidRDefault="00420F22" w:rsidP="00420F22">
            <w:pPr>
              <w:pStyle w:val="NoSpacing"/>
              <w:rPr>
                <w:rFonts w:cstheme="minorHAnsi"/>
              </w:rPr>
            </w:pPr>
            <w:r w:rsidRPr="000C2245">
              <w:rPr>
                <w:rFonts w:cstheme="minorHAnsi"/>
              </w:rPr>
              <w:t>Cooling hours</w:t>
            </w:r>
          </w:p>
        </w:tc>
        <w:tc>
          <w:tcPr>
            <w:tcW w:w="6994" w:type="dxa"/>
            <w:shd w:val="clear" w:color="auto" w:fill="auto"/>
          </w:tcPr>
          <w:p w14:paraId="0F95AC49" w14:textId="3166D36B" w:rsidR="00420F22" w:rsidRPr="000C2245" w:rsidRDefault="00420F22" w:rsidP="00420F22">
            <w:pPr>
              <w:pStyle w:val="NoSpacing"/>
              <w:rPr>
                <w:rFonts w:cstheme="minorHAnsi"/>
              </w:rPr>
            </w:pPr>
            <w:r w:rsidRPr="000C2245">
              <w:rPr>
                <w:rFonts w:asciiTheme="minorHAnsi" w:hAnsiTheme="minorHAnsi" w:cstheme="minorHAnsi"/>
                <w:szCs w:val="22"/>
              </w:rPr>
              <w:t>The hours of the year during which cooling is required. Also used to refer to the number of hours per year cooling is required.</w:t>
            </w:r>
          </w:p>
        </w:tc>
      </w:tr>
      <w:tr w:rsidR="00420F22" w:rsidRPr="00A94043" w14:paraId="6D6964F4" w14:textId="77777777" w:rsidTr="5825CB59">
        <w:tc>
          <w:tcPr>
            <w:tcW w:w="2622" w:type="dxa"/>
            <w:shd w:val="clear" w:color="auto" w:fill="auto"/>
          </w:tcPr>
          <w:p w14:paraId="58DA0AF0" w14:textId="12189551" w:rsidR="00420F22" w:rsidRPr="000C2245" w:rsidRDefault="00420F22" w:rsidP="00420F22">
            <w:pPr>
              <w:pStyle w:val="NoSpacing"/>
              <w:rPr>
                <w:rFonts w:cstheme="minorHAnsi"/>
              </w:rPr>
            </w:pPr>
            <w:r w:rsidRPr="000C2245">
              <w:rPr>
                <w:rFonts w:cstheme="minorHAnsi"/>
              </w:rPr>
              <w:t>Cooling season</w:t>
            </w:r>
          </w:p>
        </w:tc>
        <w:tc>
          <w:tcPr>
            <w:tcW w:w="6994" w:type="dxa"/>
            <w:shd w:val="clear" w:color="auto" w:fill="auto"/>
          </w:tcPr>
          <w:p w14:paraId="3FE2732D" w14:textId="5A6418F5" w:rsidR="00420F22" w:rsidRPr="00720ADF" w:rsidRDefault="00420F22" w:rsidP="00420F22">
            <w:pPr>
              <w:pStyle w:val="NoSpacing"/>
              <w:rPr>
                <w:rFonts w:asciiTheme="minorHAnsi" w:hAnsiTheme="minorHAnsi" w:cstheme="minorHAnsi"/>
                <w:szCs w:val="22"/>
              </w:rPr>
            </w:pPr>
            <w:r w:rsidRPr="00720ADF">
              <w:rPr>
                <w:rFonts w:asciiTheme="minorHAnsi" w:hAnsiTheme="minorHAnsi" w:cstheme="minorHAnsi"/>
                <w:szCs w:val="22"/>
              </w:rPr>
              <w:t>The season or period of the year during which cooling is required. The cooling season includes both cooling hours and inactive hours (hours when cooling is not required). In concept, the cooling season and heating season could overlap, however, those defined by the ACCM and utilised for the space heating comparison methodology do not.</w:t>
            </w:r>
          </w:p>
        </w:tc>
      </w:tr>
      <w:tr w:rsidR="00420F22" w:rsidRPr="00A94043" w14:paraId="191B5813" w14:textId="77777777" w:rsidTr="5825CB59">
        <w:tc>
          <w:tcPr>
            <w:tcW w:w="2622" w:type="dxa"/>
            <w:shd w:val="clear" w:color="auto" w:fill="auto"/>
          </w:tcPr>
          <w:p w14:paraId="49861FF0"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lastRenderedPageBreak/>
              <w:t xml:space="preserve">COP </w:t>
            </w:r>
          </w:p>
        </w:tc>
        <w:tc>
          <w:tcPr>
            <w:tcW w:w="6994" w:type="dxa"/>
            <w:shd w:val="clear" w:color="auto" w:fill="auto"/>
          </w:tcPr>
          <w:p w14:paraId="3984075D" w14:textId="50C97986"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Coefficient of performance.  This is the ratio of heating output to energy  input.</w:t>
            </w:r>
          </w:p>
        </w:tc>
      </w:tr>
      <w:tr w:rsidR="00420F22" w:rsidRPr="00A94043" w14:paraId="7FBAA378" w14:textId="77777777" w:rsidTr="5825CB59">
        <w:tc>
          <w:tcPr>
            <w:tcW w:w="2622" w:type="dxa"/>
            <w:shd w:val="clear" w:color="auto" w:fill="auto"/>
          </w:tcPr>
          <w:p w14:paraId="5B9FDC88" w14:textId="2695D25F"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Distribution losses</w:t>
            </w:r>
          </w:p>
        </w:tc>
        <w:tc>
          <w:tcPr>
            <w:tcW w:w="6994" w:type="dxa"/>
            <w:shd w:val="clear" w:color="auto" w:fill="auto"/>
          </w:tcPr>
          <w:p w14:paraId="1EDC2D18" w14:textId="6F9ADBC6" w:rsidR="00420F22" w:rsidRPr="00146DBF" w:rsidRDefault="00420F22" w:rsidP="00146DBF">
            <w:pPr>
              <w:pStyle w:val="NoSpacing"/>
            </w:pPr>
            <w:r w:rsidRPr="000C2245">
              <w:rPr>
                <w:lang w:val="en-US"/>
              </w:rPr>
              <w:t>Heaters with a distribution system (</w:t>
            </w:r>
            <w:r w:rsidRPr="000C2245">
              <w:t>air ductwork, water pipework, radiators, or heating elements) will lose heat through these systems so the delivered heat to the occupied space will be less than that produced by the heating system.  The extent of distribution losses will be dependent on a number of factors outside the control of the heating system manufacturer.</w:t>
            </w:r>
          </w:p>
        </w:tc>
      </w:tr>
      <w:tr w:rsidR="00420F22" w:rsidRPr="00A94043" w14:paraId="571464AB" w14:textId="77777777" w:rsidTr="5825CB59">
        <w:tc>
          <w:tcPr>
            <w:tcW w:w="2622" w:type="dxa"/>
            <w:shd w:val="clear" w:color="auto" w:fill="auto"/>
          </w:tcPr>
          <w:p w14:paraId="451C90FE"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Energy efficiency</w:t>
            </w:r>
          </w:p>
        </w:tc>
        <w:tc>
          <w:tcPr>
            <w:tcW w:w="6994" w:type="dxa"/>
            <w:shd w:val="clear" w:color="auto" w:fill="auto"/>
          </w:tcPr>
          <w:p w14:paraId="73F347BF" w14:textId="501DB263"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A general term which is typically calculated by dividing the energy obtained (useful energy or energy output) by the initial energy (energy input).</w:t>
            </w:r>
          </w:p>
        </w:tc>
      </w:tr>
      <w:tr w:rsidR="00104693" w:rsidRPr="00A94043" w14:paraId="283FB8E2" w14:textId="77777777" w:rsidTr="5825CB59">
        <w:tc>
          <w:tcPr>
            <w:tcW w:w="2622" w:type="dxa"/>
            <w:shd w:val="clear" w:color="auto" w:fill="auto"/>
          </w:tcPr>
          <w:p w14:paraId="78B5D048" w14:textId="3B9C6D76" w:rsidR="00104693" w:rsidRPr="000C2245" w:rsidRDefault="00581810" w:rsidP="00420F22">
            <w:pPr>
              <w:pStyle w:val="NoSpacing"/>
              <w:rPr>
                <w:rFonts w:asciiTheme="minorHAnsi" w:hAnsiTheme="minorHAnsi" w:cstheme="minorHAnsi"/>
                <w:szCs w:val="22"/>
              </w:rPr>
            </w:pPr>
            <w:r>
              <w:rPr>
                <w:rFonts w:asciiTheme="minorHAnsi" w:hAnsiTheme="minorHAnsi" w:cstheme="minorHAnsi"/>
                <w:szCs w:val="22"/>
              </w:rPr>
              <w:t>EUP</w:t>
            </w:r>
            <w:r w:rsidR="00D9291E">
              <w:rPr>
                <w:rFonts w:asciiTheme="minorHAnsi" w:hAnsiTheme="minorHAnsi" w:cstheme="minorHAnsi"/>
                <w:szCs w:val="22"/>
              </w:rPr>
              <w:t xml:space="preserve"> Regulations</w:t>
            </w:r>
          </w:p>
        </w:tc>
        <w:tc>
          <w:tcPr>
            <w:tcW w:w="6994" w:type="dxa"/>
            <w:shd w:val="clear" w:color="auto" w:fill="auto"/>
          </w:tcPr>
          <w:p w14:paraId="72044108" w14:textId="5B3273E3" w:rsidR="00104693" w:rsidRPr="000C2245" w:rsidRDefault="00D73D08" w:rsidP="00420F22">
            <w:pPr>
              <w:pStyle w:val="NoSpacing"/>
              <w:rPr>
                <w:rFonts w:asciiTheme="minorHAnsi" w:hAnsiTheme="minorHAnsi" w:cstheme="minorHAnsi"/>
                <w:szCs w:val="22"/>
              </w:rPr>
            </w:pPr>
            <w:hyperlink r:id="rId48" w:history="1">
              <w:r w:rsidR="00D67DCC" w:rsidRPr="000F1F83">
                <w:rPr>
                  <w:rFonts w:asciiTheme="minorHAnsi" w:hAnsiTheme="minorHAnsi" w:cstheme="minorHAnsi"/>
                  <w:szCs w:val="22"/>
                </w:rPr>
                <w:t>Energy Efficiency (Energy Using Products) Regulations 2002</w:t>
              </w:r>
            </w:hyperlink>
            <w:r w:rsidR="00D67DCC">
              <w:rPr>
                <w:rFonts w:asciiTheme="minorHAnsi" w:hAnsiTheme="minorHAnsi" w:cstheme="minorHAnsi"/>
                <w:szCs w:val="22"/>
              </w:rPr>
              <w:t>, which apply in New Zealand.</w:t>
            </w:r>
          </w:p>
        </w:tc>
      </w:tr>
      <w:tr w:rsidR="00420F22" w:rsidRPr="00A94043" w14:paraId="4A0ABE7F" w14:textId="77777777" w:rsidTr="5825CB59">
        <w:tc>
          <w:tcPr>
            <w:tcW w:w="2622" w:type="dxa"/>
            <w:shd w:val="clear" w:color="auto" w:fill="auto"/>
          </w:tcPr>
          <w:p w14:paraId="6567D6D3" w14:textId="1E51705C" w:rsidR="00420F22" w:rsidRPr="000C2245" w:rsidRDefault="00420F22" w:rsidP="00420F22">
            <w:pPr>
              <w:pStyle w:val="NoSpacing"/>
              <w:rPr>
                <w:rFonts w:asciiTheme="minorHAnsi" w:hAnsiTheme="minorHAnsi" w:cstheme="minorHAnsi"/>
                <w:szCs w:val="22"/>
              </w:rPr>
            </w:pPr>
            <w:r w:rsidRPr="000C2245">
              <w:t>Fixed heaters</w:t>
            </w:r>
          </w:p>
        </w:tc>
        <w:tc>
          <w:tcPr>
            <w:tcW w:w="6994" w:type="dxa"/>
            <w:shd w:val="clear" w:color="auto" w:fill="auto"/>
          </w:tcPr>
          <w:p w14:paraId="5BA9562F" w14:textId="097139A9"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Heaters which are permanently installed and no</w:t>
            </w:r>
            <w:r w:rsidR="000C2245" w:rsidRPr="00720ADF">
              <w:rPr>
                <w:rFonts w:asciiTheme="minorHAnsi" w:hAnsiTheme="minorHAnsi" w:cstheme="minorHAnsi"/>
                <w:szCs w:val="22"/>
              </w:rPr>
              <w:t>n-</w:t>
            </w:r>
            <w:r w:rsidRPr="000C2245">
              <w:rPr>
                <w:rFonts w:asciiTheme="minorHAnsi" w:hAnsiTheme="minorHAnsi" w:cstheme="minorHAnsi"/>
                <w:szCs w:val="22"/>
              </w:rPr>
              <w:t>portable. These heaters are assumed to be less likely to have their energy source isolated (turned off completely) during the cooling season, and therefore assumed to use inactive (standby) energy throughout the cooling season.</w:t>
            </w:r>
          </w:p>
        </w:tc>
      </w:tr>
      <w:tr w:rsidR="00CD4E75" w:rsidRPr="00A94043" w:rsidDel="00530257" w14:paraId="2AD7A5DC" w14:textId="77777777" w:rsidTr="5825CB59">
        <w:tc>
          <w:tcPr>
            <w:tcW w:w="2622" w:type="dxa"/>
            <w:shd w:val="clear" w:color="auto" w:fill="auto"/>
          </w:tcPr>
          <w:p w14:paraId="3524EE4F" w14:textId="32D0369F" w:rsidR="00CD4E75" w:rsidRPr="000C2245" w:rsidDel="00530257" w:rsidRDefault="00CD4E75" w:rsidP="00420F22">
            <w:pPr>
              <w:pStyle w:val="NoSpacing"/>
              <w:rPr>
                <w:rFonts w:asciiTheme="minorHAnsi" w:hAnsiTheme="minorHAnsi" w:cstheme="minorHAnsi"/>
                <w:szCs w:val="22"/>
              </w:rPr>
            </w:pPr>
            <w:r w:rsidRPr="000C2245">
              <w:rPr>
                <w:rFonts w:asciiTheme="minorHAnsi" w:hAnsiTheme="minorHAnsi" w:cstheme="minorHAnsi"/>
                <w:szCs w:val="22"/>
              </w:rPr>
              <w:t>Heating hours</w:t>
            </w:r>
          </w:p>
        </w:tc>
        <w:tc>
          <w:tcPr>
            <w:tcW w:w="6994" w:type="dxa"/>
            <w:shd w:val="clear" w:color="auto" w:fill="auto"/>
          </w:tcPr>
          <w:p w14:paraId="64D7189A" w14:textId="6965D21E" w:rsidR="00CD4E75" w:rsidRPr="000C2245" w:rsidDel="00530257" w:rsidRDefault="00CD4E75" w:rsidP="00420F22">
            <w:pPr>
              <w:pStyle w:val="NoSpacing"/>
              <w:rPr>
                <w:rFonts w:asciiTheme="minorHAnsi" w:hAnsiTheme="minorHAnsi" w:cstheme="minorHAnsi"/>
                <w:szCs w:val="22"/>
              </w:rPr>
            </w:pPr>
            <w:r w:rsidRPr="000C2245">
              <w:rPr>
                <w:rFonts w:asciiTheme="minorHAnsi" w:hAnsiTheme="minorHAnsi" w:cstheme="minorHAnsi"/>
                <w:szCs w:val="22"/>
              </w:rPr>
              <w:t>The hours of the year during which heating is required. Also used to refer to the number of hours per year heating is required.</w:t>
            </w:r>
          </w:p>
        </w:tc>
      </w:tr>
      <w:tr w:rsidR="00CD4E75" w:rsidRPr="00A94043" w:rsidDel="00530257" w14:paraId="53D2CEDB" w14:textId="77777777" w:rsidTr="5825CB59">
        <w:tc>
          <w:tcPr>
            <w:tcW w:w="2622" w:type="dxa"/>
            <w:shd w:val="clear" w:color="auto" w:fill="auto"/>
          </w:tcPr>
          <w:p w14:paraId="6753CFE0" w14:textId="51C74748" w:rsidR="00CD4E75" w:rsidRPr="000C2245" w:rsidRDefault="00CD4E75" w:rsidP="00420F22">
            <w:pPr>
              <w:pStyle w:val="NoSpacing"/>
              <w:rPr>
                <w:rFonts w:asciiTheme="minorHAnsi" w:hAnsiTheme="minorHAnsi" w:cstheme="minorHAnsi"/>
                <w:szCs w:val="22"/>
              </w:rPr>
            </w:pPr>
            <w:r w:rsidRPr="000C2245">
              <w:rPr>
                <w:rFonts w:asciiTheme="minorHAnsi" w:hAnsiTheme="minorHAnsi" w:cstheme="minorHAnsi"/>
                <w:szCs w:val="22"/>
              </w:rPr>
              <w:t>Heating season</w:t>
            </w:r>
          </w:p>
        </w:tc>
        <w:tc>
          <w:tcPr>
            <w:tcW w:w="6994" w:type="dxa"/>
            <w:shd w:val="clear" w:color="auto" w:fill="auto"/>
          </w:tcPr>
          <w:p w14:paraId="155AB4B2" w14:textId="6FD70810" w:rsidR="00CD4E75" w:rsidRPr="000C2245" w:rsidDel="00530257" w:rsidRDefault="00CD4E75" w:rsidP="00420F22">
            <w:pPr>
              <w:pStyle w:val="NoSpacing"/>
              <w:rPr>
                <w:rFonts w:asciiTheme="minorHAnsi" w:hAnsiTheme="minorHAnsi" w:cstheme="minorHAnsi"/>
                <w:szCs w:val="22"/>
              </w:rPr>
            </w:pPr>
            <w:r w:rsidRPr="00720ADF">
              <w:rPr>
                <w:rFonts w:asciiTheme="minorHAnsi" w:hAnsiTheme="minorHAnsi" w:cstheme="minorHAnsi"/>
                <w:szCs w:val="22"/>
              </w:rPr>
              <w:t>The season or period of the year during which heating is required. The heating season includes both heating hours and inactive hours (hours when heating is not required). In concept, the cooling season and heating season could overlap, however, those defined by the ACCM and utilised for the space heating comparison methodology do not.</w:t>
            </w:r>
          </w:p>
        </w:tc>
      </w:tr>
      <w:tr w:rsidR="00420F22" w:rsidRPr="00A94043" w14:paraId="2918FE28" w14:textId="77777777" w:rsidTr="5825CB59">
        <w:tc>
          <w:tcPr>
            <w:tcW w:w="2622" w:type="dxa"/>
            <w:shd w:val="clear" w:color="auto" w:fill="auto"/>
          </w:tcPr>
          <w:p w14:paraId="0BDEEA96" w14:textId="57BDBBF2"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 xml:space="preserve">Heating </w:t>
            </w:r>
            <w:r w:rsidR="00A021A9" w:rsidRPr="000C2245">
              <w:rPr>
                <w:rFonts w:asciiTheme="minorHAnsi" w:hAnsiTheme="minorHAnsi" w:cstheme="minorHAnsi"/>
                <w:szCs w:val="22"/>
              </w:rPr>
              <w:t>system</w:t>
            </w:r>
          </w:p>
        </w:tc>
        <w:tc>
          <w:tcPr>
            <w:tcW w:w="6994" w:type="dxa"/>
            <w:shd w:val="clear" w:color="auto" w:fill="auto"/>
          </w:tcPr>
          <w:p w14:paraId="01DA270E" w14:textId="77777777" w:rsidR="00420F22" w:rsidRPr="000C2245" w:rsidRDefault="00420F22" w:rsidP="00146DBF">
            <w:pPr>
              <w:pStyle w:val="NoSpacing"/>
              <w:rPr>
                <w:rFonts w:asciiTheme="minorHAnsi" w:hAnsiTheme="minorHAnsi" w:cstheme="minorHAnsi"/>
                <w:szCs w:val="22"/>
              </w:rPr>
            </w:pPr>
            <w:r w:rsidRPr="00146DBF">
              <w:t>All of the components of a heater and distribution system, including the heater (or appliance) plus additional components required to distribute heat, such as ductwork, pipework or radiators.</w:t>
            </w:r>
          </w:p>
        </w:tc>
      </w:tr>
      <w:tr w:rsidR="00420F22" w:rsidRPr="00A94043" w14:paraId="16709B8E" w14:textId="77777777" w:rsidTr="5825CB59">
        <w:tc>
          <w:tcPr>
            <w:tcW w:w="2622" w:type="dxa"/>
            <w:shd w:val="clear" w:color="auto" w:fill="auto"/>
          </w:tcPr>
          <w:p w14:paraId="3EDB159B" w14:textId="42281BDB"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 xml:space="preserve">Gas </w:t>
            </w:r>
            <w:r w:rsidR="00A021A9" w:rsidRPr="000C2245">
              <w:rPr>
                <w:rFonts w:asciiTheme="minorHAnsi" w:hAnsiTheme="minorHAnsi" w:cstheme="minorHAnsi"/>
                <w:szCs w:val="22"/>
              </w:rPr>
              <w:t>energy label</w:t>
            </w:r>
          </w:p>
        </w:tc>
        <w:tc>
          <w:tcPr>
            <w:tcW w:w="6994" w:type="dxa"/>
            <w:shd w:val="clear" w:color="auto" w:fill="auto"/>
          </w:tcPr>
          <w:p w14:paraId="75D8BA51"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A label that illustrates the energy consumption of a gas appliance shown as a number of stars that allows consumers to compare the energy consumption and running costs of various gas appliances based on testing in accordance with the relevant standard (AS/NZS 5263.1.6 for ducted gas heaters).</w:t>
            </w:r>
          </w:p>
        </w:tc>
      </w:tr>
      <w:tr w:rsidR="00420F22" w:rsidRPr="00A94043" w14:paraId="061CAC6C" w14:textId="77777777" w:rsidTr="5825CB59">
        <w:tc>
          <w:tcPr>
            <w:tcW w:w="2622" w:type="dxa"/>
            <w:shd w:val="clear" w:color="auto" w:fill="auto"/>
          </w:tcPr>
          <w:p w14:paraId="68B9A9BF"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GEMS</w:t>
            </w:r>
          </w:p>
        </w:tc>
        <w:tc>
          <w:tcPr>
            <w:tcW w:w="6994" w:type="dxa"/>
            <w:shd w:val="clear" w:color="auto" w:fill="auto"/>
          </w:tcPr>
          <w:p w14:paraId="35B1EEA3" w14:textId="11C160CF"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Greenhouse and Energy Minimum Standards</w:t>
            </w:r>
            <w:r w:rsidR="00AF564D">
              <w:rPr>
                <w:rFonts w:asciiTheme="minorHAnsi" w:hAnsiTheme="minorHAnsi" w:cstheme="minorHAnsi"/>
                <w:szCs w:val="22"/>
              </w:rPr>
              <w:t>, which apply in</w:t>
            </w:r>
            <w:r w:rsidR="00474127">
              <w:rPr>
                <w:rFonts w:asciiTheme="minorHAnsi" w:hAnsiTheme="minorHAnsi" w:cstheme="minorHAnsi"/>
                <w:szCs w:val="22"/>
              </w:rPr>
              <w:t xml:space="preserve"> Australia</w:t>
            </w:r>
            <w:r w:rsidRPr="000C2245">
              <w:rPr>
                <w:rFonts w:asciiTheme="minorHAnsi" w:hAnsiTheme="minorHAnsi" w:cstheme="minorHAnsi"/>
                <w:szCs w:val="22"/>
              </w:rPr>
              <w:t>.</w:t>
            </w:r>
          </w:p>
        </w:tc>
      </w:tr>
      <w:tr w:rsidR="00420F22" w:rsidRPr="00A94043" w14:paraId="7783B46F" w14:textId="77777777" w:rsidTr="5825CB59">
        <w:tc>
          <w:tcPr>
            <w:tcW w:w="2622" w:type="dxa"/>
            <w:shd w:val="clear" w:color="auto" w:fill="auto"/>
          </w:tcPr>
          <w:p w14:paraId="609ABABE" w14:textId="06F2E95D"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 xml:space="preserve">Heating </w:t>
            </w:r>
            <w:r w:rsidR="00A021A9" w:rsidRPr="000C2245">
              <w:rPr>
                <w:rFonts w:asciiTheme="minorHAnsi" w:hAnsiTheme="minorHAnsi" w:cstheme="minorHAnsi"/>
                <w:szCs w:val="22"/>
              </w:rPr>
              <w:t>a</w:t>
            </w:r>
            <w:r w:rsidRPr="000C2245">
              <w:rPr>
                <w:rFonts w:asciiTheme="minorHAnsi" w:hAnsiTheme="minorHAnsi" w:cstheme="minorHAnsi"/>
                <w:szCs w:val="22"/>
              </w:rPr>
              <w:t xml:space="preserve">nnual </w:t>
            </w:r>
            <w:r w:rsidR="00A021A9" w:rsidRPr="000C2245">
              <w:rPr>
                <w:rFonts w:asciiTheme="minorHAnsi" w:hAnsiTheme="minorHAnsi" w:cstheme="minorHAnsi"/>
                <w:szCs w:val="22"/>
              </w:rPr>
              <w:t>e</w:t>
            </w:r>
            <w:r w:rsidRPr="000C2245">
              <w:rPr>
                <w:rFonts w:asciiTheme="minorHAnsi" w:hAnsiTheme="minorHAnsi" w:cstheme="minorHAnsi"/>
                <w:szCs w:val="22"/>
              </w:rPr>
              <w:t xml:space="preserve">nergy </w:t>
            </w:r>
            <w:r w:rsidR="00A021A9" w:rsidRPr="000C2245">
              <w:rPr>
                <w:rFonts w:asciiTheme="minorHAnsi" w:hAnsiTheme="minorHAnsi" w:cstheme="minorHAnsi"/>
                <w:szCs w:val="22"/>
              </w:rPr>
              <w:t>u</w:t>
            </w:r>
            <w:r w:rsidRPr="000C2245">
              <w:rPr>
                <w:rFonts w:asciiTheme="minorHAnsi" w:hAnsiTheme="minorHAnsi" w:cstheme="minorHAnsi"/>
                <w:szCs w:val="22"/>
              </w:rPr>
              <w:t>se</w:t>
            </w:r>
          </w:p>
        </w:tc>
        <w:tc>
          <w:tcPr>
            <w:tcW w:w="6994" w:type="dxa"/>
            <w:shd w:val="clear" w:color="auto" w:fill="auto"/>
          </w:tcPr>
          <w:p w14:paraId="2AFAEDDB" w14:textId="0B0CF47F" w:rsidR="00420F22" w:rsidRPr="000C2245" w:rsidRDefault="00CA0FE8" w:rsidP="00420F22">
            <w:pPr>
              <w:pStyle w:val="NoSpacing"/>
              <w:rPr>
                <w:rFonts w:asciiTheme="minorHAnsi" w:hAnsiTheme="minorHAnsi" w:cstheme="minorHAnsi"/>
                <w:szCs w:val="22"/>
              </w:rPr>
            </w:pPr>
            <w:r w:rsidRPr="000C2245">
              <w:t xml:space="preserve">This is the total annual amount of energy consumed by the equipment in order to deliver heating, including </w:t>
            </w:r>
            <w:r w:rsidR="00155B24" w:rsidRPr="000C2245">
              <w:t xml:space="preserve">energy consumed in </w:t>
            </w:r>
            <w:r w:rsidRPr="000C2245">
              <w:t>both heating mode and inactive (standby) mode.</w:t>
            </w:r>
            <w:r w:rsidR="00420F22" w:rsidRPr="000C2245">
              <w:t xml:space="preserve"> </w:t>
            </w:r>
          </w:p>
        </w:tc>
      </w:tr>
      <w:tr w:rsidR="00420F22" w:rsidRPr="00A94043" w14:paraId="07E341D7" w14:textId="77777777" w:rsidTr="5825CB59">
        <w:tc>
          <w:tcPr>
            <w:tcW w:w="2622" w:type="dxa"/>
            <w:shd w:val="clear" w:color="auto" w:fill="auto"/>
          </w:tcPr>
          <w:p w14:paraId="06DD812E"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HSEC</w:t>
            </w:r>
          </w:p>
        </w:tc>
        <w:tc>
          <w:tcPr>
            <w:tcW w:w="6994" w:type="dxa"/>
            <w:shd w:val="clear" w:color="auto" w:fill="auto"/>
          </w:tcPr>
          <w:p w14:paraId="7AB1890A"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Heating Seasonal Energy Consumption.  This is the total annual amount of energy consumed by the equipment in heating mode, including make-up heat (additional heating required above the maximum capacity of the heater).</w:t>
            </w:r>
          </w:p>
        </w:tc>
      </w:tr>
      <w:tr w:rsidR="00420F22" w:rsidRPr="00A94043" w14:paraId="3A20A58F" w14:textId="77777777" w:rsidTr="5825CB59">
        <w:tc>
          <w:tcPr>
            <w:tcW w:w="2622" w:type="dxa"/>
            <w:shd w:val="clear" w:color="auto" w:fill="auto"/>
          </w:tcPr>
          <w:p w14:paraId="34619CAA"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HSPF</w:t>
            </w:r>
          </w:p>
        </w:tc>
        <w:tc>
          <w:tcPr>
            <w:tcW w:w="6994" w:type="dxa"/>
            <w:shd w:val="clear" w:color="auto" w:fill="auto"/>
          </w:tcPr>
          <w:p w14:paraId="1FC3EB25" w14:textId="0B0C635D"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 xml:space="preserve">Heating Seasonal Performance Factor.  This is the ratio of the total annual amount of heat, including make-up heat, that the equipment can add to the conditioned space when operated for heating in active mode to the total annual amount of energy consumed by the equipment </w:t>
            </w:r>
            <w:r w:rsidR="00D14A4F" w:rsidRPr="000C2245">
              <w:rPr>
                <w:rFonts w:asciiTheme="minorHAnsi" w:hAnsiTheme="minorHAnsi" w:cstheme="minorHAnsi"/>
                <w:szCs w:val="22"/>
              </w:rPr>
              <w:t>in heating mode</w:t>
            </w:r>
            <w:r w:rsidRPr="000C2245">
              <w:rPr>
                <w:rFonts w:asciiTheme="minorHAnsi" w:hAnsiTheme="minorHAnsi" w:cstheme="minorHAnsi"/>
                <w:szCs w:val="22"/>
              </w:rPr>
              <w:t>.</w:t>
            </w:r>
          </w:p>
        </w:tc>
      </w:tr>
      <w:tr w:rsidR="00420F22" w:rsidRPr="00A94043" w14:paraId="7148DDDF" w14:textId="77777777" w:rsidTr="5825CB59">
        <w:tc>
          <w:tcPr>
            <w:tcW w:w="2622" w:type="dxa"/>
            <w:shd w:val="clear" w:color="auto" w:fill="auto"/>
          </w:tcPr>
          <w:p w14:paraId="117C44DB" w14:textId="77777777"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 xml:space="preserve">HSTL </w:t>
            </w:r>
          </w:p>
        </w:tc>
        <w:tc>
          <w:tcPr>
            <w:tcW w:w="6994" w:type="dxa"/>
            <w:shd w:val="clear" w:color="auto" w:fill="auto"/>
          </w:tcPr>
          <w:p w14:paraId="676A3A3B" w14:textId="0C813EFE" w:rsidR="00420F22" w:rsidRPr="000C2245" w:rsidRDefault="00420F22" w:rsidP="00420F22">
            <w:pPr>
              <w:pStyle w:val="NoSpacing"/>
              <w:rPr>
                <w:rFonts w:asciiTheme="minorHAnsi" w:hAnsiTheme="minorHAnsi" w:cstheme="minorHAnsi"/>
                <w:szCs w:val="22"/>
              </w:rPr>
            </w:pPr>
            <w:r w:rsidRPr="000C2245">
              <w:rPr>
                <w:rFonts w:asciiTheme="minorHAnsi" w:hAnsiTheme="minorHAnsi" w:cstheme="minorHAnsi"/>
                <w:szCs w:val="22"/>
              </w:rPr>
              <w:t>Heating seasonal total load,</w:t>
            </w:r>
            <w:r w:rsidR="00D14A4F" w:rsidRPr="000C2245">
              <w:rPr>
                <w:rFonts w:asciiTheme="minorHAnsi" w:hAnsiTheme="minorHAnsi" w:cstheme="minorHAnsi"/>
                <w:szCs w:val="22"/>
              </w:rPr>
              <w:t xml:space="preserve"> is the total amount of energy delivered as heating, per year,</w:t>
            </w:r>
            <w:r w:rsidRPr="000C2245">
              <w:rPr>
                <w:rFonts w:asciiTheme="minorHAnsi" w:hAnsiTheme="minorHAnsi" w:cstheme="minorHAnsi"/>
                <w:szCs w:val="22"/>
              </w:rPr>
              <w:t xml:space="preserve"> which is calculated by adding up the heating load at each outdoor temperature, multiplied by the reference bin hours.</w:t>
            </w:r>
          </w:p>
        </w:tc>
      </w:tr>
      <w:tr w:rsidR="00C45054" w:rsidRPr="00A94043" w14:paraId="0A84DE03" w14:textId="77777777" w:rsidTr="5825CB59">
        <w:tc>
          <w:tcPr>
            <w:tcW w:w="2622" w:type="dxa"/>
            <w:shd w:val="clear" w:color="auto" w:fill="auto"/>
          </w:tcPr>
          <w:p w14:paraId="36790EA1" w14:textId="160636AE"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lastRenderedPageBreak/>
              <w:t>Inactive (</w:t>
            </w:r>
            <w:r w:rsidR="00A021A9" w:rsidRPr="000C2245">
              <w:rPr>
                <w:rFonts w:asciiTheme="minorHAnsi" w:hAnsiTheme="minorHAnsi" w:cstheme="minorHAnsi"/>
                <w:szCs w:val="22"/>
              </w:rPr>
              <w:t>s</w:t>
            </w:r>
            <w:r w:rsidRPr="000C2245">
              <w:rPr>
                <w:rFonts w:asciiTheme="minorHAnsi" w:hAnsiTheme="minorHAnsi" w:cstheme="minorHAnsi"/>
                <w:szCs w:val="22"/>
              </w:rPr>
              <w:t xml:space="preserve">tandby) </w:t>
            </w:r>
            <w:r w:rsidR="00A021A9" w:rsidRPr="000C2245">
              <w:rPr>
                <w:rFonts w:asciiTheme="minorHAnsi" w:hAnsiTheme="minorHAnsi" w:cstheme="minorHAnsi"/>
                <w:szCs w:val="22"/>
              </w:rPr>
              <w:t>m</w:t>
            </w:r>
            <w:r w:rsidRPr="000C2245">
              <w:rPr>
                <w:rFonts w:asciiTheme="minorHAnsi" w:hAnsiTheme="minorHAnsi" w:cstheme="minorHAnsi"/>
                <w:szCs w:val="22"/>
              </w:rPr>
              <w:t>ode</w:t>
            </w:r>
          </w:p>
        </w:tc>
        <w:tc>
          <w:tcPr>
            <w:tcW w:w="6994" w:type="dxa"/>
            <w:shd w:val="clear" w:color="auto" w:fill="auto"/>
          </w:tcPr>
          <w:p w14:paraId="5D330CF4" w14:textId="666D9732"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Inactive (standby) power refers to the energy that is used by devices even when they appear to be turned off. Inactive power allows electronics to turn on quickly, but means that they are constantly drawing some power from the electrical grid. Pilot burners are less common, but consume significant amounts of gas when the product is not actively heating.</w:t>
            </w:r>
          </w:p>
        </w:tc>
      </w:tr>
      <w:tr w:rsidR="00C45054" w:rsidRPr="00A94043" w14:paraId="32AFD3D2" w14:textId="77777777" w:rsidTr="5825CB59">
        <w:tc>
          <w:tcPr>
            <w:tcW w:w="2622" w:type="dxa"/>
            <w:shd w:val="clear" w:color="auto" w:fill="auto"/>
          </w:tcPr>
          <w:p w14:paraId="13749832" w14:textId="4C2691AA"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Load, or heating load</w:t>
            </w:r>
          </w:p>
        </w:tc>
        <w:tc>
          <w:tcPr>
            <w:tcW w:w="6994" w:type="dxa"/>
            <w:shd w:val="clear" w:color="auto" w:fill="auto"/>
          </w:tcPr>
          <w:p w14:paraId="7AFF6418" w14:textId="076C6BE2"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Load is a general term referring to the demand or need for heating. It is also used to specifically refer to a standard amount of heating, as a function of outdoor temperature, which is used to evaluate and compare heaters.</w:t>
            </w:r>
          </w:p>
        </w:tc>
      </w:tr>
      <w:tr w:rsidR="00C45054" w:rsidRPr="00A94043" w14:paraId="45E80202" w14:textId="77777777" w:rsidTr="5825CB59">
        <w:tc>
          <w:tcPr>
            <w:tcW w:w="2622" w:type="dxa"/>
            <w:shd w:val="clear" w:color="auto" w:fill="auto"/>
          </w:tcPr>
          <w:p w14:paraId="77219861" w14:textId="65737931" w:rsidR="00C45054" w:rsidRPr="000C2245" w:rsidRDefault="00A021A9" w:rsidP="00D90977">
            <w:pPr>
              <w:pStyle w:val="NoSpacing"/>
              <w:numPr>
                <w:ilvl w:val="0"/>
                <w:numId w:val="18"/>
              </w:numPr>
              <w:rPr>
                <w:rFonts w:asciiTheme="minorHAnsi" w:hAnsiTheme="minorHAnsi" w:cstheme="minorHAnsi"/>
                <w:szCs w:val="22"/>
              </w:rPr>
            </w:pPr>
            <w:r w:rsidRPr="000C2245">
              <w:rPr>
                <w:rFonts w:asciiTheme="minorHAnsi" w:hAnsiTheme="minorHAnsi" w:cstheme="minorHAnsi"/>
                <w:szCs w:val="22"/>
              </w:rPr>
              <w:t>Full load, or full-load operation</w:t>
            </w:r>
          </w:p>
        </w:tc>
        <w:tc>
          <w:tcPr>
            <w:tcW w:w="6994" w:type="dxa"/>
            <w:shd w:val="clear" w:color="auto" w:fill="auto"/>
          </w:tcPr>
          <w:p w14:paraId="5EDFAC76" w14:textId="41596C8C"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Full load, or full-load operation, typically refers to when a heater is operating at its maximum output. For air conditioners, at low temperatures, full load is not the maximum if the product also has an extended-load operation.</w:t>
            </w:r>
          </w:p>
        </w:tc>
      </w:tr>
      <w:tr w:rsidR="00C45054" w:rsidRPr="00A94043" w14:paraId="3BC9ADE0" w14:textId="77777777" w:rsidTr="5825CB59">
        <w:tc>
          <w:tcPr>
            <w:tcW w:w="2622" w:type="dxa"/>
            <w:shd w:val="clear" w:color="auto" w:fill="auto"/>
          </w:tcPr>
          <w:p w14:paraId="09235E00" w14:textId="19FD4091" w:rsidR="00C45054" w:rsidRPr="000C2245" w:rsidRDefault="00A021A9" w:rsidP="00D90977">
            <w:pPr>
              <w:pStyle w:val="NoSpacing"/>
              <w:numPr>
                <w:ilvl w:val="0"/>
                <w:numId w:val="18"/>
              </w:numPr>
              <w:rPr>
                <w:rFonts w:asciiTheme="minorHAnsi" w:hAnsiTheme="minorHAnsi" w:cstheme="minorHAnsi"/>
                <w:szCs w:val="22"/>
              </w:rPr>
            </w:pPr>
            <w:r w:rsidRPr="000C2245">
              <w:rPr>
                <w:rFonts w:asciiTheme="minorHAnsi" w:hAnsiTheme="minorHAnsi" w:cstheme="minorHAnsi"/>
                <w:szCs w:val="22"/>
              </w:rPr>
              <w:t>Partial load, or part-load operation</w:t>
            </w:r>
          </w:p>
        </w:tc>
        <w:tc>
          <w:tcPr>
            <w:tcW w:w="6994" w:type="dxa"/>
            <w:shd w:val="clear" w:color="auto" w:fill="auto"/>
          </w:tcPr>
          <w:p w14:paraId="2CD9D4E9" w14:textId="497C3044"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Partial load, or part-load operation, typically refers to when a heater is operating at less than its maximum output, such as when it is switched to a lower setting, or the gas consumption rate is reduced.</w:t>
            </w:r>
          </w:p>
        </w:tc>
      </w:tr>
      <w:tr w:rsidR="00C45054" w:rsidRPr="00A94043" w14:paraId="31EB6CB7" w14:textId="77777777" w:rsidTr="5825CB59">
        <w:tc>
          <w:tcPr>
            <w:tcW w:w="2622" w:type="dxa"/>
            <w:shd w:val="clear" w:color="auto" w:fill="auto"/>
          </w:tcPr>
          <w:p w14:paraId="7AD6466E" w14:textId="23A2C681" w:rsidR="00C45054" w:rsidRPr="000C2245" w:rsidRDefault="00A021A9" w:rsidP="00D90977">
            <w:pPr>
              <w:pStyle w:val="NoSpacing"/>
              <w:numPr>
                <w:ilvl w:val="0"/>
                <w:numId w:val="18"/>
              </w:numPr>
              <w:rPr>
                <w:rFonts w:asciiTheme="minorHAnsi" w:hAnsiTheme="minorHAnsi" w:cstheme="minorHAnsi"/>
                <w:szCs w:val="22"/>
              </w:rPr>
            </w:pPr>
            <w:r w:rsidRPr="000C2245">
              <w:rPr>
                <w:rFonts w:asciiTheme="minorHAnsi" w:hAnsiTheme="minorHAnsi" w:cstheme="minorHAnsi"/>
                <w:szCs w:val="22"/>
              </w:rPr>
              <w:t>Extended load, extended-load operation</w:t>
            </w:r>
          </w:p>
        </w:tc>
        <w:tc>
          <w:tcPr>
            <w:tcW w:w="6994" w:type="dxa"/>
            <w:shd w:val="clear" w:color="auto" w:fill="auto"/>
          </w:tcPr>
          <w:p w14:paraId="0958E239" w14:textId="019F1E75"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Air conditioners may have an extended-load operation, which is typically only available at lower outdoor temperatures, and enable the air conditioner to supply more heat than its full-load operation.</w:t>
            </w:r>
          </w:p>
        </w:tc>
      </w:tr>
      <w:tr w:rsidR="00C45054" w:rsidRPr="00A94043" w14:paraId="4A5C4848" w14:textId="77777777" w:rsidTr="5825CB59">
        <w:tc>
          <w:tcPr>
            <w:tcW w:w="2622" w:type="dxa"/>
            <w:shd w:val="clear" w:color="auto" w:fill="auto"/>
          </w:tcPr>
          <w:p w14:paraId="1E5DF6BC"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Make-up heat</w:t>
            </w:r>
          </w:p>
        </w:tc>
        <w:tc>
          <w:tcPr>
            <w:tcW w:w="6994" w:type="dxa"/>
            <w:shd w:val="clear" w:color="auto" w:fill="auto"/>
          </w:tcPr>
          <w:p w14:paraId="15CF3CCD"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Additional heating required above the maximum capacity of the heater.</w:t>
            </w:r>
          </w:p>
        </w:tc>
      </w:tr>
      <w:tr w:rsidR="00C45054" w:rsidRPr="00A94043" w14:paraId="25F5778D" w14:textId="77777777" w:rsidTr="5825CB59">
        <w:tc>
          <w:tcPr>
            <w:tcW w:w="2622" w:type="dxa"/>
            <w:shd w:val="clear" w:color="auto" w:fill="auto"/>
          </w:tcPr>
          <w:p w14:paraId="514DDAC1"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MEPS</w:t>
            </w:r>
          </w:p>
        </w:tc>
        <w:tc>
          <w:tcPr>
            <w:tcW w:w="6994" w:type="dxa"/>
            <w:shd w:val="clear" w:color="auto" w:fill="auto"/>
          </w:tcPr>
          <w:p w14:paraId="32CE0DD5"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Minimum Energy Performance Standard.</w:t>
            </w:r>
          </w:p>
        </w:tc>
      </w:tr>
      <w:tr w:rsidR="00C45054" w:rsidRPr="00A94043" w14:paraId="403B0DF8" w14:textId="77777777" w:rsidTr="5825CB59">
        <w:tc>
          <w:tcPr>
            <w:tcW w:w="2622" w:type="dxa"/>
            <w:shd w:val="clear" w:color="auto" w:fill="auto"/>
          </w:tcPr>
          <w:p w14:paraId="389E0294" w14:textId="1C9F82F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 xml:space="preserve">Nominal </w:t>
            </w:r>
            <w:r w:rsidR="00CA6389" w:rsidRPr="000C2245">
              <w:rPr>
                <w:rFonts w:asciiTheme="minorHAnsi" w:hAnsiTheme="minorHAnsi" w:cstheme="minorHAnsi"/>
                <w:szCs w:val="22"/>
              </w:rPr>
              <w:t>g</w:t>
            </w:r>
            <w:r w:rsidRPr="000C2245">
              <w:rPr>
                <w:rFonts w:asciiTheme="minorHAnsi" w:hAnsiTheme="minorHAnsi" w:cstheme="minorHAnsi"/>
                <w:szCs w:val="22"/>
              </w:rPr>
              <w:t xml:space="preserve">as </w:t>
            </w:r>
            <w:r w:rsidR="00CA6389" w:rsidRPr="000C2245">
              <w:rPr>
                <w:rFonts w:asciiTheme="minorHAnsi" w:hAnsiTheme="minorHAnsi" w:cstheme="minorHAnsi"/>
                <w:szCs w:val="22"/>
              </w:rPr>
              <w:t>c</w:t>
            </w:r>
            <w:r w:rsidRPr="000C2245">
              <w:rPr>
                <w:rFonts w:asciiTheme="minorHAnsi" w:hAnsiTheme="minorHAnsi" w:cstheme="minorHAnsi"/>
                <w:szCs w:val="22"/>
              </w:rPr>
              <w:t>onsumption (MJ/h), NGC</w:t>
            </w:r>
          </w:p>
        </w:tc>
        <w:tc>
          <w:tcPr>
            <w:tcW w:w="6994" w:type="dxa"/>
            <w:shd w:val="clear" w:color="auto" w:fill="auto"/>
          </w:tcPr>
          <w:p w14:paraId="20D5AC2D"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The appliance’s gas consumption, in megajoules per hour (MJ/h), as stated in the manufacturer’s specifications, instructions, in general communications and on the appliance.</w:t>
            </w:r>
          </w:p>
        </w:tc>
      </w:tr>
      <w:tr w:rsidR="00C45054" w:rsidRPr="00A94043" w14:paraId="10EC1FB6" w14:textId="77777777" w:rsidTr="5825CB59">
        <w:tc>
          <w:tcPr>
            <w:tcW w:w="2622" w:type="dxa"/>
            <w:shd w:val="clear" w:color="auto" w:fill="auto"/>
          </w:tcPr>
          <w:p w14:paraId="3493B1D8"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Operating range</w:t>
            </w:r>
          </w:p>
        </w:tc>
        <w:tc>
          <w:tcPr>
            <w:tcW w:w="6994" w:type="dxa"/>
            <w:shd w:val="clear" w:color="auto" w:fill="auto"/>
          </w:tcPr>
          <w:p w14:paraId="211A81A3"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A general term referring to the range of external and/or internal variables across which the product is able to operate, such as outdoor temperature, compressor speed, gas setting (e.g. minimum through to maximum).</w:t>
            </w:r>
          </w:p>
        </w:tc>
      </w:tr>
      <w:tr w:rsidR="00C45054" w:rsidRPr="00A94043" w14:paraId="635F2C28" w14:textId="77777777" w:rsidTr="5825CB59">
        <w:tc>
          <w:tcPr>
            <w:tcW w:w="2622" w:type="dxa"/>
            <w:shd w:val="clear" w:color="auto" w:fill="auto"/>
          </w:tcPr>
          <w:p w14:paraId="134A2619" w14:textId="2E6FEC43" w:rsidR="00C45054" w:rsidRPr="000C2245" w:rsidRDefault="00C45054" w:rsidP="00C45054">
            <w:pPr>
              <w:pStyle w:val="NoSpacing"/>
              <w:rPr>
                <w:rFonts w:asciiTheme="minorHAnsi" w:hAnsiTheme="minorHAnsi" w:cstheme="minorHAnsi"/>
                <w:szCs w:val="22"/>
              </w:rPr>
            </w:pPr>
            <w:r w:rsidRPr="000C2245">
              <w:t>Portable</w:t>
            </w:r>
            <w:r w:rsidR="00D9116B" w:rsidRPr="000C2245">
              <w:t xml:space="preserve"> </w:t>
            </w:r>
            <w:r w:rsidRPr="000C2245">
              <w:t>heaters</w:t>
            </w:r>
          </w:p>
        </w:tc>
        <w:tc>
          <w:tcPr>
            <w:tcW w:w="6994" w:type="dxa"/>
            <w:shd w:val="clear" w:color="auto" w:fill="auto"/>
          </w:tcPr>
          <w:p w14:paraId="1EA446A1" w14:textId="16C798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 xml:space="preserve">Heaters which are portable, able to be moved from room to room, or put away in storage when the heating season ends, and therefore unlikely to use inactive (standby) energy during the cooling season. </w:t>
            </w:r>
          </w:p>
        </w:tc>
      </w:tr>
      <w:tr w:rsidR="00C45054" w:rsidRPr="00A94043" w14:paraId="3C21EBF0" w14:textId="77777777" w:rsidTr="5825CB59">
        <w:tc>
          <w:tcPr>
            <w:tcW w:w="2622" w:type="dxa"/>
            <w:shd w:val="clear" w:color="auto" w:fill="auto"/>
          </w:tcPr>
          <w:p w14:paraId="5FE24703"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 xml:space="preserve">Power input </w:t>
            </w:r>
          </w:p>
        </w:tc>
        <w:tc>
          <w:tcPr>
            <w:tcW w:w="6994" w:type="dxa"/>
            <w:shd w:val="clear" w:color="auto" w:fill="auto"/>
          </w:tcPr>
          <w:p w14:paraId="06CB30F5" w14:textId="4CCA0640"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Power input is a general term for the energy (electricity, gas or solid-fuel) consumed by a product. Power input also means more specifically the rated energy consumed based on testing to a specific standard (such as AS/NZS 3823.4.2:2014) at a specified temperature condition and load. For air conditioners, it most commonly refers to the value at7</w:t>
            </w:r>
            <w:r w:rsidRPr="000C2245">
              <w:rPr>
                <w:rFonts w:asciiTheme="minorHAnsi" w:eastAsia="Symbol" w:hAnsiTheme="minorHAnsi" w:cstheme="minorHAnsi"/>
                <w:szCs w:val="22"/>
              </w:rPr>
              <w:t>°</w:t>
            </w:r>
            <w:r w:rsidRPr="000C2245">
              <w:rPr>
                <w:rFonts w:asciiTheme="minorHAnsi" w:hAnsiTheme="minorHAnsi" w:cstheme="minorHAnsi"/>
                <w:szCs w:val="22"/>
              </w:rPr>
              <w:t>C outdoor temperature and full load.</w:t>
            </w:r>
          </w:p>
        </w:tc>
      </w:tr>
      <w:tr w:rsidR="00C45054" w:rsidRPr="00A94043" w14:paraId="4D5C9765" w14:textId="77777777" w:rsidTr="5825CB59">
        <w:tc>
          <w:tcPr>
            <w:tcW w:w="2622" w:type="dxa"/>
            <w:shd w:val="clear" w:color="auto" w:fill="auto"/>
          </w:tcPr>
          <w:p w14:paraId="7C653438"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Rated</w:t>
            </w:r>
          </w:p>
        </w:tc>
        <w:tc>
          <w:tcPr>
            <w:tcW w:w="6994" w:type="dxa"/>
            <w:shd w:val="clear" w:color="auto" w:fill="auto"/>
          </w:tcPr>
          <w:p w14:paraId="519146F9"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A rated value or amount is one that is claimed by the manufacturer and that is based on a tested value or amount.</w:t>
            </w:r>
          </w:p>
        </w:tc>
      </w:tr>
      <w:tr w:rsidR="00C45054" w:rsidRPr="00A94043" w14:paraId="6BCCFC3B" w14:textId="77777777" w:rsidTr="5825CB59">
        <w:tc>
          <w:tcPr>
            <w:tcW w:w="2622" w:type="dxa"/>
            <w:shd w:val="clear" w:color="auto" w:fill="auto"/>
          </w:tcPr>
          <w:p w14:paraId="196CDBEF"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TCSPF</w:t>
            </w:r>
          </w:p>
        </w:tc>
        <w:tc>
          <w:tcPr>
            <w:tcW w:w="6994" w:type="dxa"/>
            <w:shd w:val="clear" w:color="auto" w:fill="auto"/>
          </w:tcPr>
          <w:p w14:paraId="003E298F"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Total Cooling Seasonal Performance Factor.  This is the ratio of the total annual amount of heat that the equipment can remove from the conditioned space to the total annual amount of energy consumed by the equipment, including the active and inactive energy consumption.</w:t>
            </w:r>
          </w:p>
        </w:tc>
      </w:tr>
      <w:tr w:rsidR="00C45054" w:rsidRPr="00A94043" w14:paraId="47A7CF52" w14:textId="77777777" w:rsidTr="5825CB59">
        <w:tc>
          <w:tcPr>
            <w:tcW w:w="2622" w:type="dxa"/>
            <w:shd w:val="clear" w:color="auto" w:fill="auto"/>
          </w:tcPr>
          <w:p w14:paraId="31F566DC"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Thermal efficiency</w:t>
            </w:r>
          </w:p>
        </w:tc>
        <w:tc>
          <w:tcPr>
            <w:tcW w:w="6994" w:type="dxa"/>
            <w:shd w:val="clear" w:color="auto" w:fill="auto"/>
          </w:tcPr>
          <w:p w14:paraId="2E77DEB7" w14:textId="3649619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 xml:space="preserve">This can be used as a general term, and typically refers to the ratio of useful thermal output to energy input. It can also refer specifically to the combustion thermal efficiency, overall operating efficiency, or seasonal operating efficiency of an appliance. The combustion thermal efficiency of a gas appliance determined from the energy contents of the flue gas. This </w:t>
            </w:r>
            <w:r w:rsidRPr="000C2245">
              <w:rPr>
                <w:rFonts w:asciiTheme="minorHAnsi" w:hAnsiTheme="minorHAnsi" w:cstheme="minorHAnsi"/>
                <w:szCs w:val="22"/>
              </w:rPr>
              <w:lastRenderedPageBreak/>
              <w:t>calculation assumes that any energy not exiting via the flue gas is useful heating (thermal output). For ducted gas heaters an overall efficiency and seasonal efficiency are also determined to take into account appliance heat losses and standby energy consumption.</w:t>
            </w:r>
          </w:p>
        </w:tc>
      </w:tr>
      <w:tr w:rsidR="00C45054" w:rsidRPr="00A94043" w14:paraId="104DAABC" w14:textId="77777777" w:rsidTr="5825CB59">
        <w:tc>
          <w:tcPr>
            <w:tcW w:w="2622" w:type="dxa"/>
            <w:shd w:val="clear" w:color="auto" w:fill="auto"/>
          </w:tcPr>
          <w:p w14:paraId="0BC96983"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lastRenderedPageBreak/>
              <w:t>Thermal output (or output or heat output)</w:t>
            </w:r>
          </w:p>
        </w:tc>
        <w:tc>
          <w:tcPr>
            <w:tcW w:w="6994" w:type="dxa"/>
            <w:shd w:val="clear" w:color="auto" w:fill="auto"/>
          </w:tcPr>
          <w:p w14:paraId="48E18F92"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A general term referring to the heating, cooling and/or dehumidification provided by a product.</w:t>
            </w:r>
          </w:p>
        </w:tc>
      </w:tr>
      <w:tr w:rsidR="00C45054" w:rsidRPr="00A94043" w14:paraId="2977407B" w14:textId="77777777" w:rsidTr="5825CB59">
        <w:tc>
          <w:tcPr>
            <w:tcW w:w="2622" w:type="dxa"/>
            <w:shd w:val="clear" w:color="auto" w:fill="auto"/>
          </w:tcPr>
          <w:p w14:paraId="0E9BA7D8"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Thermal performance</w:t>
            </w:r>
          </w:p>
        </w:tc>
        <w:tc>
          <w:tcPr>
            <w:tcW w:w="6994" w:type="dxa"/>
            <w:shd w:val="clear" w:color="auto" w:fill="auto"/>
          </w:tcPr>
          <w:p w14:paraId="0482D021"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 xml:space="preserve">A general term referring to thermal (heating, cooling and/or dehumidification) performance metrics such as how much heating is provided (capacity), how efficiently it is delivered, and how much energy is consumed (power input). </w:t>
            </w:r>
          </w:p>
        </w:tc>
      </w:tr>
      <w:tr w:rsidR="00C45054" w:rsidRPr="00A94043" w14:paraId="512D4CBB" w14:textId="77777777" w:rsidTr="5825CB59">
        <w:tc>
          <w:tcPr>
            <w:tcW w:w="2622" w:type="dxa"/>
            <w:shd w:val="clear" w:color="auto" w:fill="auto"/>
          </w:tcPr>
          <w:p w14:paraId="5EF174E4"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THSPF</w:t>
            </w:r>
          </w:p>
        </w:tc>
        <w:tc>
          <w:tcPr>
            <w:tcW w:w="6994" w:type="dxa"/>
            <w:shd w:val="clear" w:color="auto" w:fill="auto"/>
          </w:tcPr>
          <w:p w14:paraId="701E303B" w14:textId="77777777"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Total Heating Seasonal Performance Factor.  This is the ratio of the total annual amount of heat that the equipment can deliver to the conditioned space to the total annual amount of energy consumed by the equipment, including the active and inactive energy consumption.</w:t>
            </w:r>
          </w:p>
        </w:tc>
      </w:tr>
      <w:tr w:rsidR="00C45054" w:rsidRPr="00A94043" w14:paraId="67F05901" w14:textId="77777777" w:rsidTr="5825CB59">
        <w:tc>
          <w:tcPr>
            <w:tcW w:w="2622" w:type="dxa"/>
            <w:shd w:val="clear" w:color="auto" w:fill="auto"/>
          </w:tcPr>
          <w:p w14:paraId="6638230B" w14:textId="7D5E9485" w:rsidR="00C45054" w:rsidRPr="000C2245" w:rsidRDefault="00C45054" w:rsidP="00C45054">
            <w:pPr>
              <w:pStyle w:val="NoSpacing"/>
              <w:rPr>
                <w:rFonts w:asciiTheme="minorHAnsi" w:hAnsiTheme="minorHAnsi" w:cstheme="minorHAnsi"/>
                <w:szCs w:val="22"/>
              </w:rPr>
            </w:pPr>
            <w:r w:rsidRPr="000C2245">
              <w:rPr>
                <w:rFonts w:cstheme="minorHAnsi"/>
              </w:rPr>
              <w:t xml:space="preserve">Weather </w:t>
            </w:r>
            <w:r w:rsidR="00CA6389" w:rsidRPr="000C2245">
              <w:rPr>
                <w:rFonts w:cstheme="minorHAnsi"/>
              </w:rPr>
              <w:t>d</w:t>
            </w:r>
            <w:r w:rsidRPr="000C2245">
              <w:rPr>
                <w:rFonts w:cstheme="minorHAnsi"/>
              </w:rPr>
              <w:t xml:space="preserve">ependent heaters </w:t>
            </w:r>
          </w:p>
        </w:tc>
        <w:tc>
          <w:tcPr>
            <w:tcW w:w="6994" w:type="dxa"/>
            <w:shd w:val="clear" w:color="auto" w:fill="auto"/>
          </w:tcPr>
          <w:p w14:paraId="12A53BB5" w14:textId="7620A673" w:rsidR="00C45054" w:rsidRPr="000C2245" w:rsidRDefault="00C45054" w:rsidP="00C45054">
            <w:pPr>
              <w:pStyle w:val="NoSpacing"/>
              <w:rPr>
                <w:rFonts w:cstheme="minorHAnsi"/>
              </w:rPr>
            </w:pPr>
            <w:r w:rsidRPr="000C2245">
              <w:rPr>
                <w:rFonts w:cstheme="minorHAnsi"/>
              </w:rPr>
              <w:t>Heaters whose capacity may vary significantly with weather conditions, such as outdoor temperature or solar radiation. Air conditioners and heat-pump hydronic heating systems are weather dependent heaters because their capacity may vary significantly with outdoor temperature, and solar-thermal hydronic heating systems also depend on solar radiation.</w:t>
            </w:r>
          </w:p>
        </w:tc>
      </w:tr>
      <w:tr w:rsidR="00C45054" w:rsidRPr="00A94043" w14:paraId="346E85D3" w14:textId="77777777" w:rsidTr="5825CB59">
        <w:tc>
          <w:tcPr>
            <w:tcW w:w="2622" w:type="dxa"/>
            <w:shd w:val="clear" w:color="auto" w:fill="auto"/>
          </w:tcPr>
          <w:p w14:paraId="3E6626E3" w14:textId="3074B943" w:rsidR="00C45054" w:rsidRPr="000C2245" w:rsidRDefault="00C45054" w:rsidP="00C45054">
            <w:pPr>
              <w:pStyle w:val="NoSpacing"/>
              <w:rPr>
                <w:rFonts w:asciiTheme="minorHAnsi" w:hAnsiTheme="minorHAnsi" w:cstheme="minorHAnsi"/>
                <w:szCs w:val="22"/>
              </w:rPr>
            </w:pPr>
            <w:r w:rsidRPr="000C2245">
              <w:rPr>
                <w:rFonts w:cstheme="minorHAnsi"/>
              </w:rPr>
              <w:t xml:space="preserve">Weather </w:t>
            </w:r>
            <w:r w:rsidR="00CA6389" w:rsidRPr="000C2245">
              <w:rPr>
                <w:rFonts w:cstheme="minorHAnsi"/>
              </w:rPr>
              <w:t>i</w:t>
            </w:r>
            <w:r w:rsidRPr="000C2245">
              <w:rPr>
                <w:rFonts w:cstheme="minorHAnsi"/>
              </w:rPr>
              <w:t xml:space="preserve">ndependent heaters </w:t>
            </w:r>
          </w:p>
        </w:tc>
        <w:tc>
          <w:tcPr>
            <w:tcW w:w="6994" w:type="dxa"/>
            <w:shd w:val="clear" w:color="auto" w:fill="auto"/>
          </w:tcPr>
          <w:p w14:paraId="6FEEBA50" w14:textId="261F9A0A" w:rsidR="00C45054" w:rsidRPr="000C2245" w:rsidRDefault="00C45054" w:rsidP="00C45054">
            <w:pPr>
              <w:pStyle w:val="NoSpacing"/>
              <w:rPr>
                <w:rFonts w:cstheme="minorHAnsi"/>
              </w:rPr>
            </w:pPr>
            <w:r w:rsidRPr="000C2245">
              <w:rPr>
                <w:rFonts w:cstheme="minorHAnsi"/>
              </w:rPr>
              <w:t>Heaters whose capacity does not vary significantly with weather conditions, such as outdoor temperature or solar radiation. Electric resistance, gas (ducted or non-ducted) and solid-fuel heaters are considered to be weather independent heaters for the purpose of the space heating comparison methodology.</w:t>
            </w:r>
          </w:p>
        </w:tc>
      </w:tr>
      <w:tr w:rsidR="00C45054" w:rsidRPr="00A94043" w14:paraId="109696E1" w14:textId="77777777" w:rsidTr="5825CB59">
        <w:tc>
          <w:tcPr>
            <w:tcW w:w="2622" w:type="dxa"/>
            <w:shd w:val="clear" w:color="auto" w:fill="auto"/>
          </w:tcPr>
          <w:p w14:paraId="7A443EE2" w14:textId="06AA944D" w:rsidR="00C45054" w:rsidRPr="000C2245" w:rsidRDefault="00C45054" w:rsidP="00C45054">
            <w:pPr>
              <w:pStyle w:val="NoSpacing"/>
              <w:rPr>
                <w:rFonts w:asciiTheme="minorHAnsi" w:hAnsiTheme="minorHAnsi" w:cstheme="minorHAnsi"/>
                <w:szCs w:val="22"/>
              </w:rPr>
            </w:pPr>
            <w:r w:rsidRPr="000C2245">
              <w:rPr>
                <w:rFonts w:asciiTheme="minorHAnsi" w:hAnsiTheme="minorHAnsi" w:cstheme="minorHAnsi"/>
                <w:szCs w:val="22"/>
              </w:rPr>
              <w:t>ZERL</w:t>
            </w:r>
          </w:p>
        </w:tc>
        <w:tc>
          <w:tcPr>
            <w:tcW w:w="6994" w:type="dxa"/>
            <w:shd w:val="clear" w:color="auto" w:fill="auto"/>
          </w:tcPr>
          <w:p w14:paraId="272D5159" w14:textId="608242D8" w:rsidR="00C45054" w:rsidRPr="000C2245" w:rsidRDefault="00C45054" w:rsidP="00C45054">
            <w:pPr>
              <w:pStyle w:val="NoSpacing"/>
              <w:rPr>
                <w:rFonts w:cstheme="minorHAnsi"/>
              </w:rPr>
            </w:pPr>
            <w:r w:rsidRPr="00720ADF">
              <w:rPr>
                <w:rFonts w:asciiTheme="minorHAnsi" w:hAnsiTheme="minorHAnsi" w:cstheme="minorHAnsi"/>
                <w:szCs w:val="22"/>
              </w:rPr>
              <w:t>Zoned Energy Rating Label for air-conditioners.  This provides a seasonal efficiency rating for three distinct climate zones — hot, average, and cold. The label displays performance information to help consumers select a product that is suitable for their climate zone. Ratings are up to a maximum of 10 stars for both heating and cooling.</w:t>
            </w:r>
          </w:p>
        </w:tc>
      </w:tr>
    </w:tbl>
    <w:p w14:paraId="51E5812B" w14:textId="77777777" w:rsidR="00A75EF8" w:rsidRPr="00A94043" w:rsidRDefault="00A75EF8" w:rsidP="00A75EF8"/>
    <w:p w14:paraId="26EECEA1" w14:textId="147AAA46" w:rsidR="00225247" w:rsidRPr="004F5C1E" w:rsidRDefault="00225247" w:rsidP="004F5C1E">
      <w:pPr>
        <w:pStyle w:val="Heading1"/>
      </w:pPr>
      <w:bookmarkStart w:id="83" w:name="_Ref158020762"/>
      <w:bookmarkStart w:id="84" w:name="_Ref158380329"/>
      <w:bookmarkStart w:id="85" w:name="_Toc175311930"/>
      <w:r w:rsidRPr="004F5C1E">
        <w:lastRenderedPageBreak/>
        <w:t xml:space="preserve">Appendix </w:t>
      </w:r>
      <w:r w:rsidR="00CA24FD" w:rsidRPr="004F5C1E">
        <w:t>2</w:t>
      </w:r>
      <w:r w:rsidRPr="004F5C1E">
        <w:t xml:space="preserve">:  </w:t>
      </w:r>
      <w:r w:rsidR="00E8431E" w:rsidRPr="004F5C1E">
        <w:t>Key Characteristics</w:t>
      </w:r>
      <w:r w:rsidRPr="004F5C1E">
        <w:t xml:space="preserve"> for </w:t>
      </w:r>
      <w:r w:rsidR="0046253F" w:rsidRPr="004F5C1E">
        <w:t xml:space="preserve">Each </w:t>
      </w:r>
      <w:r w:rsidRPr="004F5C1E">
        <w:t>Heater Type</w:t>
      </w:r>
      <w:bookmarkEnd w:id="83"/>
      <w:bookmarkEnd w:id="84"/>
      <w:bookmarkEnd w:id="85"/>
    </w:p>
    <w:p w14:paraId="5C8842FA" w14:textId="699F55DD" w:rsidR="0015223F" w:rsidRPr="00A94043" w:rsidRDefault="00480126" w:rsidP="00480126">
      <w:pPr>
        <w:pStyle w:val="NoSpacing"/>
        <w:rPr>
          <w:rFonts w:asciiTheme="minorHAnsi" w:hAnsiTheme="minorHAnsi" w:cstheme="minorHAnsi"/>
        </w:rPr>
      </w:pPr>
      <w:r w:rsidRPr="00A94043">
        <w:rPr>
          <w:rFonts w:asciiTheme="minorHAnsi" w:hAnsiTheme="minorHAnsi" w:cstheme="minorHAnsi"/>
        </w:rPr>
        <w:t xml:space="preserve">There are several inputs to the </w:t>
      </w:r>
      <w:r w:rsidR="00F325D4" w:rsidRPr="00A94043">
        <w:rPr>
          <w:rFonts w:asciiTheme="minorHAnsi" w:hAnsiTheme="minorHAnsi" w:cstheme="minorHAnsi"/>
        </w:rPr>
        <w:t>comparison</w:t>
      </w:r>
      <w:r w:rsidRPr="00A94043">
        <w:rPr>
          <w:rFonts w:asciiTheme="minorHAnsi" w:hAnsiTheme="minorHAnsi" w:cstheme="minorHAnsi"/>
        </w:rPr>
        <w:t xml:space="preserve"> methodology</w:t>
      </w:r>
      <w:r w:rsidR="00E8431E" w:rsidRPr="00A94043">
        <w:rPr>
          <w:rFonts w:asciiTheme="minorHAnsi" w:hAnsiTheme="minorHAnsi" w:cstheme="minorHAnsi"/>
        </w:rPr>
        <w:t xml:space="preserve"> which describe the key characteristics of each </w:t>
      </w:r>
      <w:r w:rsidRPr="00A94043">
        <w:rPr>
          <w:rFonts w:asciiTheme="minorHAnsi" w:hAnsiTheme="minorHAnsi" w:cstheme="minorHAnsi"/>
        </w:rPr>
        <w:t>heater type. An overview of the sources of inputs for each heater type is provided below.</w:t>
      </w:r>
    </w:p>
    <w:p w14:paraId="4AEEDEBA" w14:textId="77777777" w:rsidR="00CF2F7D" w:rsidRPr="00A94043" w:rsidRDefault="00CF2F7D" w:rsidP="00480126">
      <w:pPr>
        <w:pStyle w:val="NoSpacing"/>
        <w:rPr>
          <w:rFonts w:asciiTheme="minorHAnsi" w:hAnsiTheme="minorHAnsi" w:cstheme="minorHAnsi"/>
        </w:rPr>
      </w:pPr>
    </w:p>
    <w:p w14:paraId="22DF96CE" w14:textId="14E722EA" w:rsidR="0015223F" w:rsidRPr="00A94043" w:rsidRDefault="0015223F" w:rsidP="00480126">
      <w:pPr>
        <w:pStyle w:val="NoSpacing"/>
        <w:rPr>
          <w:rFonts w:asciiTheme="minorHAnsi" w:hAnsiTheme="minorHAnsi" w:cstheme="minorHAnsi"/>
        </w:rPr>
      </w:pPr>
      <w:r w:rsidRPr="00A94043">
        <w:rPr>
          <w:rFonts w:asciiTheme="minorHAnsi" w:hAnsiTheme="minorHAnsi" w:cstheme="minorHAnsi"/>
        </w:rPr>
        <w:t>For any heater type only two of capacity, power input and efficiency need be defined as the third value can be calculated from the other two, i.e. efficiency = heating capacity/power input.</w:t>
      </w:r>
    </w:p>
    <w:p w14:paraId="6E785E70" w14:textId="77777777" w:rsidR="00480126" w:rsidRPr="00A94043" w:rsidRDefault="00480126" w:rsidP="00480126">
      <w:pPr>
        <w:pStyle w:val="NoSpacing"/>
        <w:rPr>
          <w:rFonts w:asciiTheme="minorHAnsi" w:hAnsiTheme="minorHAnsi" w:cstheme="minorHAnsi"/>
        </w:rPr>
      </w:pPr>
    </w:p>
    <w:p w14:paraId="1B0044F1" w14:textId="516ECE3C" w:rsidR="00480126" w:rsidRPr="00A94043" w:rsidRDefault="007426D0" w:rsidP="00CF2F7D">
      <w:pPr>
        <w:pStyle w:val="Heading3"/>
      </w:pPr>
      <w:bookmarkStart w:id="86" w:name="_Toc175311931"/>
      <w:r w:rsidRPr="00A94043">
        <w:t>G</w:t>
      </w:r>
      <w:r w:rsidR="00480126" w:rsidRPr="00A94043">
        <w:t xml:space="preserve">as </w:t>
      </w:r>
      <w:r w:rsidRPr="00A94043">
        <w:t xml:space="preserve">space </w:t>
      </w:r>
      <w:r w:rsidR="00480126" w:rsidRPr="00A94043">
        <w:t>heaters</w:t>
      </w:r>
      <w:r w:rsidRPr="00A94043">
        <w:t xml:space="preserve"> (non-ducted)</w:t>
      </w:r>
      <w:r w:rsidR="007F5B78" w:rsidRPr="00A94043">
        <w:t xml:space="preserve"> and gas decorative appliances</w:t>
      </w:r>
      <w:bookmarkEnd w:id="86"/>
    </w:p>
    <w:p w14:paraId="675059C6" w14:textId="4EDB9CCD" w:rsidR="007F5B78" w:rsidRPr="00A94043" w:rsidRDefault="00614550" w:rsidP="00480126">
      <w:pPr>
        <w:pStyle w:val="NoSpacing"/>
      </w:pPr>
      <w:r>
        <w:t xml:space="preserve">Based on TWG consultations, it is proposed </w:t>
      </w:r>
      <w:r w:rsidR="007F5B78" w:rsidRPr="00A94043">
        <w:t>that if gas decorative appliances are included in the scope of this methodology, then they should be evaluated using the test standards for gas space heaters (non-ducted).</w:t>
      </w:r>
    </w:p>
    <w:p w14:paraId="661D6587" w14:textId="77777777" w:rsidR="007F5B78" w:rsidRPr="00A94043" w:rsidRDefault="007F5B78" w:rsidP="00480126">
      <w:pPr>
        <w:pStyle w:val="NoSpacing"/>
        <w:rPr>
          <w:b/>
          <w:bCs/>
        </w:rPr>
      </w:pPr>
    </w:p>
    <w:p w14:paraId="74619548" w14:textId="763566C9" w:rsidR="00480126" w:rsidRPr="00A94043" w:rsidRDefault="00480126" w:rsidP="00480126">
      <w:pPr>
        <w:pStyle w:val="NoSpacing"/>
      </w:pPr>
      <w:r w:rsidRPr="00A94043">
        <w:rPr>
          <w:b/>
          <w:bCs/>
        </w:rPr>
        <w:t>Heating Capacity</w:t>
      </w:r>
      <w:r w:rsidRPr="00A94043">
        <w:t xml:space="preserve"> - Maximum heat output measured</w:t>
      </w:r>
      <w:r w:rsidR="008D5753" w:rsidRPr="00A94043">
        <w:t xml:space="preserve"> at</w:t>
      </w:r>
      <w:r w:rsidRPr="00A94043">
        <w:t xml:space="preserve"> maximum gas rate as per AS/NZS 5263.1.3</w:t>
      </w:r>
    </w:p>
    <w:p w14:paraId="5EA8F326" w14:textId="77777777" w:rsidR="00480126" w:rsidRPr="00A94043" w:rsidRDefault="00480126" w:rsidP="00480126">
      <w:pPr>
        <w:pStyle w:val="NoSpacing"/>
      </w:pPr>
    </w:p>
    <w:p w14:paraId="1284ECB9" w14:textId="77777777" w:rsidR="00480126" w:rsidRPr="00A94043" w:rsidRDefault="00480126" w:rsidP="00480126">
      <w:pPr>
        <w:pStyle w:val="NoSpacing"/>
      </w:pPr>
      <w:r w:rsidRPr="00A94043">
        <w:rPr>
          <w:b/>
          <w:bCs/>
        </w:rPr>
        <w:t>Power Input</w:t>
      </w:r>
      <w:r w:rsidRPr="00A94043">
        <w:t xml:space="preserve"> - Maximum gas and electricity input (power input) measured at the maximum gas rate as per AS/NZS 5263.1.3</w:t>
      </w:r>
    </w:p>
    <w:p w14:paraId="107A289C" w14:textId="77777777" w:rsidR="00480126" w:rsidRPr="00A94043" w:rsidRDefault="00480126" w:rsidP="00480126">
      <w:pPr>
        <w:pStyle w:val="NoSpacing"/>
      </w:pPr>
    </w:p>
    <w:p w14:paraId="3974B360" w14:textId="010F580C" w:rsidR="00480126" w:rsidRPr="00A94043" w:rsidRDefault="00480126" w:rsidP="00480126">
      <w:pPr>
        <w:pStyle w:val="NoSpacing"/>
      </w:pPr>
      <w:r w:rsidRPr="00A94043">
        <w:rPr>
          <w:b/>
          <w:bCs/>
        </w:rPr>
        <w:t>Efficiency</w:t>
      </w:r>
      <w:r w:rsidRPr="00A94043">
        <w:t xml:space="preserve"> - Efficiency = Heating Capacity / Power Input.  </w:t>
      </w:r>
    </w:p>
    <w:p w14:paraId="4D124763" w14:textId="77777777" w:rsidR="00480126" w:rsidRPr="00A94043" w:rsidRDefault="00480126" w:rsidP="00480126">
      <w:pPr>
        <w:pStyle w:val="NoSpacing"/>
      </w:pPr>
    </w:p>
    <w:p w14:paraId="51496ED1" w14:textId="77777777" w:rsidR="00480126" w:rsidRPr="00A94043" w:rsidRDefault="00480126" w:rsidP="00480126">
      <w:pPr>
        <w:pStyle w:val="NoSpacing"/>
      </w:pPr>
      <w:r w:rsidRPr="00A94043">
        <w:rPr>
          <w:b/>
          <w:bCs/>
        </w:rPr>
        <w:t>Multiple Capacities</w:t>
      </w:r>
      <w:r w:rsidRPr="00A94043">
        <w:t xml:space="preserve"> - Evaluation at maximum and minimum (turndown) gas rates, as per AS/NZS 5263.1.3</w:t>
      </w:r>
    </w:p>
    <w:p w14:paraId="092D1734" w14:textId="77777777" w:rsidR="00480126" w:rsidRPr="00A94043" w:rsidRDefault="00480126" w:rsidP="00480126">
      <w:pPr>
        <w:pStyle w:val="NoSpacing"/>
      </w:pPr>
    </w:p>
    <w:p w14:paraId="21DFE01D" w14:textId="77777777" w:rsidR="00480126" w:rsidRPr="00A94043" w:rsidRDefault="00480126" w:rsidP="00480126">
      <w:pPr>
        <w:pStyle w:val="NoSpacing"/>
      </w:pPr>
      <w:r w:rsidRPr="00A94043">
        <w:rPr>
          <w:b/>
          <w:bCs/>
        </w:rPr>
        <w:t>Inactive/Standby Power</w:t>
      </w:r>
      <w:r w:rsidRPr="00A94043">
        <w:t xml:space="preserve"> - Standby gas and electricity input from AS/NZS 5263.1.3</w:t>
      </w:r>
    </w:p>
    <w:p w14:paraId="24A5712F" w14:textId="77777777" w:rsidR="00480126" w:rsidRPr="00A94043" w:rsidRDefault="00480126" w:rsidP="00480126">
      <w:pPr>
        <w:pStyle w:val="NoSpacing"/>
      </w:pPr>
    </w:p>
    <w:p w14:paraId="79F3D7D6" w14:textId="49CA0036" w:rsidR="00480126" w:rsidRPr="00A94043" w:rsidRDefault="00480126" w:rsidP="00480126">
      <w:pPr>
        <w:pStyle w:val="NoSpacing"/>
      </w:pPr>
      <w:r w:rsidRPr="00A94043">
        <w:rPr>
          <w:b/>
          <w:bCs/>
        </w:rPr>
        <w:t>Product sub-type and controls</w:t>
      </w:r>
      <w:r w:rsidRPr="00A94043">
        <w:t xml:space="preserve"> – </w:t>
      </w:r>
      <w:r w:rsidR="007F5B78" w:rsidRPr="00A94043">
        <w:t>Number of settings, with or without thermostatic control, as declared by manufacturer</w:t>
      </w:r>
      <w:r w:rsidR="00CF2F7D" w:rsidRPr="00A94043">
        <w:t>, and supported by AS/NZS 5263.1.3 test report</w:t>
      </w:r>
      <w:r w:rsidR="007F5B78" w:rsidRPr="00A94043">
        <w:t>.</w:t>
      </w:r>
    </w:p>
    <w:p w14:paraId="74EB8093" w14:textId="273F6806" w:rsidR="008D5753" w:rsidRPr="00A94043" w:rsidRDefault="008D5753" w:rsidP="00480126">
      <w:pPr>
        <w:pStyle w:val="NoSpacing"/>
        <w:rPr>
          <w:rFonts w:asciiTheme="minorHAnsi" w:hAnsiTheme="minorHAnsi" w:cstheme="minorHAnsi"/>
        </w:rPr>
      </w:pPr>
    </w:p>
    <w:p w14:paraId="035AB09F" w14:textId="5C8A7C36" w:rsidR="00C63626" w:rsidRPr="00A94043" w:rsidRDefault="00C63626" w:rsidP="00480126">
      <w:pPr>
        <w:pStyle w:val="NoSpacing"/>
        <w:rPr>
          <w:rFonts w:asciiTheme="minorHAnsi" w:hAnsiTheme="minorHAnsi" w:cstheme="minorHAnsi"/>
        </w:rPr>
      </w:pPr>
      <w:r w:rsidRPr="00A94043">
        <w:rPr>
          <w:rFonts w:asciiTheme="minorHAnsi" w:hAnsiTheme="minorHAnsi" w:cstheme="minorHAnsi"/>
          <w:b/>
          <w:bCs/>
        </w:rPr>
        <w:t>HSEC Calculation method:</w:t>
      </w:r>
      <w:r w:rsidRPr="00A94043">
        <w:rPr>
          <w:rFonts w:asciiTheme="minorHAnsi" w:hAnsiTheme="minorHAnsi" w:cstheme="minorHAnsi"/>
        </w:rPr>
        <w:t xml:space="preserve"> 1, 2, 3 or 4.</w:t>
      </w:r>
    </w:p>
    <w:p w14:paraId="28932024" w14:textId="77777777" w:rsidR="00365FE8" w:rsidRPr="00A94043" w:rsidRDefault="00365FE8" w:rsidP="00480126">
      <w:pPr>
        <w:pStyle w:val="NoSpacing"/>
        <w:rPr>
          <w:rFonts w:asciiTheme="minorHAnsi" w:hAnsiTheme="minorHAnsi" w:cstheme="minorHAnsi"/>
        </w:rPr>
      </w:pPr>
    </w:p>
    <w:p w14:paraId="5C7C6F9A" w14:textId="15591A07" w:rsidR="00480126" w:rsidRPr="00A94043" w:rsidRDefault="00480126" w:rsidP="00A76AB9">
      <w:pPr>
        <w:pStyle w:val="Heading3"/>
      </w:pPr>
      <w:bookmarkStart w:id="87" w:name="_Toc175311932"/>
      <w:r w:rsidRPr="00A94043">
        <w:t>Reverse cycle air conditioners (heat pumps)</w:t>
      </w:r>
      <w:r w:rsidR="00AF2B8C" w:rsidRPr="00A94043">
        <w:t>, both non-ducted and ducted</w:t>
      </w:r>
      <w:bookmarkEnd w:id="87"/>
    </w:p>
    <w:p w14:paraId="2CD24116" w14:textId="3D60FEF6" w:rsidR="00480126" w:rsidRPr="00A94043" w:rsidRDefault="00480126" w:rsidP="00480126">
      <w:pPr>
        <w:pStyle w:val="NoSpacing"/>
      </w:pPr>
      <w:r w:rsidRPr="00A94043">
        <w:rPr>
          <w:b/>
          <w:bCs/>
        </w:rPr>
        <w:t>Heating Capacity</w:t>
      </w:r>
      <w:r w:rsidRPr="00A94043">
        <w:t xml:space="preserve"> - Measured at 7</w:t>
      </w:r>
      <w:r w:rsidRPr="00A94043">
        <w:rPr>
          <w:rFonts w:ascii="Cambria Math" w:hAnsi="Cambria Math" w:cs="Cambria Math"/>
        </w:rPr>
        <w:t>℃</w:t>
      </w:r>
      <w:r w:rsidRPr="00A94043">
        <w:t xml:space="preserve"> and 2</w:t>
      </w:r>
      <w:r w:rsidRPr="00A94043">
        <w:rPr>
          <w:rFonts w:ascii="Cambria Math" w:hAnsi="Cambria Math" w:cs="Cambria Math"/>
        </w:rPr>
        <w:t>℃</w:t>
      </w:r>
      <w:r w:rsidRPr="00A94043">
        <w:t xml:space="preserve"> (and optionally at - 7</w:t>
      </w:r>
      <w:r w:rsidRPr="00A94043">
        <w:rPr>
          <w:rFonts w:ascii="Cambria Math" w:hAnsi="Cambria Math" w:cs="Cambria Math"/>
        </w:rPr>
        <w:t>℃</w:t>
      </w:r>
      <w:r w:rsidRPr="00A94043">
        <w:t xml:space="preserve">) outdoor temperatures as per the appropriate </w:t>
      </w:r>
      <w:r w:rsidR="00CF2F7D" w:rsidRPr="00A94043">
        <w:t>AS/NZS 3823.1</w:t>
      </w:r>
      <w:r w:rsidRPr="00A94043">
        <w:t xml:space="preserve"> test standard.</w:t>
      </w:r>
    </w:p>
    <w:p w14:paraId="1917B02D" w14:textId="77777777" w:rsidR="00480126" w:rsidRPr="00A94043" w:rsidRDefault="00480126" w:rsidP="00480126">
      <w:pPr>
        <w:pStyle w:val="NoSpacing"/>
      </w:pPr>
    </w:p>
    <w:p w14:paraId="3CCE7741" w14:textId="4BDD5932" w:rsidR="00480126" w:rsidRPr="00A94043" w:rsidRDefault="00480126" w:rsidP="00480126">
      <w:pPr>
        <w:pStyle w:val="NoSpacing"/>
      </w:pPr>
      <w:r w:rsidRPr="00A94043">
        <w:rPr>
          <w:b/>
          <w:bCs/>
        </w:rPr>
        <w:t>Power Input</w:t>
      </w:r>
      <w:r w:rsidRPr="00A94043">
        <w:t xml:space="preserve"> - Measured at 7</w:t>
      </w:r>
      <w:r w:rsidRPr="00A94043">
        <w:rPr>
          <w:rFonts w:ascii="Cambria Math" w:hAnsi="Cambria Math" w:cs="Cambria Math"/>
        </w:rPr>
        <w:t>℃</w:t>
      </w:r>
      <w:r w:rsidRPr="00A94043">
        <w:t xml:space="preserve"> and 2</w:t>
      </w:r>
      <w:r w:rsidRPr="00A94043">
        <w:rPr>
          <w:rFonts w:ascii="Cambria Math" w:hAnsi="Cambria Math" w:cs="Cambria Math"/>
        </w:rPr>
        <w:t>℃</w:t>
      </w:r>
      <w:r w:rsidRPr="00A94043">
        <w:t xml:space="preserve"> (and optionally at -</w:t>
      </w:r>
      <w:r w:rsidRPr="00A94043">
        <w:rPr>
          <w:rFonts w:cs="Calibri"/>
        </w:rPr>
        <w:t> </w:t>
      </w:r>
      <w:r w:rsidRPr="00A94043">
        <w:t>7</w:t>
      </w:r>
      <w:r w:rsidRPr="00A94043">
        <w:rPr>
          <w:rFonts w:ascii="Cambria Math" w:hAnsi="Cambria Math" w:cs="Cambria Math"/>
        </w:rPr>
        <w:t>℃</w:t>
      </w:r>
      <w:r w:rsidRPr="00A94043">
        <w:t xml:space="preserve">) as per the appropriate </w:t>
      </w:r>
      <w:r w:rsidR="00CF2F7D" w:rsidRPr="00A94043">
        <w:t>AS/NZS 3823.1</w:t>
      </w:r>
      <w:r w:rsidRPr="00A94043">
        <w:t xml:space="preserve"> test standard.</w:t>
      </w:r>
    </w:p>
    <w:p w14:paraId="57C1C856" w14:textId="77777777" w:rsidR="00480126" w:rsidRPr="00A94043" w:rsidRDefault="00480126" w:rsidP="00480126">
      <w:pPr>
        <w:pStyle w:val="NoSpacing"/>
      </w:pPr>
    </w:p>
    <w:p w14:paraId="402F6F46" w14:textId="44B1688D" w:rsidR="00480126" w:rsidRPr="00A94043" w:rsidRDefault="00480126" w:rsidP="00480126">
      <w:pPr>
        <w:pStyle w:val="NoSpacing"/>
      </w:pPr>
      <w:r w:rsidRPr="00A94043">
        <w:rPr>
          <w:b/>
          <w:bCs/>
        </w:rPr>
        <w:t>Efficiency</w:t>
      </w:r>
      <w:r w:rsidRPr="00A94043">
        <w:t xml:space="preserve"> - Efficiency = Heating Capacity / Power Input.  </w:t>
      </w:r>
    </w:p>
    <w:p w14:paraId="76CC96B6" w14:textId="77777777" w:rsidR="00480126" w:rsidRPr="00A94043" w:rsidRDefault="00480126" w:rsidP="00480126">
      <w:pPr>
        <w:pStyle w:val="NoSpacing"/>
      </w:pPr>
    </w:p>
    <w:p w14:paraId="21BEAC7F" w14:textId="09713885" w:rsidR="00480126" w:rsidRPr="00A94043" w:rsidRDefault="00480126" w:rsidP="00480126">
      <w:pPr>
        <w:pStyle w:val="NoSpacing"/>
      </w:pPr>
      <w:r w:rsidRPr="00A94043">
        <w:rPr>
          <w:b/>
          <w:bCs/>
        </w:rPr>
        <w:t>Multiple Capacities</w:t>
      </w:r>
      <w:r w:rsidRPr="00A94043">
        <w:t xml:space="preserve"> - Evaluation at full, half, minimum and/or extended capacities, as per AS/NZS 3823.4.2 and appropriate </w:t>
      </w:r>
      <w:r w:rsidR="00CF2F7D" w:rsidRPr="00A94043">
        <w:t xml:space="preserve">AS/NZS 3823.1 </w:t>
      </w:r>
      <w:r w:rsidRPr="00A94043">
        <w:t>test standard.</w:t>
      </w:r>
    </w:p>
    <w:p w14:paraId="2AEC38AA" w14:textId="77777777" w:rsidR="00480126" w:rsidRPr="00A94043" w:rsidRDefault="00480126" w:rsidP="00480126">
      <w:pPr>
        <w:pStyle w:val="NoSpacing"/>
      </w:pPr>
    </w:p>
    <w:p w14:paraId="434691E6" w14:textId="77777777" w:rsidR="00480126" w:rsidRPr="00A94043" w:rsidRDefault="00480126" w:rsidP="00480126">
      <w:pPr>
        <w:pStyle w:val="NoSpacing"/>
      </w:pPr>
      <w:r w:rsidRPr="00A94043">
        <w:rPr>
          <w:b/>
          <w:bCs/>
        </w:rPr>
        <w:lastRenderedPageBreak/>
        <w:t>Inactive/Standby Power</w:t>
      </w:r>
      <w:r w:rsidRPr="00A94043">
        <w:t xml:space="preserve"> - Weighted average of measured results at 5</w:t>
      </w:r>
      <w:r w:rsidRPr="00A94043">
        <w:rPr>
          <w:rFonts w:ascii="Cambria Math" w:hAnsi="Cambria Math" w:cs="Cambria Math"/>
        </w:rPr>
        <w:t>℃</w:t>
      </w:r>
      <w:r w:rsidRPr="00A94043">
        <w:t>, 10</w:t>
      </w:r>
      <w:r w:rsidRPr="00A94043">
        <w:rPr>
          <w:rFonts w:ascii="Cambria Math" w:hAnsi="Cambria Math" w:cs="Cambria Math"/>
        </w:rPr>
        <w:t>℃</w:t>
      </w:r>
      <w:r w:rsidRPr="00A94043">
        <w:t>, 15</w:t>
      </w:r>
      <w:r w:rsidRPr="00A94043">
        <w:rPr>
          <w:rFonts w:ascii="Cambria Math" w:hAnsi="Cambria Math" w:cs="Cambria Math"/>
        </w:rPr>
        <w:t>℃</w:t>
      </w:r>
      <w:r w:rsidRPr="00A94043">
        <w:t xml:space="preserve"> and 20</w:t>
      </w:r>
      <w:r w:rsidRPr="00A94043">
        <w:rPr>
          <w:rFonts w:ascii="Cambria Math" w:hAnsi="Cambria Math" w:cs="Cambria Math"/>
        </w:rPr>
        <w:t>℃</w:t>
      </w:r>
      <w:r w:rsidRPr="00A94043">
        <w:t>, as per AS/NZS 3823.4.2.</w:t>
      </w:r>
    </w:p>
    <w:p w14:paraId="0557EA9E" w14:textId="77777777" w:rsidR="00480126" w:rsidRPr="00A94043" w:rsidRDefault="00480126" w:rsidP="00480126">
      <w:pPr>
        <w:pStyle w:val="NoSpacing"/>
      </w:pPr>
    </w:p>
    <w:p w14:paraId="18D05C82" w14:textId="5405D1C2" w:rsidR="00480126" w:rsidRPr="00A94043" w:rsidRDefault="00480126" w:rsidP="00480126">
      <w:pPr>
        <w:pStyle w:val="NoSpacing"/>
      </w:pPr>
      <w:r w:rsidRPr="00A94043">
        <w:rPr>
          <w:b/>
          <w:bCs/>
        </w:rPr>
        <w:t>Product sub-type and controls</w:t>
      </w:r>
      <w:r w:rsidRPr="00A94043">
        <w:t xml:space="preserve"> – </w:t>
      </w:r>
      <w:r w:rsidR="00CF2F7D" w:rsidRPr="00A94043">
        <w:t>Fixed, Two-setting, Multiple or Variable capacity as declared by manufacturer and supported by appropriate AS/NZS 3823.1 test standard report.</w:t>
      </w:r>
    </w:p>
    <w:p w14:paraId="14F9F045" w14:textId="77777777" w:rsidR="00C63626" w:rsidRPr="00A94043" w:rsidRDefault="00C63626" w:rsidP="00C63626">
      <w:pPr>
        <w:pStyle w:val="NoSpacing"/>
        <w:rPr>
          <w:rFonts w:asciiTheme="minorHAnsi" w:hAnsiTheme="minorHAnsi" w:cstheme="minorHAnsi"/>
          <w:b/>
          <w:bCs/>
        </w:rPr>
      </w:pPr>
    </w:p>
    <w:p w14:paraId="51201DB9" w14:textId="468D2F4F" w:rsidR="008D5753" w:rsidRPr="00A94043" w:rsidRDefault="00C63626" w:rsidP="00480126">
      <w:pPr>
        <w:pStyle w:val="NoSpacing"/>
        <w:rPr>
          <w:rFonts w:asciiTheme="minorHAnsi" w:hAnsiTheme="minorHAnsi" w:cstheme="minorHAnsi"/>
        </w:rPr>
      </w:pPr>
      <w:r w:rsidRPr="00A94043">
        <w:rPr>
          <w:rFonts w:asciiTheme="minorHAnsi" w:hAnsiTheme="minorHAnsi" w:cstheme="minorHAnsi"/>
          <w:b/>
          <w:bCs/>
        </w:rPr>
        <w:t>HSEC Calculation method:</w:t>
      </w:r>
      <w:r w:rsidRPr="00A94043">
        <w:rPr>
          <w:rFonts w:asciiTheme="minorHAnsi" w:hAnsiTheme="minorHAnsi" w:cstheme="minorHAnsi"/>
        </w:rPr>
        <w:t xml:space="preserve"> 3, 4, 5 or calculation including extended capacity, all of which are unchanged from the current ACCM.</w:t>
      </w:r>
    </w:p>
    <w:p w14:paraId="7EF7C4B3" w14:textId="77777777" w:rsidR="00DD2265" w:rsidRPr="00A94043" w:rsidRDefault="00DD2265" w:rsidP="00480126">
      <w:pPr>
        <w:pStyle w:val="NoSpacing"/>
      </w:pPr>
    </w:p>
    <w:p w14:paraId="52D5A535" w14:textId="209F281E" w:rsidR="00480126" w:rsidRPr="00A94043" w:rsidRDefault="00480126" w:rsidP="00A76AB9">
      <w:pPr>
        <w:pStyle w:val="Heading3"/>
      </w:pPr>
      <w:bookmarkStart w:id="88" w:name="_Toc175311933"/>
      <w:r w:rsidRPr="00A94043">
        <w:t>Electric resistance heaters (portable and fixed)</w:t>
      </w:r>
      <w:bookmarkEnd w:id="88"/>
    </w:p>
    <w:p w14:paraId="692FC754" w14:textId="77777777" w:rsidR="00480126" w:rsidRPr="00A94043" w:rsidRDefault="00480126" w:rsidP="00480126">
      <w:pPr>
        <w:pStyle w:val="NoSpacing"/>
      </w:pPr>
      <w:r w:rsidRPr="00A94043">
        <w:rPr>
          <w:b/>
          <w:bCs/>
        </w:rPr>
        <w:t>Heating Capacity</w:t>
      </w:r>
      <w:r w:rsidRPr="00A94043">
        <w:t xml:space="preserve"> - Heating Capacity = Power Input x Efficiency</w:t>
      </w:r>
    </w:p>
    <w:p w14:paraId="1556FF52" w14:textId="77777777" w:rsidR="00480126" w:rsidRPr="00A94043" w:rsidRDefault="00480126" w:rsidP="00480126">
      <w:pPr>
        <w:pStyle w:val="NoSpacing"/>
      </w:pPr>
    </w:p>
    <w:p w14:paraId="458DA67C" w14:textId="77777777" w:rsidR="00480126" w:rsidRPr="00A94043" w:rsidRDefault="00480126" w:rsidP="00480126">
      <w:pPr>
        <w:pStyle w:val="NoSpacing"/>
      </w:pPr>
      <w:r w:rsidRPr="00A94043">
        <w:rPr>
          <w:b/>
          <w:bCs/>
        </w:rPr>
        <w:t>Power Input</w:t>
      </w:r>
      <w:r w:rsidRPr="00A94043">
        <w:t xml:space="preserve"> - Nameplate input power as per AS/NZS 60335.1</w:t>
      </w:r>
    </w:p>
    <w:p w14:paraId="6638B7A4" w14:textId="77777777" w:rsidR="00480126" w:rsidRPr="00A94043" w:rsidRDefault="00480126" w:rsidP="00480126">
      <w:pPr>
        <w:pStyle w:val="NoSpacing"/>
      </w:pPr>
    </w:p>
    <w:p w14:paraId="30F07DC2" w14:textId="77777777" w:rsidR="00480126" w:rsidRPr="00A94043" w:rsidRDefault="00480126" w:rsidP="00480126">
      <w:pPr>
        <w:pStyle w:val="NoSpacing"/>
      </w:pPr>
      <w:r w:rsidRPr="00A94043">
        <w:rPr>
          <w:b/>
          <w:bCs/>
        </w:rPr>
        <w:t>Efficiency</w:t>
      </w:r>
      <w:r w:rsidRPr="00A94043">
        <w:t xml:space="preserve"> - Assume to be 100%.</w:t>
      </w:r>
    </w:p>
    <w:p w14:paraId="151555D8" w14:textId="77777777" w:rsidR="00480126" w:rsidRPr="00A94043" w:rsidRDefault="00480126" w:rsidP="00480126">
      <w:pPr>
        <w:pStyle w:val="NoSpacing"/>
      </w:pPr>
    </w:p>
    <w:p w14:paraId="63ED3BB4" w14:textId="49E164CD" w:rsidR="00480126" w:rsidRPr="00A94043" w:rsidRDefault="00480126" w:rsidP="00480126">
      <w:pPr>
        <w:pStyle w:val="NoSpacing"/>
      </w:pPr>
      <w:r w:rsidRPr="00A94043">
        <w:rPr>
          <w:b/>
          <w:bCs/>
        </w:rPr>
        <w:t>Multiple Capacities</w:t>
      </w:r>
      <w:r w:rsidRPr="00A94043">
        <w:t xml:space="preserve"> - Manufacturer declaration of </w:t>
      </w:r>
      <w:r w:rsidR="00042C1E" w:rsidRPr="00A94043">
        <w:t>number of settings</w:t>
      </w:r>
      <w:r w:rsidRPr="00A94043">
        <w:t>.</w:t>
      </w:r>
    </w:p>
    <w:p w14:paraId="1F185F9B" w14:textId="77777777" w:rsidR="00480126" w:rsidRPr="00A94043" w:rsidRDefault="00480126" w:rsidP="00480126">
      <w:pPr>
        <w:pStyle w:val="NoSpacing"/>
      </w:pPr>
    </w:p>
    <w:p w14:paraId="159D4157" w14:textId="598F00BB" w:rsidR="00480126" w:rsidRPr="00A94043" w:rsidRDefault="00480126" w:rsidP="00480126">
      <w:pPr>
        <w:pStyle w:val="NoSpacing"/>
      </w:pPr>
      <w:r w:rsidRPr="00A94043">
        <w:rPr>
          <w:b/>
          <w:bCs/>
        </w:rPr>
        <w:t>Inactive/Standby Power</w:t>
      </w:r>
      <w:r w:rsidRPr="00A94043">
        <w:t xml:space="preserve"> </w:t>
      </w:r>
      <w:r w:rsidR="00B7452B" w:rsidRPr="00A94043">
        <w:t>–</w:t>
      </w:r>
      <w:r w:rsidRPr="00A94043">
        <w:t xml:space="preserve"> Default value</w:t>
      </w:r>
      <w:r w:rsidR="00AF2B8C" w:rsidRPr="00A94043">
        <w:t xml:space="preserve"> of</w:t>
      </w:r>
      <w:r w:rsidRPr="00A94043">
        <w:t xml:space="preserve"> 5 W, or as per AS/NZS IEC 62301</w:t>
      </w:r>
    </w:p>
    <w:p w14:paraId="58F1E683" w14:textId="77777777" w:rsidR="00480126" w:rsidRPr="00A94043" w:rsidRDefault="00480126" w:rsidP="00480126">
      <w:pPr>
        <w:pStyle w:val="NoSpacing"/>
      </w:pPr>
    </w:p>
    <w:p w14:paraId="4F6EAC8E" w14:textId="1098FA51" w:rsidR="00480126" w:rsidRPr="00A94043" w:rsidRDefault="00480126" w:rsidP="00480126">
      <w:pPr>
        <w:pStyle w:val="NoSpacing"/>
      </w:pPr>
      <w:r w:rsidRPr="00A94043">
        <w:rPr>
          <w:b/>
          <w:bCs/>
        </w:rPr>
        <w:t>Product sub-type and controls</w:t>
      </w:r>
      <w:r w:rsidRPr="00A94043">
        <w:t xml:space="preserve"> – </w:t>
      </w:r>
      <w:r w:rsidR="007F5B78" w:rsidRPr="00A94043">
        <w:t xml:space="preserve">Number of settings, </w:t>
      </w:r>
      <w:r w:rsidR="00147C4E">
        <w:t>w</w:t>
      </w:r>
      <w:r w:rsidR="00147C4E" w:rsidRPr="00A94043">
        <w:t xml:space="preserve">ith </w:t>
      </w:r>
      <w:r w:rsidR="007F5B78" w:rsidRPr="00A94043">
        <w:t>or without thermostatic control, a</w:t>
      </w:r>
      <w:r w:rsidRPr="00A94043">
        <w:t>s declared by manufacturer</w:t>
      </w:r>
      <w:r w:rsidR="00C63626" w:rsidRPr="00A94043">
        <w:t xml:space="preserve"> and supported by AZ/NZS 6035.1 test report.</w:t>
      </w:r>
    </w:p>
    <w:p w14:paraId="634FE6B6" w14:textId="77777777" w:rsidR="00C63626" w:rsidRPr="00A94043" w:rsidRDefault="00C63626" w:rsidP="00480126">
      <w:pPr>
        <w:pStyle w:val="NoSpacing"/>
        <w:rPr>
          <w:b/>
          <w:bCs/>
        </w:rPr>
      </w:pPr>
    </w:p>
    <w:p w14:paraId="305BD831" w14:textId="4BE47064" w:rsidR="00480126" w:rsidRPr="00A94043" w:rsidRDefault="00C63626" w:rsidP="00480126">
      <w:pPr>
        <w:pStyle w:val="NoSpacing"/>
      </w:pPr>
      <w:r w:rsidRPr="00A94043">
        <w:rPr>
          <w:b/>
          <w:bCs/>
        </w:rPr>
        <w:t>HSEC Calculation methods:</w:t>
      </w:r>
      <w:r w:rsidRPr="00A94043">
        <w:t xml:space="preserve"> 1, 2 or 3</w:t>
      </w:r>
      <w:r w:rsidR="00147C4E">
        <w:t>.</w:t>
      </w:r>
    </w:p>
    <w:p w14:paraId="19C3A449" w14:textId="77777777" w:rsidR="00771B5B" w:rsidRPr="00A94043" w:rsidRDefault="00771B5B" w:rsidP="00480126">
      <w:pPr>
        <w:pStyle w:val="NoSpacing"/>
        <w:rPr>
          <w:rFonts w:asciiTheme="minorHAnsi" w:hAnsiTheme="minorHAnsi" w:cstheme="minorHAnsi"/>
        </w:rPr>
      </w:pPr>
    </w:p>
    <w:p w14:paraId="5AE09D97" w14:textId="77777777" w:rsidR="00480126" w:rsidRPr="00A94043" w:rsidRDefault="00480126" w:rsidP="00480126">
      <w:pPr>
        <w:pStyle w:val="Heading3"/>
      </w:pPr>
      <w:bookmarkStart w:id="89" w:name="_Toc175311934"/>
      <w:r w:rsidRPr="00A94043">
        <w:t>Solid fuel combustion heaters</w:t>
      </w:r>
      <w:bookmarkEnd w:id="89"/>
    </w:p>
    <w:p w14:paraId="10114B4F" w14:textId="653B6A10" w:rsidR="00480126" w:rsidRPr="00A94043" w:rsidRDefault="00480126" w:rsidP="00480126">
      <w:pPr>
        <w:pStyle w:val="NoSpacing"/>
      </w:pPr>
      <w:r w:rsidRPr="00A94043">
        <w:rPr>
          <w:b/>
          <w:bCs/>
        </w:rPr>
        <w:t>Heating Capacity</w:t>
      </w:r>
      <w:r w:rsidRPr="00A94043">
        <w:t xml:space="preserve"> </w:t>
      </w:r>
      <w:r w:rsidR="00B7452B" w:rsidRPr="00A94043">
        <w:t>–</w:t>
      </w:r>
      <w:r w:rsidRPr="00A94043">
        <w:t xml:space="preserve"> Maximum Average Heat Output Burning (kW) as marked on product, from AS/NZS</w:t>
      </w:r>
      <w:r w:rsidR="00F33B54">
        <w:t> </w:t>
      </w:r>
      <w:r w:rsidRPr="00A94043">
        <w:t>4012.</w:t>
      </w:r>
      <w:r w:rsidR="008D5753" w:rsidRPr="00A94043">
        <w:t xml:space="preserve"> Where multiple fuel types and/or options are listed on the marking, the highest value will be used.</w:t>
      </w:r>
    </w:p>
    <w:p w14:paraId="7ADD02F0" w14:textId="77777777" w:rsidR="00480126" w:rsidRPr="00A94043" w:rsidRDefault="00480126" w:rsidP="00480126">
      <w:pPr>
        <w:pStyle w:val="NoSpacing"/>
        <w:rPr>
          <w:b/>
          <w:bCs/>
        </w:rPr>
      </w:pPr>
    </w:p>
    <w:p w14:paraId="119E45D6" w14:textId="0EBD61E7" w:rsidR="00480126" w:rsidRPr="00A94043" w:rsidRDefault="00480126" w:rsidP="00480126">
      <w:pPr>
        <w:pStyle w:val="NoSpacing"/>
      </w:pPr>
      <w:r w:rsidRPr="00A94043">
        <w:rPr>
          <w:b/>
          <w:bCs/>
        </w:rPr>
        <w:t>Power Input</w:t>
      </w:r>
      <w:r w:rsidRPr="00A94043">
        <w:t xml:space="preserve"> </w:t>
      </w:r>
      <w:r w:rsidR="00B7452B" w:rsidRPr="00A94043">
        <w:t>–</w:t>
      </w:r>
      <w:r w:rsidRPr="00A94043">
        <w:t xml:space="preserve"> Solid fuel power input = Maximum Average Heat Output Burning (kW) / Average Efficiency (%) at high burn rate, or from Average Fuel Consumption Rate (kg/h) of fuel at high burn rate, as per AS/NZS 4012.</w:t>
      </w:r>
    </w:p>
    <w:p w14:paraId="3CF7953F" w14:textId="77777777" w:rsidR="00480126" w:rsidRPr="00A94043" w:rsidRDefault="00480126" w:rsidP="00480126">
      <w:pPr>
        <w:pStyle w:val="NoSpacing"/>
      </w:pPr>
    </w:p>
    <w:p w14:paraId="7FE9F097" w14:textId="77777777" w:rsidR="00480126" w:rsidRPr="00A94043" w:rsidRDefault="00480126" w:rsidP="00480126">
      <w:pPr>
        <w:pStyle w:val="NoSpacing"/>
      </w:pPr>
      <w:r w:rsidRPr="00A94043">
        <w:t>Electrical input power:</w:t>
      </w:r>
    </w:p>
    <w:p w14:paraId="4CBFC67E" w14:textId="7C8E0778" w:rsidR="00480126" w:rsidRPr="00A94043" w:rsidRDefault="00480126" w:rsidP="00480126">
      <w:pPr>
        <w:pStyle w:val="NoSpacing"/>
        <w:ind w:firstLine="1701"/>
      </w:pPr>
      <w:r w:rsidRPr="00A94043">
        <w:t>* Default (100W or 50W/10kW Rated Heating Capacity); or</w:t>
      </w:r>
    </w:p>
    <w:p w14:paraId="742EB081" w14:textId="77777777" w:rsidR="00480126" w:rsidRPr="00A94043" w:rsidRDefault="00480126" w:rsidP="00480126">
      <w:pPr>
        <w:pStyle w:val="NoSpacing"/>
        <w:ind w:firstLine="1701"/>
      </w:pPr>
      <w:r w:rsidRPr="00A94043">
        <w:t>* Nameplate input power as per AS/NZS 60335.1</w:t>
      </w:r>
    </w:p>
    <w:p w14:paraId="3E3631CF" w14:textId="77777777" w:rsidR="00480126" w:rsidRPr="00A94043" w:rsidRDefault="00480126" w:rsidP="00480126">
      <w:pPr>
        <w:pStyle w:val="NoSpacing"/>
      </w:pPr>
    </w:p>
    <w:p w14:paraId="4021B03C" w14:textId="6504CFCB" w:rsidR="00480126" w:rsidRPr="00A94043" w:rsidRDefault="00480126" w:rsidP="00480126">
      <w:pPr>
        <w:pStyle w:val="NoSpacing"/>
      </w:pPr>
      <w:r w:rsidRPr="00A94043">
        <w:rPr>
          <w:b/>
          <w:bCs/>
        </w:rPr>
        <w:t>Efficiency</w:t>
      </w:r>
      <w:r w:rsidRPr="00A94043">
        <w:t xml:space="preserve"> </w:t>
      </w:r>
      <w:r w:rsidR="00B7452B" w:rsidRPr="00A94043">
        <w:t>–</w:t>
      </w:r>
      <w:r w:rsidRPr="00A94043">
        <w:t xml:space="preserve"> Efficiency = Heating Capacity / Power Input.  </w:t>
      </w:r>
    </w:p>
    <w:p w14:paraId="371DEFA0" w14:textId="77777777" w:rsidR="00480126" w:rsidRPr="00A94043" w:rsidRDefault="00480126" w:rsidP="00480126">
      <w:pPr>
        <w:pStyle w:val="NoSpacing"/>
        <w:rPr>
          <w:b/>
          <w:bCs/>
        </w:rPr>
      </w:pPr>
    </w:p>
    <w:p w14:paraId="39252C9A" w14:textId="3B6FAF97" w:rsidR="00480126" w:rsidRPr="00A94043" w:rsidRDefault="00480126" w:rsidP="00480126">
      <w:pPr>
        <w:pStyle w:val="NoSpacing"/>
      </w:pPr>
      <w:r w:rsidRPr="00A94043">
        <w:rPr>
          <w:b/>
          <w:bCs/>
        </w:rPr>
        <w:t>Multiple Capacities</w:t>
      </w:r>
      <w:r w:rsidRPr="00A94043">
        <w:t xml:space="preserve"> </w:t>
      </w:r>
      <w:r w:rsidR="00B7452B" w:rsidRPr="00A94043">
        <w:t>–</w:t>
      </w:r>
      <w:r w:rsidRPr="00A94043">
        <w:t xml:space="preserve"> Evaluation at high, low and medium burn rates for products with adjustable air controls, as per AS/NZS 4012</w:t>
      </w:r>
      <w:r w:rsidR="008D5753" w:rsidRPr="00A94043">
        <w:t>, otherwise just at high burn rate</w:t>
      </w:r>
      <w:r w:rsidRPr="00A94043">
        <w:t>.</w:t>
      </w:r>
    </w:p>
    <w:p w14:paraId="42DF1ADC" w14:textId="77777777" w:rsidR="00480126" w:rsidRPr="00A94043" w:rsidRDefault="00480126" w:rsidP="00480126">
      <w:pPr>
        <w:pStyle w:val="NoSpacing"/>
        <w:rPr>
          <w:b/>
          <w:bCs/>
        </w:rPr>
      </w:pPr>
    </w:p>
    <w:p w14:paraId="460A3506" w14:textId="3802AF17" w:rsidR="00480126" w:rsidRPr="00A94043" w:rsidRDefault="00480126" w:rsidP="00480126">
      <w:pPr>
        <w:pStyle w:val="NoSpacing"/>
      </w:pPr>
      <w:r w:rsidRPr="00A94043">
        <w:rPr>
          <w:b/>
          <w:bCs/>
        </w:rPr>
        <w:t>Inactive/Standby Power</w:t>
      </w:r>
      <w:r w:rsidRPr="00A94043">
        <w:t xml:space="preserve"> - Default value</w:t>
      </w:r>
      <w:r w:rsidR="00AF2B8C" w:rsidRPr="00A94043">
        <w:t xml:space="preserve"> of 5W</w:t>
      </w:r>
      <w:r w:rsidRPr="00A94043">
        <w:t>, or as per AS/NZS IEC 62301</w:t>
      </w:r>
      <w:r w:rsidR="00AF2B8C" w:rsidRPr="00A94043">
        <w:t>, if there is an electrical connection, otherwise zero</w:t>
      </w:r>
      <w:r w:rsidR="008D5753" w:rsidRPr="00A94043">
        <w:t>.</w:t>
      </w:r>
    </w:p>
    <w:p w14:paraId="69D9681C" w14:textId="77777777" w:rsidR="00480126" w:rsidRPr="00A94043" w:rsidRDefault="00480126" w:rsidP="00480126">
      <w:pPr>
        <w:pStyle w:val="NoSpacing"/>
        <w:rPr>
          <w:b/>
          <w:bCs/>
        </w:rPr>
      </w:pPr>
    </w:p>
    <w:p w14:paraId="62B97F2C" w14:textId="79FA2C08" w:rsidR="00480126" w:rsidRPr="00A94043" w:rsidRDefault="00480126" w:rsidP="00480126">
      <w:pPr>
        <w:pStyle w:val="NoSpacing"/>
      </w:pPr>
      <w:r w:rsidRPr="00A94043">
        <w:rPr>
          <w:b/>
          <w:bCs/>
        </w:rPr>
        <w:lastRenderedPageBreak/>
        <w:t>Product sub-type and controls</w:t>
      </w:r>
      <w:r w:rsidRPr="00A94043">
        <w:t xml:space="preserve"> – </w:t>
      </w:r>
      <w:r w:rsidR="007F5B78" w:rsidRPr="00A94043">
        <w:t xml:space="preserve">Adjustable or non-adjustable air controls, as declared by manufacturer and supported by </w:t>
      </w:r>
      <w:r w:rsidR="008D5753" w:rsidRPr="00A94043">
        <w:t>number of test points in AS/NZS 4012 test report</w:t>
      </w:r>
      <w:r w:rsidR="007F5B78" w:rsidRPr="00A94043">
        <w:t>.</w:t>
      </w:r>
    </w:p>
    <w:p w14:paraId="0150A097" w14:textId="77777777" w:rsidR="00480126" w:rsidRPr="00A94043" w:rsidRDefault="00480126" w:rsidP="00480126">
      <w:pPr>
        <w:rPr>
          <w:rFonts w:asciiTheme="minorHAnsi" w:hAnsiTheme="minorHAnsi" w:cstheme="minorHAnsi"/>
        </w:rPr>
      </w:pPr>
    </w:p>
    <w:p w14:paraId="61C86318" w14:textId="05FFF1E5" w:rsidR="008D5753" w:rsidRPr="00A94043" w:rsidRDefault="00C63626" w:rsidP="008D5753">
      <w:pPr>
        <w:rPr>
          <w:rFonts w:asciiTheme="minorHAnsi" w:hAnsiTheme="minorHAnsi" w:cstheme="minorHAnsi"/>
        </w:rPr>
      </w:pPr>
      <w:r w:rsidRPr="00A94043">
        <w:rPr>
          <w:b/>
          <w:bCs/>
        </w:rPr>
        <w:t xml:space="preserve">HSEC </w:t>
      </w:r>
      <w:r w:rsidR="008D5753" w:rsidRPr="00A94043">
        <w:rPr>
          <w:b/>
          <w:bCs/>
        </w:rPr>
        <w:t>Calculation methods:</w:t>
      </w:r>
      <w:r w:rsidR="008D5753" w:rsidRPr="00A94043">
        <w:t xml:space="preserve"> 3 or 5</w:t>
      </w:r>
      <w:r w:rsidR="00EB7CAD">
        <w:t>.</w:t>
      </w:r>
    </w:p>
    <w:p w14:paraId="2353C3AD" w14:textId="77777777" w:rsidR="00365FE8" w:rsidRPr="00A94043" w:rsidRDefault="00365FE8" w:rsidP="00480126">
      <w:pPr>
        <w:rPr>
          <w:rFonts w:asciiTheme="minorHAnsi" w:hAnsiTheme="minorHAnsi" w:cstheme="minorHAnsi"/>
        </w:rPr>
      </w:pPr>
    </w:p>
    <w:p w14:paraId="5090B435" w14:textId="3A3D6A84" w:rsidR="008E6846" w:rsidRPr="00A94043" w:rsidRDefault="008E6846" w:rsidP="008E6846">
      <w:pPr>
        <w:pStyle w:val="Heading3"/>
      </w:pPr>
      <w:bookmarkStart w:id="90" w:name="_Toc175311935"/>
      <w:r w:rsidRPr="00A94043">
        <w:t>Ducted gas heaters</w:t>
      </w:r>
      <w:bookmarkEnd w:id="90"/>
    </w:p>
    <w:p w14:paraId="5A5E29FF" w14:textId="3BD81578" w:rsidR="008E6846" w:rsidRPr="00A94043" w:rsidRDefault="008E6846" w:rsidP="008E6846">
      <w:pPr>
        <w:pStyle w:val="NoSpacing"/>
      </w:pPr>
      <w:r w:rsidRPr="00A94043">
        <w:rPr>
          <w:b/>
          <w:bCs/>
        </w:rPr>
        <w:t>Heating Capacity</w:t>
      </w:r>
      <w:r w:rsidRPr="00A94043">
        <w:t xml:space="preserve"> </w:t>
      </w:r>
      <w:r w:rsidR="00E8431E" w:rsidRPr="00A94043">
        <w:t>–</w:t>
      </w:r>
      <w:r w:rsidRPr="00A94043">
        <w:t xml:space="preserve"> </w:t>
      </w:r>
      <w:r w:rsidR="00E8431E" w:rsidRPr="00A94043">
        <w:t>Nominal gas consumption as defined by AS/NZS 5263.0 multiplied by the thermal efficiency at nominal gas consumption, as defined by AS/NZS 5263.1.6: 2020 Test Method ZC.102 Thermal Efficiency Test</w:t>
      </w:r>
      <w:r w:rsidRPr="00A94043">
        <w:t>.</w:t>
      </w:r>
    </w:p>
    <w:p w14:paraId="697E062F" w14:textId="77777777" w:rsidR="008E6846" w:rsidRPr="00A94043" w:rsidRDefault="008E6846" w:rsidP="008E6846">
      <w:pPr>
        <w:pStyle w:val="NoSpacing"/>
        <w:rPr>
          <w:b/>
          <w:bCs/>
          <w:highlight w:val="yellow"/>
        </w:rPr>
      </w:pPr>
    </w:p>
    <w:p w14:paraId="22C01E28" w14:textId="074C3374" w:rsidR="008E6846" w:rsidRPr="00A94043" w:rsidRDefault="008E6846" w:rsidP="008E6846">
      <w:pPr>
        <w:pStyle w:val="NoSpacing"/>
      </w:pPr>
      <w:r w:rsidRPr="00A94043">
        <w:rPr>
          <w:b/>
          <w:bCs/>
        </w:rPr>
        <w:t>Power Input</w:t>
      </w:r>
      <w:r w:rsidRPr="00A94043">
        <w:t xml:space="preserve"> </w:t>
      </w:r>
      <w:r w:rsidR="00E8431E" w:rsidRPr="00A94043">
        <w:t>–</w:t>
      </w:r>
      <w:r w:rsidRPr="00A94043">
        <w:t xml:space="preserve"> </w:t>
      </w:r>
      <w:r w:rsidR="00E8431E" w:rsidRPr="00A94043">
        <w:t>Nominal gas consumption as defined by AS/NZS 5263.1.6: 2020 plus high load electricity consumption measured during the high (70-80%) load test of AS/NZS 5263.1.6: 2020 Test Method ZC.107</w:t>
      </w:r>
      <w:r w:rsidRPr="00A94043">
        <w:t>.</w:t>
      </w:r>
    </w:p>
    <w:p w14:paraId="4808839A" w14:textId="77777777" w:rsidR="008E6846" w:rsidRPr="00A94043" w:rsidRDefault="008E6846" w:rsidP="008E6846">
      <w:pPr>
        <w:pStyle w:val="NoSpacing"/>
        <w:rPr>
          <w:highlight w:val="yellow"/>
        </w:rPr>
      </w:pPr>
    </w:p>
    <w:p w14:paraId="09AD9845" w14:textId="3EE774E5" w:rsidR="008E6846" w:rsidRPr="00A94043" w:rsidRDefault="008E6846" w:rsidP="008E6846">
      <w:pPr>
        <w:pStyle w:val="NoSpacing"/>
      </w:pPr>
      <w:r w:rsidRPr="00A94043">
        <w:rPr>
          <w:b/>
          <w:bCs/>
        </w:rPr>
        <w:t>Efficiency</w:t>
      </w:r>
      <w:r w:rsidRPr="00A94043">
        <w:t xml:space="preserve"> </w:t>
      </w:r>
      <w:r w:rsidR="00B7452B" w:rsidRPr="00A94043">
        <w:t>–</w:t>
      </w:r>
      <w:r w:rsidRPr="00A94043">
        <w:t xml:space="preserve"> Efficiency = Heating Capacity / Power Input</w:t>
      </w:r>
      <w:r w:rsidR="008D5753" w:rsidRPr="00A94043">
        <w:t xml:space="preserve">. </w:t>
      </w:r>
    </w:p>
    <w:p w14:paraId="63B74311" w14:textId="77777777" w:rsidR="008E6846" w:rsidRPr="00A94043" w:rsidRDefault="008E6846" w:rsidP="008E6846">
      <w:pPr>
        <w:pStyle w:val="NoSpacing"/>
        <w:rPr>
          <w:b/>
          <w:bCs/>
          <w:highlight w:val="yellow"/>
        </w:rPr>
      </w:pPr>
    </w:p>
    <w:p w14:paraId="0894BF44" w14:textId="5FEECF60" w:rsidR="008E6846" w:rsidRPr="00A94043" w:rsidRDefault="008E6846" w:rsidP="008E6846">
      <w:pPr>
        <w:pStyle w:val="NoSpacing"/>
        <w:rPr>
          <w:highlight w:val="yellow"/>
        </w:rPr>
      </w:pPr>
      <w:r w:rsidRPr="00A94043">
        <w:rPr>
          <w:b/>
          <w:bCs/>
        </w:rPr>
        <w:t>Multiple Capacities</w:t>
      </w:r>
      <w:r w:rsidRPr="00A94043">
        <w:t xml:space="preserve"> </w:t>
      </w:r>
      <w:r w:rsidR="00B7452B" w:rsidRPr="00A94043">
        <w:t>–</w:t>
      </w:r>
      <w:r w:rsidRPr="00A94043">
        <w:t xml:space="preserve"> Evaluation at </w:t>
      </w:r>
      <w:r w:rsidR="00E8431E" w:rsidRPr="00A94043">
        <w:t>nominal gas consumption</w:t>
      </w:r>
      <w:r w:rsidR="007F5B78" w:rsidRPr="00A94043">
        <w:t>,</w:t>
      </w:r>
      <w:r w:rsidR="00E8431E" w:rsidRPr="00A94043">
        <w:t xml:space="preserve"> and during </w:t>
      </w:r>
      <w:r w:rsidRPr="00A94043">
        <w:t>high</w:t>
      </w:r>
      <w:r w:rsidR="00E8431E" w:rsidRPr="00A94043">
        <w:t xml:space="preserve"> (70-80%) and </w:t>
      </w:r>
      <w:r w:rsidRPr="00A94043">
        <w:t>low</w:t>
      </w:r>
      <w:r w:rsidR="00E8431E" w:rsidRPr="00A94043">
        <w:t xml:space="preserve"> (20-30%) load tests of AS/NZS 5263.1.6: 2020 Test Method ZC.107</w:t>
      </w:r>
      <w:r w:rsidRPr="00A94043">
        <w:t>.</w:t>
      </w:r>
    </w:p>
    <w:p w14:paraId="4D7A503F" w14:textId="77777777" w:rsidR="008E6846" w:rsidRPr="00A94043" w:rsidRDefault="008E6846" w:rsidP="008E6846">
      <w:pPr>
        <w:pStyle w:val="NoSpacing"/>
        <w:rPr>
          <w:b/>
          <w:bCs/>
          <w:highlight w:val="yellow"/>
        </w:rPr>
      </w:pPr>
    </w:p>
    <w:p w14:paraId="686551BB" w14:textId="4B5E8B3F" w:rsidR="008E6846" w:rsidRPr="00A94043" w:rsidRDefault="008E6846" w:rsidP="008E6846">
      <w:pPr>
        <w:pStyle w:val="NoSpacing"/>
      </w:pPr>
      <w:r w:rsidRPr="00A94043">
        <w:rPr>
          <w:b/>
          <w:bCs/>
        </w:rPr>
        <w:t>Inactive/Standby Power</w:t>
      </w:r>
      <w:r w:rsidRPr="00A94043">
        <w:t xml:space="preserve"> </w:t>
      </w:r>
      <w:r w:rsidR="00E8431E" w:rsidRPr="00A94043">
        <w:t>–</w:t>
      </w:r>
      <w:r w:rsidRPr="00A94043">
        <w:t xml:space="preserve"> </w:t>
      </w:r>
      <w:r w:rsidR="00E8431E" w:rsidRPr="00A94043">
        <w:t>Standby gas</w:t>
      </w:r>
      <w:r w:rsidR="007F5B78" w:rsidRPr="00A94043">
        <w:t xml:space="preserve"> consumption plus standby</w:t>
      </w:r>
      <w:r w:rsidR="00E8431E" w:rsidRPr="00A94043">
        <w:t xml:space="preserve"> electricity </w:t>
      </w:r>
      <w:r w:rsidR="007F5B78" w:rsidRPr="00A94043">
        <w:t>consumption</w:t>
      </w:r>
      <w:r w:rsidR="00E8431E" w:rsidRPr="00A94043">
        <w:t xml:space="preserve"> </w:t>
      </w:r>
      <w:r w:rsidR="007F5B78" w:rsidRPr="00A94043">
        <w:t xml:space="preserve">as defined by </w:t>
      </w:r>
      <w:r w:rsidR="00E8431E" w:rsidRPr="00A94043">
        <w:t>AS/NZS 5263.1.6</w:t>
      </w:r>
      <w:r w:rsidR="007F5B78" w:rsidRPr="00A94043">
        <w:t>: 2020 Test Method ZC.107</w:t>
      </w:r>
      <w:r w:rsidR="00E8431E" w:rsidRPr="00A94043">
        <w:t>.</w:t>
      </w:r>
    </w:p>
    <w:p w14:paraId="11FD72C4" w14:textId="77777777" w:rsidR="008E6846" w:rsidRPr="00A94043" w:rsidRDefault="008E6846" w:rsidP="008E6846">
      <w:pPr>
        <w:pStyle w:val="NoSpacing"/>
        <w:rPr>
          <w:b/>
          <w:bCs/>
          <w:highlight w:val="yellow"/>
        </w:rPr>
      </w:pPr>
    </w:p>
    <w:p w14:paraId="43287809" w14:textId="04F18711" w:rsidR="008E6846" w:rsidRPr="00A94043" w:rsidRDefault="008E6846" w:rsidP="008E6846">
      <w:pPr>
        <w:pStyle w:val="NoSpacing"/>
      </w:pPr>
      <w:r w:rsidRPr="00A94043">
        <w:rPr>
          <w:b/>
          <w:bCs/>
        </w:rPr>
        <w:t>Product sub-type and controls</w:t>
      </w:r>
      <w:r w:rsidRPr="00A94043">
        <w:t xml:space="preserve"> – </w:t>
      </w:r>
      <w:r w:rsidR="007F5B78" w:rsidRPr="00A94043">
        <w:t>Number of settings, with or without thermostatic control, as declared by manufacturer</w:t>
      </w:r>
      <w:r w:rsidR="00C63626" w:rsidRPr="00A94043">
        <w:t xml:space="preserve"> and support by AS/NZS 5263.1.6 test report.</w:t>
      </w:r>
    </w:p>
    <w:p w14:paraId="0D2D8006" w14:textId="77777777" w:rsidR="00480126" w:rsidRPr="00A94043" w:rsidRDefault="00480126" w:rsidP="00480126">
      <w:pPr>
        <w:rPr>
          <w:rFonts w:asciiTheme="minorHAnsi" w:hAnsiTheme="minorHAnsi" w:cstheme="minorHAnsi"/>
        </w:rPr>
      </w:pPr>
    </w:p>
    <w:p w14:paraId="610DE835" w14:textId="6B04E898" w:rsidR="007F5B78" w:rsidRPr="00A94043" w:rsidRDefault="00C63626" w:rsidP="00480126">
      <w:pPr>
        <w:rPr>
          <w:rFonts w:asciiTheme="minorHAnsi" w:hAnsiTheme="minorHAnsi" w:cstheme="minorHAnsi"/>
        </w:rPr>
      </w:pPr>
      <w:r w:rsidRPr="00A94043">
        <w:rPr>
          <w:b/>
          <w:bCs/>
        </w:rPr>
        <w:t xml:space="preserve">HSEC </w:t>
      </w:r>
      <w:r w:rsidR="007F5B78" w:rsidRPr="00A94043">
        <w:rPr>
          <w:b/>
          <w:bCs/>
        </w:rPr>
        <w:t>Calculation methods:</w:t>
      </w:r>
      <w:r w:rsidR="007F5B78" w:rsidRPr="00A94043">
        <w:t xml:space="preserve"> 1, 2 or 5</w:t>
      </w:r>
      <w:r w:rsidR="00C721AE">
        <w:t>.</w:t>
      </w:r>
    </w:p>
    <w:p w14:paraId="13D73850" w14:textId="5D3ADB9C" w:rsidR="00680FF2" w:rsidRPr="004F5C1E" w:rsidRDefault="00680FF2" w:rsidP="004F5C1E">
      <w:pPr>
        <w:pStyle w:val="Heading1"/>
      </w:pPr>
      <w:bookmarkStart w:id="91" w:name="_Ref159253441"/>
      <w:bookmarkStart w:id="92" w:name="_Toc175311936"/>
      <w:r w:rsidRPr="004F5C1E">
        <w:lastRenderedPageBreak/>
        <w:t xml:space="preserve">Appendix </w:t>
      </w:r>
      <w:r w:rsidR="00CA24FD" w:rsidRPr="004F5C1E">
        <w:t>3</w:t>
      </w:r>
      <w:r w:rsidRPr="004F5C1E">
        <w:t>:  HSEC Calculation Equations</w:t>
      </w:r>
      <w:bookmarkEnd w:id="91"/>
      <w:bookmarkEnd w:id="92"/>
    </w:p>
    <w:p w14:paraId="0445E29F" w14:textId="77777777" w:rsidR="00486615" w:rsidRDefault="00414625" w:rsidP="0001564A">
      <w:pPr>
        <w:rPr>
          <w:rFonts w:cstheme="minorHAnsi"/>
        </w:rPr>
      </w:pPr>
      <w:r w:rsidRPr="00A94043">
        <w:rPr>
          <w:rFonts w:cstheme="minorHAnsi"/>
        </w:rPr>
        <w:t>The energy consumed during heating, o</w:t>
      </w:r>
      <w:r w:rsidR="00E46195" w:rsidRPr="00A94043">
        <w:rPr>
          <w:rFonts w:cstheme="minorHAnsi"/>
        </w:rPr>
        <w:t>r</w:t>
      </w:r>
      <w:r w:rsidRPr="00A94043">
        <w:rPr>
          <w:rFonts w:cstheme="minorHAnsi"/>
        </w:rPr>
        <w:t xml:space="preserve"> Heating Seasonal Energy Consumption (HSEC)</w:t>
      </w:r>
      <w:r w:rsidR="00E46195" w:rsidRPr="00A94043">
        <w:rPr>
          <w:rFonts w:cstheme="minorHAnsi"/>
        </w:rPr>
        <w:t>,</w:t>
      </w:r>
      <w:r w:rsidRPr="00A94043">
        <w:rPr>
          <w:rFonts w:cstheme="minorHAnsi"/>
        </w:rPr>
        <w:t xml:space="preserve"> depends on how a product adjusts its operation to match the load being demanded.</w:t>
      </w:r>
      <w:r w:rsidR="008772CE" w:rsidRPr="00A94043">
        <w:rPr>
          <w:rFonts w:cstheme="minorHAnsi"/>
        </w:rPr>
        <w:t xml:space="preserve"> </w:t>
      </w:r>
    </w:p>
    <w:p w14:paraId="6A99B340" w14:textId="77777777" w:rsidR="00486615" w:rsidRDefault="00486615" w:rsidP="00486615">
      <w:pPr>
        <w:rPr>
          <w:rFonts w:cstheme="minorHAnsi"/>
        </w:rPr>
      </w:pPr>
      <w:r w:rsidRPr="00A94043">
        <w:rPr>
          <w:rFonts w:cstheme="minorHAnsi"/>
        </w:rPr>
        <w:t>The space heater comparison methodology proposes to use the definition of HSEC that</w:t>
      </w:r>
      <w:r>
        <w:rPr>
          <w:rFonts w:cstheme="minorHAnsi"/>
        </w:rPr>
        <w:t>:</w:t>
      </w:r>
      <w:r w:rsidRPr="00A94043">
        <w:rPr>
          <w:rFonts w:cstheme="minorHAnsi"/>
        </w:rPr>
        <w:t xml:space="preserve"> </w:t>
      </w:r>
    </w:p>
    <w:p w14:paraId="257E9B02" w14:textId="77777777" w:rsidR="00486615" w:rsidRDefault="00486615" w:rsidP="00486615">
      <w:pPr>
        <w:pStyle w:val="Bullets-Major"/>
      </w:pPr>
      <w:r w:rsidRPr="00A94043">
        <w:t xml:space="preserve">best aligns with the test data available from the existing product test standards for each space heater technology type </w:t>
      </w:r>
    </w:p>
    <w:p w14:paraId="050D5FC4" w14:textId="77777777" w:rsidR="00486615" w:rsidRDefault="00486615" w:rsidP="00486615">
      <w:pPr>
        <w:pStyle w:val="Bullets-Major"/>
      </w:pPr>
      <w:r w:rsidRPr="00A94043">
        <w:t>use</w:t>
      </w:r>
      <w:r>
        <w:t>s</w:t>
      </w:r>
      <w:r w:rsidRPr="00A94043">
        <w:t xml:space="preserve"> </w:t>
      </w:r>
      <w:r w:rsidRPr="0004719E">
        <w:t>1, 2 or 3 points of performance data</w:t>
      </w:r>
      <w:r>
        <w:t>,</w:t>
      </w:r>
      <w:r w:rsidRPr="0004719E">
        <w:t xml:space="preserve"> corresponding to the full, “minimum” and “half” capacity values used in the ACCM</w:t>
      </w:r>
    </w:p>
    <w:p w14:paraId="6D1F92FB" w14:textId="77777777" w:rsidR="00486615" w:rsidRPr="00B930ED" w:rsidRDefault="00486615" w:rsidP="00486615">
      <w:pPr>
        <w:pStyle w:val="Bullets-Major"/>
      </w:pPr>
      <w:r w:rsidRPr="00B930ED">
        <w:t xml:space="preserve">does not include make-up heat for </w:t>
      </w:r>
      <w:r w:rsidRPr="000143C8">
        <w:t>weather independent</w:t>
      </w:r>
      <w:r w:rsidRPr="00B930ED">
        <w:t xml:space="preserve"> (non-air conditioner) products</w:t>
      </w:r>
    </w:p>
    <w:p w14:paraId="6F568A89" w14:textId="77777777" w:rsidR="00486615" w:rsidRDefault="00486615" w:rsidP="00486615">
      <w:pPr>
        <w:pStyle w:val="Bullets-Major"/>
      </w:pPr>
      <w:r>
        <w:t>does not include a part load factor (PLF) for electric resistance, gas (ducted or non-ducted) or solid-fuel combustion heaters</w:t>
      </w:r>
    </w:p>
    <w:p w14:paraId="45B71DCA" w14:textId="51DC5427" w:rsidR="00486615" w:rsidRPr="00486615" w:rsidRDefault="00486615" w:rsidP="00720ADF">
      <w:pPr>
        <w:pStyle w:val="Bullets-Major"/>
      </w:pPr>
      <w:r>
        <w:t>applies</w:t>
      </w:r>
      <w:r w:rsidRPr="0004719E">
        <w:t xml:space="preserve"> an additional 5% (2 settings) or 10% (fixed</w:t>
      </w:r>
      <w:r>
        <w:t>-</w:t>
      </w:r>
      <w:r w:rsidRPr="0004719E">
        <w:t xml:space="preserve">capacity) penalty for products </w:t>
      </w:r>
      <w:r>
        <w:t>that</w:t>
      </w:r>
      <w:r w:rsidRPr="0004719E">
        <w:t xml:space="preserve"> are not thermostatically controlled, not solid</w:t>
      </w:r>
      <w:r>
        <w:t xml:space="preserve"> </w:t>
      </w:r>
      <w:r w:rsidRPr="0004719E">
        <w:t xml:space="preserve">fuel combustion heaters, </w:t>
      </w:r>
      <w:r>
        <w:t>or have fewer</w:t>
      </w:r>
      <w:r w:rsidRPr="0004719E">
        <w:t xml:space="preserve"> than 3 </w:t>
      </w:r>
      <w:r>
        <w:t xml:space="preserve">capacity (heat output) </w:t>
      </w:r>
      <w:r w:rsidRPr="0004719E">
        <w:t>settings.</w:t>
      </w:r>
    </w:p>
    <w:p w14:paraId="5C819690" w14:textId="5B4FE11D" w:rsidR="001563BF" w:rsidRDefault="001563BF" w:rsidP="001563BF">
      <w:r w:rsidRPr="00A94043">
        <w:t>Utilising data from more than one operating point whenever available helps to ensure that efficiency across the product’s operating range is taken into account, and reflected in the annual energy use, as per the product test standards for each space heater technology type.</w:t>
      </w:r>
    </w:p>
    <w:p w14:paraId="0B064897" w14:textId="09561500" w:rsidR="00A95CF4" w:rsidRDefault="005D2CCB" w:rsidP="001563BF">
      <w:r>
        <w:t xml:space="preserve">The HSEC calculation for </w:t>
      </w:r>
      <w:r w:rsidR="00A95CF4">
        <w:t>air conditioners</w:t>
      </w:r>
      <w:r>
        <w:t xml:space="preserve"> </w:t>
      </w:r>
      <w:r w:rsidR="006559E9">
        <w:t xml:space="preserve">is already </w:t>
      </w:r>
      <w:r w:rsidR="004E10CD">
        <w:t>specified in the ACCM.</w:t>
      </w:r>
      <w:r w:rsidR="00514AD5">
        <w:t xml:space="preserve"> The HSEC calculation for </w:t>
      </w:r>
      <w:r w:rsidR="004F1D54">
        <w:t>gas de</w:t>
      </w:r>
      <w:r w:rsidR="00514AD5">
        <w:t>corative appliances is the same as for gas space heaters.</w:t>
      </w:r>
    </w:p>
    <w:p w14:paraId="3431DA0F" w14:textId="1EDCB9A2" w:rsidR="003F7540" w:rsidRPr="00A94043" w:rsidRDefault="003F7540" w:rsidP="001563BF">
      <w:pPr>
        <w:rPr>
          <w:rFonts w:cstheme="minorHAnsi"/>
        </w:rPr>
      </w:pPr>
      <w:r>
        <w:t xml:space="preserve">The calculation methods specified below are for total input power, from all fuel types. The same calculation </w:t>
      </w:r>
      <w:r w:rsidR="00CA1498">
        <w:t>would</w:t>
      </w:r>
      <w:r>
        <w:t xml:space="preserve"> also need be carried out separately for each fuel type in order to define running costs and greenhouse gas emissions.</w:t>
      </w:r>
    </w:p>
    <w:p w14:paraId="3D9EF1C6" w14:textId="77777777" w:rsidR="00414625" w:rsidRPr="00A94043" w:rsidRDefault="00414625" w:rsidP="00414625">
      <w:pPr>
        <w:keepNext/>
        <w:rPr>
          <w:b/>
          <w:bCs/>
          <w:i/>
          <w:iCs/>
        </w:rPr>
      </w:pPr>
      <w:r w:rsidRPr="00A94043">
        <w:rPr>
          <w:b/>
          <w:bCs/>
          <w:i/>
          <w:iCs/>
        </w:rPr>
        <w:t>HSEC Calculation method 1. Fixed capacity products without thermostatic control:</w:t>
      </w:r>
    </w:p>
    <w:p w14:paraId="6ACD09CB" w14:textId="587D14FC" w:rsidR="004C2500" w:rsidRPr="00A94043" w:rsidRDefault="00414625" w:rsidP="004C2500">
      <w:r w:rsidRPr="00A94043">
        <w:t>For this calculation it is assumed that there is a 10% increase in heating seasonal energy consumption (HSEC) due to less-efficient matching of capacity to load, compared to systems with thermostatic control or more than two capacity settings. The development of this calculation method was discussed in TWG Paper 3</w:t>
      </w:r>
      <w:r w:rsidR="004C2500" w:rsidRPr="00A94043">
        <w:t>, and it is proposed that these products are modelled as having a heating seasonal energy consumption equal to 110% of that which would be calculated for the same product if it had thermostatic control, using either HSEC Calculation Method 5, HSEC Calculation Method 4, or HSEC Calculation Method 3, with a requirement to use the highest calculation number (most performance data points).</w:t>
      </w:r>
    </w:p>
    <w:p w14:paraId="07D8304A" w14:textId="0E0BC447" w:rsidR="004C2500" w:rsidRPr="00A94043" w:rsidRDefault="004C2500" w:rsidP="004C2500">
      <w:pPr>
        <w:jc w:val="center"/>
        <w:rPr>
          <w:i/>
          <w:iCs/>
        </w:rPr>
      </w:pPr>
      <w:r w:rsidRPr="00A94043">
        <w:rPr>
          <w:i/>
          <w:iCs/>
        </w:rPr>
        <w:t>HSEC</w:t>
      </w:r>
      <w:r w:rsidRPr="00A94043">
        <w:t xml:space="preserve"> = 1.1 x </w:t>
      </w:r>
      <w:r w:rsidRPr="00A94043">
        <w:rPr>
          <w:i/>
          <w:iCs/>
        </w:rPr>
        <w:t>HSEC*</w:t>
      </w:r>
    </w:p>
    <w:p w14:paraId="3FE66BEC" w14:textId="062E4093" w:rsidR="004C2500" w:rsidRPr="00A94043" w:rsidRDefault="004C2500" w:rsidP="004C2500">
      <w:pPr>
        <w:ind w:left="720"/>
      </w:pPr>
      <w:r w:rsidRPr="00A94043">
        <w:t xml:space="preserve">where </w:t>
      </w:r>
      <w:r w:rsidRPr="00A94043">
        <w:rPr>
          <w:i/>
          <w:iCs/>
        </w:rPr>
        <w:t>HSEC</w:t>
      </w:r>
      <w:r w:rsidRPr="00A94043">
        <w:t xml:space="preserve"> = Heating Seasonal Energy Consumption (kWh/year)</w:t>
      </w:r>
      <w:r w:rsidR="0098436C">
        <w:t>;</w:t>
      </w:r>
      <w:r w:rsidRPr="00A94043">
        <w:t xml:space="preserve"> 1.1 = penalty for lack of thermostatic control</w:t>
      </w:r>
      <w:r w:rsidR="005F1642">
        <w:t>;</w:t>
      </w:r>
      <w:r w:rsidRPr="00A94043">
        <w:t xml:space="preserve"> </w:t>
      </w:r>
      <w:r w:rsidRPr="00A94043">
        <w:rPr>
          <w:i/>
          <w:iCs/>
        </w:rPr>
        <w:t>HSEC</w:t>
      </w:r>
      <w:r w:rsidRPr="00A94043">
        <w:t>* is determined using either HSEC Calculation Method 5, HSEC Calculation Method 4 or HSEC Calculation Method 3 in accordance with the equations below, for the relevant product type.</w:t>
      </w:r>
    </w:p>
    <w:p w14:paraId="5063B4A3" w14:textId="77777777" w:rsidR="00414625" w:rsidRPr="00A94043" w:rsidRDefault="00414625" w:rsidP="00414625">
      <w:pPr>
        <w:keepNext/>
        <w:rPr>
          <w:b/>
          <w:bCs/>
          <w:i/>
          <w:iCs/>
        </w:rPr>
      </w:pPr>
      <w:r w:rsidRPr="00A94043">
        <w:rPr>
          <w:b/>
          <w:bCs/>
          <w:i/>
          <w:iCs/>
        </w:rPr>
        <w:lastRenderedPageBreak/>
        <w:t>HSEC Calculation method 2. Two-setting capacity products without thermostatic control:</w:t>
      </w:r>
    </w:p>
    <w:p w14:paraId="5F05AF55" w14:textId="676AECCB" w:rsidR="004C2500" w:rsidRPr="00A94043" w:rsidRDefault="00414625" w:rsidP="004C2500">
      <w:r w:rsidRPr="00A94043">
        <w:t>For this calculation it is assumed that there is a 5% increase in heating seasonal energy consumption (HSEC) due to less-efficient matching of capacity to load, compared to systems with thermostatic control or more than two capacity settings. The development of this calculation method was discussed in TWG Paper 3</w:t>
      </w:r>
      <w:r w:rsidR="004C2500" w:rsidRPr="00A94043">
        <w:t>, and it is proposed that these products are modelled as having a heating seasonal energy consumption equal to 105% of that which would be calculated for the same product if it had thermostatic control, using either HSEC Calculation Method 5, HSEC Calculation Method 4, or HSEC Calculation Method 3, with a requirement to use the highest calculation number (most performance data points).</w:t>
      </w:r>
    </w:p>
    <w:p w14:paraId="782449EF" w14:textId="1B636CA1" w:rsidR="004C2500" w:rsidRPr="00A94043" w:rsidRDefault="004C2500" w:rsidP="004C2500">
      <w:pPr>
        <w:jc w:val="center"/>
        <w:rPr>
          <w:i/>
          <w:iCs/>
        </w:rPr>
      </w:pPr>
      <w:r w:rsidRPr="00A94043">
        <w:rPr>
          <w:i/>
          <w:iCs/>
        </w:rPr>
        <w:t>HSEC</w:t>
      </w:r>
      <w:r w:rsidRPr="00A94043">
        <w:t xml:space="preserve"> = 1.05 x </w:t>
      </w:r>
      <w:r w:rsidRPr="00A94043">
        <w:rPr>
          <w:i/>
          <w:iCs/>
        </w:rPr>
        <w:t>HSEC*</w:t>
      </w:r>
    </w:p>
    <w:p w14:paraId="22065508" w14:textId="638B63FD" w:rsidR="004C2500" w:rsidRPr="00A94043" w:rsidRDefault="004C2500" w:rsidP="004C2500">
      <w:pPr>
        <w:ind w:left="720"/>
      </w:pPr>
      <w:r w:rsidRPr="00A94043">
        <w:t xml:space="preserve">where </w:t>
      </w:r>
      <w:r w:rsidRPr="00A94043">
        <w:rPr>
          <w:i/>
          <w:iCs/>
        </w:rPr>
        <w:t>HSEC</w:t>
      </w:r>
      <w:r w:rsidRPr="00A94043">
        <w:t xml:space="preserve"> = Heating Seasonal Energy Consumption (kWh/year)</w:t>
      </w:r>
      <w:r w:rsidR="0098436C">
        <w:t>;</w:t>
      </w:r>
      <w:r w:rsidRPr="00A94043">
        <w:t xml:space="preserve"> 1.05 = penalty for lack of thermostatic control</w:t>
      </w:r>
      <w:r w:rsidR="003E09F2">
        <w:t>;</w:t>
      </w:r>
      <w:r w:rsidRPr="00A94043">
        <w:t xml:space="preserve"> </w:t>
      </w:r>
      <w:r w:rsidRPr="00A94043">
        <w:rPr>
          <w:i/>
          <w:iCs/>
        </w:rPr>
        <w:t>HSEC</w:t>
      </w:r>
      <w:r w:rsidRPr="00A94043">
        <w:t>* is determined using either HSEC Calculation Method 5, HSEC Calculation Method 4 or HSEC Calculation Method 3 in accordance with the equations below, for the relevant product type.</w:t>
      </w:r>
    </w:p>
    <w:p w14:paraId="06E58309" w14:textId="77777777" w:rsidR="00414625" w:rsidRPr="00A94043" w:rsidRDefault="00414625" w:rsidP="00414625">
      <w:pPr>
        <w:keepNext/>
        <w:rPr>
          <w:b/>
          <w:bCs/>
          <w:i/>
          <w:iCs/>
        </w:rPr>
      </w:pPr>
      <w:r w:rsidRPr="00A94043">
        <w:rPr>
          <w:b/>
          <w:bCs/>
          <w:i/>
          <w:iCs/>
        </w:rPr>
        <w:t>HSEC Calculation method 3. Variable capacity products (&gt;2 settings) and products with thermostatic control, with one point of performance data:</w:t>
      </w:r>
    </w:p>
    <w:p w14:paraId="1268C963" w14:textId="45DA88B0" w:rsidR="00414625" w:rsidRPr="00A94043" w:rsidRDefault="00414625" w:rsidP="00414625">
      <w:r w:rsidRPr="00A94043">
        <w:t xml:space="preserve">For this calculation the capacity of the heaters would be adjusted to match the load, with part load conditions applying until the load is equal to the full capacity of the product, and then full power would be required plus make-up heat for the remaining (cold) outdoor temperatures. </w:t>
      </w:r>
      <w:r w:rsidR="00B63F16">
        <w:t xml:space="preserve">Based on TWG consultations, it is proposed </w:t>
      </w:r>
      <w:r w:rsidRPr="00A94043">
        <w:t xml:space="preserve">that </w:t>
      </w:r>
      <w:r w:rsidRPr="000C2245">
        <w:t xml:space="preserve">for </w:t>
      </w:r>
      <w:r w:rsidR="00324CD1" w:rsidRPr="00720ADF">
        <w:t xml:space="preserve">weather independent </w:t>
      </w:r>
      <w:r w:rsidRPr="000C2245">
        <w:t>heaters</w:t>
      </w:r>
      <w:r w:rsidRPr="00A94043">
        <w:t xml:space="preserve"> make-up heat is not required.</w:t>
      </w:r>
    </w:p>
    <w:p w14:paraId="39A1512C" w14:textId="4153B9D3" w:rsidR="001563BF" w:rsidRPr="00A94043" w:rsidRDefault="00A76AB9" w:rsidP="00414625">
      <w:r w:rsidRPr="00A94043">
        <w:t xml:space="preserve">For outdoor temperatures, </w:t>
      </w:r>
      <w:r w:rsidRPr="00A94043">
        <w:rPr>
          <w:i/>
          <w:iCs/>
        </w:rPr>
        <w:t>t</w:t>
      </w:r>
      <w:r w:rsidRPr="00A94043">
        <w:rPr>
          <w:i/>
          <w:iCs/>
          <w:vertAlign w:val="subscript"/>
        </w:rPr>
        <w:t>j</w:t>
      </w:r>
      <w:r w:rsidRPr="00A94043">
        <w:t xml:space="preserve">, where the load is less than or equal to capacity, the part load option is used, reducing the </w:t>
      </w:r>
      <w:r w:rsidRPr="00A94043">
        <w:rPr>
          <w:i/>
          <w:iCs/>
        </w:rPr>
        <w:t>full power</w:t>
      </w:r>
      <w:r w:rsidRPr="00A94043">
        <w:t xml:space="preserve"> of the product by the ratio of load to capacity (limited to between 0 and 1). For the remaining (cold) outdoor temperature where load exceeds capacity the </w:t>
      </w:r>
      <w:r w:rsidRPr="00A94043">
        <w:rPr>
          <w:i/>
          <w:iCs/>
        </w:rPr>
        <w:t>full power</w:t>
      </w:r>
      <w:r w:rsidRPr="00A94043">
        <w:t xml:space="preserve"> of the unit is used.</w:t>
      </w:r>
    </w:p>
    <w:p w14:paraId="02131FB4" w14:textId="77777777" w:rsidR="001563BF" w:rsidRPr="00A94043" w:rsidRDefault="001563BF" w:rsidP="001563BF">
      <w:pPr>
        <w:rPr>
          <w:rFonts w:eastAsiaTheme="minorEastAsia"/>
        </w:rPr>
      </w:pPr>
      <m:oMathPara>
        <m:oMath>
          <m:r>
            <w:rPr>
              <w:rFonts w:ascii="Cambria Math" w:hAnsi="Cambria Math"/>
            </w:rPr>
            <m:t>HSEC=</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Load≤Capacity</m:t>
              </m:r>
            </m:sub>
            <m:sup/>
            <m:e>
              <m:r>
                <w:rPr>
                  <w:rFonts w:ascii="Cambria Math" w:hAnsi="Cambria Math"/>
                </w:rPr>
                <m:t>Full Power×</m:t>
              </m:r>
              <m:f>
                <m:fPr>
                  <m:ctrlPr>
                    <w:rPr>
                      <w:rFonts w:ascii="Cambria Math" w:hAnsi="Cambria Math"/>
                      <w:i/>
                    </w:rPr>
                  </m:ctrlPr>
                </m:fPr>
                <m:num>
                  <m:r>
                    <w:rPr>
                      <w:rFonts w:ascii="Cambria Math" w:hAnsi="Cambria Math"/>
                    </w:rPr>
                    <m:t>Load</m:t>
                  </m:r>
                </m:num>
                <m:den>
                  <m:r>
                    <w:rPr>
                      <w:rFonts w:ascii="Cambria Math" w:hAnsi="Cambria Math"/>
                    </w:rPr>
                    <m:t>Full Capacity</m:t>
                  </m:r>
                </m:den>
              </m:f>
              <m:r>
                <w:rPr>
                  <w:rFonts w:ascii="Cambria Math" w:eastAsiaTheme="minorEastAsia" w:hAnsi="Cambria Math"/>
                </w:rPr>
                <m:t>×Hours</m:t>
              </m:r>
            </m:e>
          </m:nary>
        </m:oMath>
      </m:oMathPara>
    </w:p>
    <w:p w14:paraId="32B3EDFF" w14:textId="457664A4" w:rsidR="001563BF" w:rsidRPr="00A94043" w:rsidRDefault="001563BF" w:rsidP="001563BF">
      <m:oMathPara>
        <m:oMath>
          <m: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Load&gt;Capacity</m:t>
              </m:r>
            </m:sub>
            <m:sup/>
            <m:e>
              <m:r>
                <w:rPr>
                  <w:rFonts w:ascii="Cambria Math" w:hAnsi="Cambria Math"/>
                </w:rPr>
                <m:t>Full Power</m:t>
              </m:r>
              <m:r>
                <w:rPr>
                  <w:rFonts w:ascii="Cambria Math" w:eastAsiaTheme="minorEastAsia" w:hAnsi="Cambria Math"/>
                </w:rPr>
                <m:t>×Hours</m:t>
              </m:r>
            </m:e>
          </m:nary>
        </m:oMath>
      </m:oMathPara>
    </w:p>
    <w:p w14:paraId="2F167695" w14:textId="5183C13A" w:rsidR="001563BF" w:rsidRPr="00A94043" w:rsidRDefault="001563BF" w:rsidP="001563BF">
      <w:pPr>
        <w:ind w:left="720"/>
      </w:pPr>
      <w:r w:rsidRPr="00A94043">
        <w:t xml:space="preserve">where </w:t>
      </w:r>
      <w:r w:rsidRPr="00A94043">
        <w:rPr>
          <w:i/>
          <w:iCs/>
        </w:rPr>
        <w:t>HSEC</w:t>
      </w:r>
      <w:r w:rsidRPr="00A94043">
        <w:t xml:space="preserve"> = Heating Seasonal Energy Consumption (kWh/year</w:t>
      </w:r>
      <w:r w:rsidR="0098436C" w:rsidRPr="00A94043">
        <w:t>)</w:t>
      </w:r>
      <w:r w:rsidR="0098436C">
        <w:t>;</w:t>
      </w:r>
      <w:r w:rsidR="0098436C" w:rsidRPr="00A94043">
        <w:t xml:space="preserve"> </w:t>
      </w:r>
      <w:r w:rsidRPr="00A94043">
        <w:rPr>
          <w:i/>
          <w:iCs/>
        </w:rPr>
        <w:t>Full Power</w:t>
      </w:r>
      <w:r w:rsidRPr="00A94043">
        <w:t xml:space="preserve"> = </w:t>
      </w:r>
      <w:r w:rsidRPr="00A94043">
        <w:rPr>
          <w:i/>
          <w:iCs/>
        </w:rPr>
        <w:t>Rated Power Input</w:t>
      </w:r>
      <w:r w:rsidRPr="00A94043">
        <w:t xml:space="preserve"> (kW</w:t>
      </w:r>
      <w:r w:rsidR="00E5661B" w:rsidRPr="00A94043">
        <w:t>)</w:t>
      </w:r>
      <w:r w:rsidR="00E5661B">
        <w:t>;</w:t>
      </w:r>
      <w:r w:rsidR="00E5661B" w:rsidRPr="00A94043">
        <w:t xml:space="preserve"> </w:t>
      </w:r>
      <w:r w:rsidRPr="00A94043">
        <w:rPr>
          <w:i/>
          <w:iCs/>
        </w:rPr>
        <w:t>Load</w:t>
      </w:r>
      <w:r w:rsidRPr="00A94043">
        <w:t xml:space="preserve"> is the heating load as a function of outdoor temperature (kW</w:t>
      </w:r>
      <w:r w:rsidR="00E5661B" w:rsidRPr="00A94043">
        <w:t>)</w:t>
      </w:r>
      <w:r w:rsidR="00E5661B">
        <w:t>;</w:t>
      </w:r>
      <w:r w:rsidR="00E5661B" w:rsidRPr="00A94043">
        <w:t xml:space="preserve"> </w:t>
      </w:r>
      <w:r w:rsidRPr="00A94043">
        <w:rPr>
          <w:i/>
          <w:iCs/>
        </w:rPr>
        <w:t>Full Capacity</w:t>
      </w:r>
      <w:r w:rsidRPr="00A94043">
        <w:t xml:space="preserve"> = </w:t>
      </w:r>
      <w:r w:rsidRPr="00A94043">
        <w:rPr>
          <w:i/>
          <w:iCs/>
        </w:rPr>
        <w:t>Rated Capacity</w:t>
      </w:r>
      <w:r w:rsidRPr="00A94043">
        <w:t xml:space="preserve"> (kW</w:t>
      </w:r>
      <w:r w:rsidR="00E5661B" w:rsidRPr="00A94043">
        <w:t>)</w:t>
      </w:r>
      <w:r w:rsidR="00E5661B">
        <w:t>;</w:t>
      </w:r>
      <w:r w:rsidR="00E5661B" w:rsidRPr="00A94043">
        <w:rPr>
          <w:rFonts w:eastAsiaTheme="minorEastAsia"/>
        </w:rPr>
        <w:t xml:space="preserve"> </w:t>
      </w:r>
      <w:r w:rsidRPr="00A94043">
        <w:rPr>
          <w:rFonts w:cstheme="minorHAnsi"/>
          <w:i/>
          <w:iCs/>
        </w:rPr>
        <w:t>COP</w:t>
      </w:r>
      <w:r w:rsidRPr="00A94043">
        <w:rPr>
          <w:i/>
          <w:iCs/>
          <w:vertAlign w:val="subscript"/>
        </w:rPr>
        <w:t>ful</w:t>
      </w:r>
      <w:r w:rsidRPr="00A94043">
        <w:t xml:space="preserve"> is the Coefficient of Performance (ratio of capacity to power input) at full capacity</w:t>
      </w:r>
      <w:r w:rsidR="00246436">
        <w:t>;</w:t>
      </w:r>
      <w:r w:rsidR="00246436" w:rsidRPr="00A94043">
        <w:t xml:space="preserve"> </w:t>
      </w:r>
      <w:r w:rsidRPr="00A94043">
        <w:rPr>
          <w:i/>
          <w:iCs/>
        </w:rPr>
        <w:t>t</w:t>
      </w:r>
      <w:r w:rsidRPr="00A94043">
        <w:rPr>
          <w:i/>
          <w:iCs/>
          <w:vertAlign w:val="subscript"/>
        </w:rPr>
        <w:t>j</w:t>
      </w:r>
      <w:r w:rsidRPr="00A94043">
        <w:rPr>
          <w:i/>
          <w:iCs/>
        </w:rPr>
        <w:t xml:space="preserve"> </w:t>
      </w:r>
      <w:r w:rsidRPr="00A94043">
        <w:t>= outdoor temperature (</w:t>
      </w:r>
      <w:r w:rsidRPr="00A94043">
        <w:rPr>
          <w:rFonts w:ascii="Symbol" w:eastAsia="Symbol" w:hAnsi="Symbol" w:cs="Symbol"/>
        </w:rPr>
        <w:t>°</w:t>
      </w:r>
      <w:r w:rsidRPr="00A94043">
        <w:t>C)</w:t>
      </w:r>
      <w:r w:rsidR="00246436">
        <w:t>;</w:t>
      </w:r>
      <w:r w:rsidRPr="00A94043">
        <w:t xml:space="preserve"> and </w:t>
      </w:r>
      <w:r w:rsidRPr="00A94043">
        <w:rPr>
          <w:i/>
          <w:iCs/>
        </w:rPr>
        <w:t>Hours</w:t>
      </w:r>
      <w:r w:rsidRPr="00A94043">
        <w:t xml:space="preserve"> are the hours of operation in heating mode, as a function of outdoor temperature, as defined by the temperature bins specified in AS/NZS 3823.4.2 for residential applications.</w:t>
      </w:r>
    </w:p>
    <w:p w14:paraId="2046CD6B" w14:textId="12B355EE" w:rsidR="00414625" w:rsidRPr="00A94043" w:rsidRDefault="00414625" w:rsidP="00414625">
      <w:r w:rsidRPr="00A94043">
        <w:t>This calculation method is used for</w:t>
      </w:r>
      <w:r w:rsidR="00BA77E3">
        <w:t>:</w:t>
      </w:r>
      <w:r w:rsidRPr="00A94043">
        <w:t xml:space="preserve"> electric resistance heaters</w:t>
      </w:r>
      <w:r w:rsidR="00BA77E3">
        <w:t>;</w:t>
      </w:r>
      <w:r w:rsidRPr="00A94043">
        <w:t xml:space="preserve"> solid</w:t>
      </w:r>
      <w:r w:rsidR="000C6ABB">
        <w:t xml:space="preserve"> </w:t>
      </w:r>
      <w:r w:rsidRPr="00A94043">
        <w:t>fuel combustion heaters with non-adjustable air controls</w:t>
      </w:r>
      <w:r w:rsidR="00BA77E3">
        <w:t>;</w:t>
      </w:r>
      <w:r w:rsidRPr="00A94043">
        <w:t xml:space="preserve"> and gas space heaters which were only evaluated at maximum gas consumption.</w:t>
      </w:r>
    </w:p>
    <w:p w14:paraId="57435650" w14:textId="77777777" w:rsidR="00414625" w:rsidRPr="00A94043" w:rsidRDefault="00414625" w:rsidP="00414625">
      <w:pPr>
        <w:keepNext/>
        <w:rPr>
          <w:b/>
          <w:bCs/>
          <w:i/>
          <w:iCs/>
        </w:rPr>
      </w:pPr>
      <w:r w:rsidRPr="00A94043">
        <w:rPr>
          <w:b/>
          <w:bCs/>
          <w:i/>
          <w:iCs/>
        </w:rPr>
        <w:t>HSEC Calculation method 4. Variable capacity products and products with thermostatic control, with two points of performance data:</w:t>
      </w:r>
    </w:p>
    <w:p w14:paraId="4D53301A" w14:textId="77777777" w:rsidR="00414625" w:rsidRPr="00A94043" w:rsidRDefault="00414625" w:rsidP="00414625">
      <w:r w:rsidRPr="00A94043">
        <w:t xml:space="preserve">For these products, the HSEC is calculated similarly to calculation 3, but because these products can be measured at minimum (or low) outputs, there is additional data on which to base the calculation of part </w:t>
      </w:r>
      <w:r w:rsidRPr="00A94043">
        <w:lastRenderedPageBreak/>
        <w:t>load efficiency. It is assumed that the user adjusts the settings or fuel quantity to match loads if the product has a variable or multi-setting capacity capability, similar to thermostatic control.</w:t>
      </w:r>
    </w:p>
    <w:p w14:paraId="7BA2364D" w14:textId="77777777" w:rsidR="00FB47C4" w:rsidRPr="00A94043" w:rsidRDefault="00FB47C4" w:rsidP="00FB47C4">
      <w:r w:rsidRPr="00A94043">
        <w:t xml:space="preserve">For outdoor temperatures, </w:t>
      </w:r>
      <w:r w:rsidRPr="00A94043">
        <w:rPr>
          <w:i/>
          <w:iCs/>
        </w:rPr>
        <w:t>t</w:t>
      </w:r>
      <w:r w:rsidRPr="00A94043">
        <w:rPr>
          <w:i/>
          <w:iCs/>
          <w:vertAlign w:val="subscript"/>
        </w:rPr>
        <w:t>j</w:t>
      </w:r>
      <w:r w:rsidRPr="00A94043">
        <w:t xml:space="preserve">, where the load is less than or equal to minimum capacity, the part load option is used, reducing the </w:t>
      </w:r>
      <w:r w:rsidRPr="00A94043">
        <w:rPr>
          <w:i/>
          <w:iCs/>
        </w:rPr>
        <w:t>minimum power</w:t>
      </w:r>
      <w:r w:rsidRPr="00A94043">
        <w:t xml:space="preserve"> of the product by the ratio of load to capacity (limited to between 0 and 1). </w:t>
      </w:r>
    </w:p>
    <w:p w14:paraId="190A264E" w14:textId="77777777" w:rsidR="00FB47C4" w:rsidRPr="00A94043" w:rsidRDefault="00FB47C4" w:rsidP="00FB47C4">
      <w:r w:rsidRPr="00A94043">
        <w:t xml:space="preserve">For outdoor temperature, </w:t>
      </w:r>
      <w:r w:rsidRPr="00A94043">
        <w:rPr>
          <w:i/>
          <w:iCs/>
        </w:rPr>
        <w:t>t</w:t>
      </w:r>
      <w:r w:rsidRPr="00A94043">
        <w:rPr>
          <w:i/>
          <w:iCs/>
          <w:vertAlign w:val="subscript"/>
        </w:rPr>
        <w:t>j</w:t>
      </w:r>
      <w:r w:rsidRPr="00A94043">
        <w:t>, where the load is between the minimum capacity and the full capacity, the power used is defined by the load divided by the COP, where the COP is interpolated between the COP at minimum capacity (</w:t>
      </w:r>
      <w:r w:rsidRPr="00A94043">
        <w:rPr>
          <w:i/>
          <w:iCs/>
        </w:rPr>
        <w:t>COP</w:t>
      </w:r>
      <w:r w:rsidRPr="00A94043">
        <w:rPr>
          <w:i/>
          <w:iCs/>
          <w:vertAlign w:val="subscript"/>
        </w:rPr>
        <w:t>t</w:t>
      </w:r>
      <w:r w:rsidRPr="00A94043">
        <w:t xml:space="preserve"> = minimum capacity / minimum power) and the COP at full capacity (</w:t>
      </w:r>
      <w:r w:rsidRPr="00A94043">
        <w:rPr>
          <w:i/>
          <w:iCs/>
        </w:rPr>
        <w:t>COP</w:t>
      </w:r>
      <w:r w:rsidRPr="00A94043">
        <w:rPr>
          <w:i/>
          <w:iCs/>
          <w:vertAlign w:val="subscript"/>
        </w:rPr>
        <w:t>f</w:t>
      </w:r>
      <w:r w:rsidRPr="00A94043">
        <w:t xml:space="preserve"> = full capacity / full power).</w:t>
      </w:r>
    </w:p>
    <w:p w14:paraId="356C3B67" w14:textId="3063F095" w:rsidR="00FB47C4" w:rsidRPr="00A94043" w:rsidRDefault="00FB47C4" w:rsidP="00FB47C4">
      <w:r w:rsidRPr="00A94043">
        <w:t xml:space="preserve">For the remaining (cold) outdoor temperature where load exceeds capacity of the gas space heater, the </w:t>
      </w:r>
      <w:r w:rsidRPr="00A94043">
        <w:rPr>
          <w:i/>
          <w:iCs/>
        </w:rPr>
        <w:t>full power</w:t>
      </w:r>
      <w:r w:rsidRPr="00A94043">
        <w:t xml:space="preserve"> of the unit is used.</w:t>
      </w:r>
    </w:p>
    <w:p w14:paraId="142FB9AF" w14:textId="77777777" w:rsidR="00FB47C4" w:rsidRPr="00A94043" w:rsidRDefault="00FB47C4" w:rsidP="00FB47C4">
      <w:pPr>
        <w:rPr>
          <w:rFonts w:eastAsiaTheme="minorEastAsia"/>
        </w:rPr>
      </w:pPr>
      <m:oMathPara>
        <m:oMath>
          <m:r>
            <w:rPr>
              <w:rFonts w:ascii="Cambria Math" w:hAnsi="Cambria Math"/>
            </w:rPr>
            <m:t>HSEC=</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Load≤Minimum Capacity</m:t>
              </m:r>
            </m:sub>
            <m:sup/>
            <m:e>
              <m:r>
                <w:rPr>
                  <w:rFonts w:ascii="Cambria Math" w:hAnsi="Cambria Math"/>
                </w:rPr>
                <m:t>Minimum Power×</m:t>
              </m:r>
              <m:f>
                <m:fPr>
                  <m:ctrlPr>
                    <w:rPr>
                      <w:rFonts w:ascii="Cambria Math" w:hAnsi="Cambria Math"/>
                      <w:i/>
                    </w:rPr>
                  </m:ctrlPr>
                </m:fPr>
                <m:num>
                  <m:r>
                    <w:rPr>
                      <w:rFonts w:ascii="Cambria Math" w:hAnsi="Cambria Math"/>
                    </w:rPr>
                    <m:t>Load</m:t>
                  </m:r>
                </m:num>
                <m:den>
                  <m:r>
                    <w:rPr>
                      <w:rFonts w:ascii="Cambria Math" w:hAnsi="Cambria Math"/>
                    </w:rPr>
                    <m:t>Minimum Capacity</m:t>
                  </m:r>
                </m:den>
              </m:f>
              <m:r>
                <w:rPr>
                  <w:rFonts w:ascii="Cambria Math" w:eastAsiaTheme="minorEastAsia" w:hAnsi="Cambria Math"/>
                </w:rPr>
                <m:t>×Hours</m:t>
              </m:r>
            </m:e>
          </m:nary>
        </m:oMath>
      </m:oMathPara>
    </w:p>
    <w:p w14:paraId="05F32B32" w14:textId="77777777" w:rsidR="00FB47C4" w:rsidRPr="00A94043" w:rsidRDefault="00FB47C4" w:rsidP="00FB47C4">
      <w:pPr>
        <w:rPr>
          <w:rFonts w:eastAsiaTheme="minorEastAsia"/>
        </w:rPr>
      </w:pPr>
      <m:oMathPara>
        <m:oMath>
          <m: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Minimum Capacity&lt;Load≤Full Capacity</m:t>
              </m:r>
            </m:sub>
            <m:sup/>
            <m:e>
              <m:r>
                <w:rPr>
                  <w:rFonts w:ascii="Cambria Math" w:hAnsi="Cambria Math"/>
                </w:rPr>
                <m:t>Power</m:t>
              </m:r>
              <m:r>
                <w:rPr>
                  <w:rFonts w:ascii="Cambria Math" w:eastAsiaTheme="minorEastAsia" w:hAnsi="Cambria Math"/>
                </w:rPr>
                <m:t>×Hours</m:t>
              </m:r>
            </m:e>
          </m:nary>
        </m:oMath>
      </m:oMathPara>
    </w:p>
    <w:p w14:paraId="5CCCCE9E" w14:textId="77777777" w:rsidR="00FB47C4" w:rsidRPr="00A94043" w:rsidRDefault="00FB47C4" w:rsidP="00FB47C4">
      <w:pPr>
        <w:rPr>
          <w:rFonts w:eastAsiaTheme="minorEastAsia"/>
        </w:rPr>
      </w:pPr>
    </w:p>
    <w:p w14:paraId="381F58BE" w14:textId="0AEC7CB1" w:rsidR="00FB47C4" w:rsidRPr="00A94043" w:rsidRDefault="00FB47C4" w:rsidP="00FB47C4">
      <m:oMathPara>
        <m:oMath>
          <m: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Load&gt;Full Capacity</m:t>
              </m:r>
            </m:sub>
            <m:sup/>
            <m:e>
              <m:r>
                <w:rPr>
                  <w:rFonts w:ascii="Cambria Math" w:hAnsi="Cambria Math"/>
                </w:rPr>
                <m:t>Full Power</m:t>
              </m:r>
              <m:r>
                <w:rPr>
                  <w:rFonts w:ascii="Cambria Math" w:eastAsiaTheme="minorEastAsia" w:hAnsi="Cambria Math"/>
                </w:rPr>
                <m:t>×Hours</m:t>
              </m:r>
            </m:e>
          </m:nary>
        </m:oMath>
      </m:oMathPara>
    </w:p>
    <w:p w14:paraId="259C4698" w14:textId="0CEBFE20" w:rsidR="00FB47C4" w:rsidRPr="00A94043" w:rsidRDefault="00FB47C4" w:rsidP="00FB47C4">
      <w:pPr>
        <w:ind w:left="720"/>
      </w:pPr>
      <w:r w:rsidRPr="00A94043">
        <w:t xml:space="preserve">where </w:t>
      </w:r>
      <w:r w:rsidRPr="00A94043">
        <w:tab/>
      </w:r>
      <w:r w:rsidRPr="00A94043">
        <w:rPr>
          <w:i/>
          <w:iCs/>
        </w:rPr>
        <w:t>HSEC</w:t>
      </w:r>
      <w:r w:rsidRPr="00A94043">
        <w:t xml:space="preserve"> = Heating Seasonal Energy Consumption (kWh/year)</w:t>
      </w:r>
      <w:r w:rsidR="005F1642" w:rsidRPr="00B727C8">
        <w:rPr>
          <w:i/>
          <w:iCs/>
        </w:rPr>
        <w:t>:</w:t>
      </w:r>
      <w:r w:rsidRPr="00A94043">
        <w:rPr>
          <w:i/>
          <w:iCs/>
        </w:rPr>
        <w:t xml:space="preserve"> Full Power </w:t>
      </w:r>
      <w:r w:rsidRPr="00A94043">
        <w:t xml:space="preserve">and </w:t>
      </w:r>
      <w:r w:rsidRPr="00A94043">
        <w:rPr>
          <w:i/>
          <w:iCs/>
        </w:rPr>
        <w:t>Full Capacity</w:t>
      </w:r>
      <w:r w:rsidRPr="00A94043">
        <w:t xml:space="preserve"> are the rated capacity and power measured at maximum gas rate (kW)</w:t>
      </w:r>
      <w:r w:rsidRPr="00A94043">
        <w:rPr>
          <w:i/>
          <w:iCs/>
        </w:rPr>
        <w:t>; Load</w:t>
      </w:r>
      <w:r w:rsidRPr="00A94043">
        <w:t xml:space="preserve"> is the heating load as a function of outdoor temperature (kW)</w:t>
      </w:r>
      <w:r w:rsidRPr="00A94043">
        <w:rPr>
          <w:i/>
          <w:iCs/>
        </w:rPr>
        <w:t>; Hours</w:t>
      </w:r>
      <w:r w:rsidRPr="00A94043">
        <w:t xml:space="preserve"> are the hours of operation in heating mode, as a function of outdoor temperature, as defined by the temperature bins specified in AS/NZS 3823.4.2 for residential applications</w:t>
      </w:r>
      <w:r w:rsidRPr="00A94043">
        <w:rPr>
          <w:i/>
          <w:iCs/>
        </w:rPr>
        <w:t>; Minimum Capacity</w:t>
      </w:r>
      <w:r w:rsidRPr="00A94043">
        <w:t xml:space="preserve"> and </w:t>
      </w:r>
      <w:r w:rsidRPr="00A94043">
        <w:rPr>
          <w:i/>
          <w:iCs/>
        </w:rPr>
        <w:t>Minimum Power</w:t>
      </w:r>
      <w:r w:rsidRPr="00A94043">
        <w:t xml:space="preserve"> are the capacity and power measured at turndown gas rate (kW), and</w:t>
      </w:r>
    </w:p>
    <w:p w14:paraId="774CF953" w14:textId="77777777" w:rsidR="00FB47C4" w:rsidRPr="00A94043" w:rsidRDefault="00FB47C4" w:rsidP="00FB47C4">
      <w:pPr>
        <w:ind w:left="1440"/>
        <w:rPr>
          <w:i/>
          <w:iCs/>
        </w:rPr>
      </w:pPr>
      <w:r w:rsidRPr="00A94043">
        <w:rPr>
          <w:i/>
          <w:iCs/>
        </w:rPr>
        <w:t>Power</w:t>
      </w:r>
      <w:r w:rsidRPr="00A94043">
        <w:t xml:space="preserve"> = </w:t>
      </w:r>
      <w:r w:rsidRPr="00A94043">
        <w:rPr>
          <w:i/>
          <w:iCs/>
        </w:rPr>
        <w:t>Load/COP</w:t>
      </w:r>
      <w:r w:rsidRPr="00A94043">
        <w:t>(</w:t>
      </w:r>
      <w:r w:rsidRPr="00A94043">
        <w:rPr>
          <w:i/>
          <w:iCs/>
        </w:rPr>
        <w:t>t</w:t>
      </w:r>
      <w:r w:rsidRPr="00A94043">
        <w:rPr>
          <w:i/>
          <w:iCs/>
          <w:vertAlign w:val="subscript"/>
        </w:rPr>
        <w:t>j</w:t>
      </w:r>
      <w:r w:rsidRPr="00A94043">
        <w:t>)</w:t>
      </w:r>
    </w:p>
    <w:p w14:paraId="5F05E9A0" w14:textId="77777777" w:rsidR="00FB47C4" w:rsidRPr="00A94043" w:rsidRDefault="00FB47C4" w:rsidP="00FB47C4">
      <w:pPr>
        <w:ind w:left="1440"/>
      </w:pPr>
      <w:r w:rsidRPr="00A94043">
        <w:rPr>
          <w:i/>
          <w:iCs/>
        </w:rPr>
        <w:tab/>
      </w:r>
      <w:r w:rsidRPr="00A94043">
        <w:t xml:space="preserve">where  </w:t>
      </w:r>
      <w:r w:rsidRPr="00A94043">
        <w:rPr>
          <w:i/>
          <w:iCs/>
        </w:rPr>
        <w:t>COP</w:t>
      </w:r>
      <w:r w:rsidRPr="00A94043">
        <w:t>(</w:t>
      </w:r>
      <w:r w:rsidRPr="00A94043">
        <w:rPr>
          <w:i/>
          <w:iCs/>
        </w:rPr>
        <w:t>t</w:t>
      </w:r>
      <w:r w:rsidRPr="00A94043">
        <w:rPr>
          <w:i/>
          <w:iCs/>
          <w:vertAlign w:val="subscript"/>
        </w:rPr>
        <w:t>j</w:t>
      </w:r>
      <w:r w:rsidRPr="00A94043">
        <w:t xml:space="preserve">) = </w:t>
      </w:r>
      <w:r w:rsidRPr="00A94043">
        <w:rPr>
          <w:i/>
          <w:iCs/>
        </w:rPr>
        <w:t>COP</w:t>
      </w:r>
      <w:r w:rsidRPr="00A94043">
        <w:rPr>
          <w:i/>
          <w:iCs/>
          <w:vertAlign w:val="subscript"/>
        </w:rPr>
        <w:t>ful</w:t>
      </w:r>
      <w:r w:rsidRPr="00A94043">
        <w:t xml:space="preserve"> + (</w:t>
      </w:r>
      <w:r w:rsidRPr="00A94043">
        <w:rPr>
          <w:i/>
          <w:iCs/>
        </w:rPr>
        <w:t>COP</w:t>
      </w:r>
      <w:r w:rsidRPr="00A94043">
        <w:rPr>
          <w:i/>
          <w:iCs/>
          <w:vertAlign w:val="subscript"/>
        </w:rPr>
        <w:t>min</w:t>
      </w:r>
      <w:r w:rsidRPr="00A94043">
        <w:rPr>
          <w:i/>
          <w:iCs/>
        </w:rPr>
        <w:t xml:space="preserve"> – COP</w:t>
      </w:r>
      <w:r w:rsidRPr="00A94043">
        <w:rPr>
          <w:i/>
          <w:iCs/>
          <w:vertAlign w:val="subscript"/>
        </w:rPr>
        <w:t>ful</w:t>
      </w:r>
      <w:r w:rsidRPr="00A94043">
        <w:t>) x (</w:t>
      </w:r>
      <w:r w:rsidRPr="00A94043">
        <w:rPr>
          <w:i/>
          <w:iCs/>
        </w:rPr>
        <w:t>t</w:t>
      </w:r>
      <w:r w:rsidRPr="00A94043">
        <w:rPr>
          <w:i/>
          <w:iCs/>
          <w:vertAlign w:val="subscript"/>
        </w:rPr>
        <w:t>j</w:t>
      </w:r>
      <w:r w:rsidRPr="00A94043">
        <w:t xml:space="preserve"> – T</w:t>
      </w:r>
      <w:r w:rsidRPr="00A94043">
        <w:rPr>
          <w:i/>
          <w:iCs/>
          <w:vertAlign w:val="subscript"/>
        </w:rPr>
        <w:t>full</w:t>
      </w:r>
      <w:r w:rsidRPr="00A94043">
        <w:t>)/(T</w:t>
      </w:r>
      <w:r w:rsidRPr="00A94043">
        <w:rPr>
          <w:i/>
          <w:iCs/>
          <w:vertAlign w:val="subscript"/>
        </w:rPr>
        <w:t>min</w:t>
      </w:r>
      <w:r w:rsidRPr="00A94043">
        <w:t xml:space="preserve"> – T</w:t>
      </w:r>
      <w:r w:rsidRPr="00A94043">
        <w:rPr>
          <w:i/>
          <w:iCs/>
          <w:vertAlign w:val="subscript"/>
        </w:rPr>
        <w:t>full</w:t>
      </w:r>
      <w:r w:rsidRPr="00A94043">
        <w:t>)</w:t>
      </w:r>
    </w:p>
    <w:p w14:paraId="74730CE1" w14:textId="00E07E5D" w:rsidR="00A76AB9" w:rsidRPr="00A94043" w:rsidRDefault="00FB47C4" w:rsidP="00FB47C4">
      <w:pPr>
        <w:ind w:left="2880"/>
      </w:pPr>
      <w:r w:rsidRPr="00A94043">
        <w:t xml:space="preserve">where </w:t>
      </w:r>
      <w:r w:rsidRPr="00A94043">
        <w:tab/>
      </w:r>
      <w:r w:rsidRPr="00A94043">
        <w:rPr>
          <w:i/>
          <w:iCs/>
        </w:rPr>
        <w:t>COP</w:t>
      </w:r>
      <w:r w:rsidRPr="00A94043">
        <w:rPr>
          <w:i/>
          <w:iCs/>
          <w:vertAlign w:val="subscript"/>
        </w:rPr>
        <w:t>min</w:t>
      </w:r>
      <w:r w:rsidRPr="00A94043">
        <w:t xml:space="preserve"> = </w:t>
      </w:r>
      <w:r w:rsidRPr="00A94043">
        <w:rPr>
          <w:i/>
          <w:iCs/>
        </w:rPr>
        <w:t>Minimum Capacity</w:t>
      </w:r>
      <w:r w:rsidRPr="00A94043">
        <w:t xml:space="preserve"> / </w:t>
      </w:r>
      <w:r w:rsidRPr="00A94043">
        <w:rPr>
          <w:i/>
          <w:iCs/>
        </w:rPr>
        <w:t>Minimum Power</w:t>
      </w:r>
      <w:r w:rsidRPr="00A94043">
        <w:t xml:space="preserve">; </w:t>
      </w:r>
      <w:r w:rsidRPr="00A94043">
        <w:rPr>
          <w:i/>
          <w:iCs/>
        </w:rPr>
        <w:t>COP</w:t>
      </w:r>
      <w:r w:rsidRPr="00A94043">
        <w:rPr>
          <w:i/>
          <w:iCs/>
          <w:vertAlign w:val="subscript"/>
        </w:rPr>
        <w:t>ful</w:t>
      </w:r>
      <w:r w:rsidRPr="00A94043">
        <w:t xml:space="preserve"> = </w:t>
      </w:r>
      <w:r w:rsidRPr="00A94043">
        <w:rPr>
          <w:i/>
          <w:iCs/>
        </w:rPr>
        <w:t>Full Capacity</w:t>
      </w:r>
      <w:r w:rsidRPr="00A94043">
        <w:t xml:space="preserve"> / </w:t>
      </w:r>
      <w:r w:rsidRPr="00A94043">
        <w:rPr>
          <w:i/>
          <w:iCs/>
        </w:rPr>
        <w:t>Full Power; T</w:t>
      </w:r>
      <w:r w:rsidRPr="00A94043">
        <w:rPr>
          <w:i/>
          <w:iCs/>
          <w:vertAlign w:val="subscript"/>
        </w:rPr>
        <w:t>min</w:t>
      </w:r>
      <w:r w:rsidRPr="00A94043">
        <w:t xml:space="preserve"> is the outdoor temperature for which the heating load is equal to </w:t>
      </w:r>
      <w:r w:rsidRPr="00A94043">
        <w:rPr>
          <w:i/>
          <w:iCs/>
        </w:rPr>
        <w:t>Minimum Capacity</w:t>
      </w:r>
      <w:r w:rsidRPr="00A94043">
        <w:t xml:space="preserve">; and </w:t>
      </w:r>
      <w:r w:rsidRPr="00A94043">
        <w:rPr>
          <w:i/>
          <w:iCs/>
        </w:rPr>
        <w:t>T</w:t>
      </w:r>
      <w:r w:rsidRPr="00A94043">
        <w:rPr>
          <w:i/>
          <w:iCs/>
          <w:vertAlign w:val="subscript"/>
        </w:rPr>
        <w:t>full</w:t>
      </w:r>
      <w:r w:rsidRPr="00A94043">
        <w:t xml:space="preserve"> is the outdoor temperature for which the heating load is equal to </w:t>
      </w:r>
      <w:r w:rsidRPr="00A94043">
        <w:rPr>
          <w:i/>
          <w:iCs/>
        </w:rPr>
        <w:t>Full Capacity</w:t>
      </w:r>
      <w:r w:rsidRPr="00A94043">
        <w:t>.</w:t>
      </w:r>
    </w:p>
    <w:p w14:paraId="0B6924A6" w14:textId="77777777" w:rsidR="00414625" w:rsidRPr="00A94043" w:rsidRDefault="00414625" w:rsidP="00414625">
      <w:r w:rsidRPr="00A94043">
        <w:t>This calculation method is used for gas space heaters based on their minimum and maximum gas consumption.</w:t>
      </w:r>
    </w:p>
    <w:p w14:paraId="5BAFA78E" w14:textId="77777777" w:rsidR="00414625" w:rsidRPr="00A94043" w:rsidRDefault="00414625" w:rsidP="00414625">
      <w:pPr>
        <w:keepNext/>
        <w:rPr>
          <w:b/>
          <w:bCs/>
          <w:i/>
          <w:iCs/>
        </w:rPr>
      </w:pPr>
      <w:r w:rsidRPr="00A94043">
        <w:rPr>
          <w:b/>
          <w:bCs/>
          <w:i/>
          <w:iCs/>
        </w:rPr>
        <w:t>HSEC Calculation method 5. Variable capacity products and products with thermostatic control, with three points of performance data:</w:t>
      </w:r>
    </w:p>
    <w:p w14:paraId="7CBBD5B6" w14:textId="77777777" w:rsidR="00414625" w:rsidRPr="00A94043" w:rsidRDefault="00414625" w:rsidP="00414625">
      <w:r w:rsidRPr="00A94043">
        <w:t xml:space="preserve">For these products, the HSEC is calculated similarly to calculation 3, but because these products can be measured at minimum (or low) outputs, and half (or medium) outputs, there is additional data on which to base the calculation of part load efficiency. It is assumed that the user adjusts the settings or fuel quantity </w:t>
      </w:r>
      <w:r w:rsidRPr="00A94043">
        <w:lastRenderedPageBreak/>
        <w:t>to match loads if the product has a variable or multi-setting capacity capability, similar to thermostatic control.</w:t>
      </w:r>
    </w:p>
    <w:p w14:paraId="341B24BA" w14:textId="1928128E" w:rsidR="001563BF" w:rsidRPr="00A94043" w:rsidRDefault="001563BF" w:rsidP="001563BF">
      <w:r w:rsidRPr="00A94043">
        <w:t xml:space="preserve">For outdoor temperatures, </w:t>
      </w:r>
      <w:r w:rsidRPr="00A94043">
        <w:rPr>
          <w:i/>
          <w:iCs/>
        </w:rPr>
        <w:t>t</w:t>
      </w:r>
      <w:r w:rsidRPr="00A94043">
        <w:rPr>
          <w:i/>
          <w:iCs/>
          <w:vertAlign w:val="subscript"/>
        </w:rPr>
        <w:t>j</w:t>
      </w:r>
      <w:r w:rsidRPr="00A94043">
        <w:t>, where the load is less than or equal to minimum capacity (</w:t>
      </w:r>
      <w:r w:rsidR="00A76AB9" w:rsidRPr="00A94043">
        <w:t xml:space="preserve">low burn rate or </w:t>
      </w:r>
      <w:r w:rsidRPr="00A94043">
        <w:t xml:space="preserve">low load test), the part load option is used, reducing the </w:t>
      </w:r>
      <w:r w:rsidRPr="00A94043">
        <w:rPr>
          <w:i/>
          <w:iCs/>
        </w:rPr>
        <w:t>minimum power</w:t>
      </w:r>
      <w:r w:rsidRPr="00A94043">
        <w:t xml:space="preserve"> of the product by the ratio of load to capacity (limited to between 0 and 1). </w:t>
      </w:r>
    </w:p>
    <w:p w14:paraId="105CC758" w14:textId="7C1353A0" w:rsidR="001563BF" w:rsidRPr="00A94043" w:rsidRDefault="001563BF" w:rsidP="001563BF">
      <w:r w:rsidRPr="00A94043">
        <w:t xml:space="preserve">For outdoor temperature, </w:t>
      </w:r>
      <w:r w:rsidRPr="00A94043">
        <w:rPr>
          <w:i/>
          <w:iCs/>
        </w:rPr>
        <w:t>t</w:t>
      </w:r>
      <w:r w:rsidRPr="00A94043">
        <w:rPr>
          <w:i/>
          <w:iCs/>
          <w:vertAlign w:val="subscript"/>
        </w:rPr>
        <w:t>j</w:t>
      </w:r>
      <w:r w:rsidRPr="00A94043">
        <w:t>, where the load is between the minimum capacity and the half capacity (</w:t>
      </w:r>
      <w:r w:rsidR="00A76AB9" w:rsidRPr="00A94043">
        <w:t>medium burn rate</w:t>
      </w:r>
      <w:r w:rsidR="008C0DE0">
        <w:t xml:space="preserve"> for solid fuel combustion heaters</w:t>
      </w:r>
      <w:r w:rsidR="00A76AB9" w:rsidRPr="00A94043">
        <w:t xml:space="preserve"> or </w:t>
      </w:r>
      <w:r w:rsidRPr="00A94043">
        <w:t>high load test</w:t>
      </w:r>
      <w:r w:rsidR="008C0DE0">
        <w:t xml:space="preserve"> for ducted gas heaters</w:t>
      </w:r>
      <w:r w:rsidRPr="00A94043">
        <w:t>), the power used is defined by the load divided by the COP, where the COP is interpolated between the COP at minimum capacity (</w:t>
      </w:r>
      <w:r w:rsidRPr="00A94043">
        <w:rPr>
          <w:i/>
          <w:iCs/>
        </w:rPr>
        <w:t>COP</w:t>
      </w:r>
      <w:r w:rsidRPr="00A94043">
        <w:rPr>
          <w:i/>
          <w:iCs/>
          <w:vertAlign w:val="subscript"/>
        </w:rPr>
        <w:t>m</w:t>
      </w:r>
      <w:r w:rsidRPr="00A94043">
        <w:t xml:space="preserve"> = minimum capacity / minimum power) and the COP at half capacity (</w:t>
      </w:r>
      <w:r w:rsidRPr="00A94043">
        <w:rPr>
          <w:i/>
          <w:iCs/>
        </w:rPr>
        <w:t>COP</w:t>
      </w:r>
      <w:r w:rsidRPr="00A94043">
        <w:rPr>
          <w:i/>
          <w:iCs/>
          <w:vertAlign w:val="subscript"/>
        </w:rPr>
        <w:t>h</w:t>
      </w:r>
      <w:r w:rsidRPr="00A94043">
        <w:t xml:space="preserve"> = half capacity / half power).</w:t>
      </w:r>
    </w:p>
    <w:p w14:paraId="5258314A" w14:textId="2B69E8A0" w:rsidR="001563BF" w:rsidRPr="00A94043" w:rsidRDefault="001563BF" w:rsidP="001563BF">
      <w:r w:rsidRPr="00A94043">
        <w:t xml:space="preserve">For outdoor temperature, </w:t>
      </w:r>
      <w:r w:rsidRPr="00A94043">
        <w:rPr>
          <w:i/>
          <w:iCs/>
        </w:rPr>
        <w:t>t</w:t>
      </w:r>
      <w:r w:rsidRPr="00A94043">
        <w:rPr>
          <w:i/>
          <w:iCs/>
          <w:vertAlign w:val="subscript"/>
        </w:rPr>
        <w:t>j</w:t>
      </w:r>
      <w:r w:rsidRPr="00A94043">
        <w:t>, where the load is between the half capacity and the full capacity (</w:t>
      </w:r>
      <w:r w:rsidR="00A76AB9" w:rsidRPr="00A94043">
        <w:t xml:space="preserve">high burn rate or </w:t>
      </w:r>
      <w:r w:rsidRPr="00A94043">
        <w:t>nominal gas consumption), the power used is defined by the load divided by the COP, where the COP is interpolated between the COP at half capacity (</w:t>
      </w:r>
      <w:r w:rsidRPr="00A94043">
        <w:rPr>
          <w:i/>
          <w:iCs/>
        </w:rPr>
        <w:t>COP</w:t>
      </w:r>
      <w:r w:rsidRPr="00A94043">
        <w:rPr>
          <w:i/>
          <w:iCs/>
          <w:vertAlign w:val="subscript"/>
        </w:rPr>
        <w:t>h</w:t>
      </w:r>
      <w:r w:rsidRPr="00A94043">
        <w:t xml:space="preserve"> = half capacity / half power) and the COP at full capacity (</w:t>
      </w:r>
      <w:r w:rsidRPr="00A94043">
        <w:rPr>
          <w:i/>
          <w:iCs/>
        </w:rPr>
        <w:t>COP</w:t>
      </w:r>
      <w:r w:rsidRPr="00A94043">
        <w:rPr>
          <w:i/>
          <w:iCs/>
          <w:vertAlign w:val="subscript"/>
        </w:rPr>
        <w:t>f</w:t>
      </w:r>
      <w:r w:rsidRPr="00A94043">
        <w:t xml:space="preserve"> = full capacity / full power).</w:t>
      </w:r>
    </w:p>
    <w:p w14:paraId="1C67D82D" w14:textId="6BBA993B" w:rsidR="001563BF" w:rsidRPr="00A94043" w:rsidRDefault="001563BF" w:rsidP="001563BF">
      <w:r w:rsidRPr="00A94043">
        <w:t xml:space="preserve">For the remaining (cold) outdoor temperature where load exceeds capacity of the heater, the </w:t>
      </w:r>
      <w:r w:rsidRPr="00A94043">
        <w:rPr>
          <w:i/>
          <w:iCs/>
        </w:rPr>
        <w:t>full power</w:t>
      </w:r>
      <w:r w:rsidRPr="00A94043">
        <w:t xml:space="preserve"> of the unit </w:t>
      </w:r>
      <w:r w:rsidR="00A76AB9" w:rsidRPr="00A94043">
        <w:t>is</w:t>
      </w:r>
      <w:r w:rsidRPr="00A94043">
        <w:t xml:space="preserve"> used.</w:t>
      </w:r>
    </w:p>
    <w:p w14:paraId="56DCE63A" w14:textId="77777777" w:rsidR="001563BF" w:rsidRPr="00A94043" w:rsidRDefault="001563BF" w:rsidP="001563BF">
      <w:pPr>
        <w:rPr>
          <w:rFonts w:eastAsiaTheme="minorEastAsia"/>
        </w:rPr>
      </w:pPr>
      <m:oMathPara>
        <m:oMath>
          <m:r>
            <w:rPr>
              <w:rFonts w:ascii="Cambria Math" w:hAnsi="Cambria Math"/>
            </w:rPr>
            <m:t>HSEC=</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Load≤Minimum Capacity</m:t>
              </m:r>
            </m:sub>
            <m:sup/>
            <m:e>
              <m:r>
                <w:rPr>
                  <w:rFonts w:ascii="Cambria Math" w:hAnsi="Cambria Math"/>
                </w:rPr>
                <m:t>Minimum Power×</m:t>
              </m:r>
              <m:f>
                <m:fPr>
                  <m:ctrlPr>
                    <w:rPr>
                      <w:rFonts w:ascii="Cambria Math" w:hAnsi="Cambria Math"/>
                      <w:i/>
                    </w:rPr>
                  </m:ctrlPr>
                </m:fPr>
                <m:num>
                  <m:r>
                    <w:rPr>
                      <w:rFonts w:ascii="Cambria Math" w:hAnsi="Cambria Math"/>
                    </w:rPr>
                    <m:t>Load</m:t>
                  </m:r>
                </m:num>
                <m:den>
                  <m:r>
                    <w:rPr>
                      <w:rFonts w:ascii="Cambria Math" w:hAnsi="Cambria Math"/>
                    </w:rPr>
                    <m:t>Minimum Capacity</m:t>
                  </m:r>
                </m:den>
              </m:f>
              <m:r>
                <w:rPr>
                  <w:rFonts w:ascii="Cambria Math" w:eastAsiaTheme="minorEastAsia" w:hAnsi="Cambria Math"/>
                </w:rPr>
                <m:t>×Hours</m:t>
              </m:r>
            </m:e>
          </m:nary>
        </m:oMath>
      </m:oMathPara>
    </w:p>
    <w:p w14:paraId="73791B87" w14:textId="77777777" w:rsidR="001563BF" w:rsidRPr="00A94043" w:rsidRDefault="001563BF" w:rsidP="001563BF">
      <w:pPr>
        <w:rPr>
          <w:rFonts w:eastAsiaTheme="minorEastAsia"/>
        </w:rPr>
      </w:pPr>
      <m:oMathPara>
        <m:oMath>
          <m: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Minimum Capacity&lt;Load≤Half Capacity</m:t>
              </m:r>
            </m:sub>
            <m:sup/>
            <m:e>
              <m:sSub>
                <m:sSubPr>
                  <m:ctrlPr>
                    <w:rPr>
                      <w:rFonts w:ascii="Cambria Math" w:hAnsi="Cambria Math"/>
                      <w:i/>
                    </w:rPr>
                  </m:ctrlPr>
                </m:sSubPr>
                <m:e>
                  <m:r>
                    <w:rPr>
                      <w:rFonts w:ascii="Cambria Math" w:hAnsi="Cambria Math"/>
                    </w:rPr>
                    <m:t>Power</m:t>
                  </m:r>
                </m:e>
                <m:sub>
                  <m:r>
                    <w:rPr>
                      <w:rFonts w:ascii="Cambria Math" w:hAnsi="Cambria Math"/>
                    </w:rPr>
                    <m:t>min-half</m:t>
                  </m:r>
                </m:sub>
              </m:sSub>
              <m:r>
                <w:rPr>
                  <w:rFonts w:ascii="Cambria Math" w:eastAsiaTheme="minorEastAsia" w:hAnsi="Cambria Math"/>
                </w:rPr>
                <m:t>×Hours</m:t>
              </m:r>
            </m:e>
          </m:nary>
        </m:oMath>
      </m:oMathPara>
    </w:p>
    <w:p w14:paraId="08220FCB" w14:textId="77777777" w:rsidR="001563BF" w:rsidRPr="00A94043" w:rsidRDefault="001563BF" w:rsidP="001563BF">
      <w:pPr>
        <w:rPr>
          <w:rFonts w:eastAsiaTheme="minorEastAsia"/>
        </w:rPr>
      </w:pPr>
      <m:oMathPara>
        <m:oMath>
          <m: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Half Capacity&lt;Load≤Full Capacity</m:t>
              </m:r>
            </m:sub>
            <m:sup/>
            <m:e>
              <m:sSub>
                <m:sSubPr>
                  <m:ctrlPr>
                    <w:rPr>
                      <w:rFonts w:ascii="Cambria Math" w:hAnsi="Cambria Math"/>
                      <w:i/>
                    </w:rPr>
                  </m:ctrlPr>
                </m:sSubPr>
                <m:e>
                  <m:r>
                    <w:rPr>
                      <w:rFonts w:ascii="Cambria Math" w:hAnsi="Cambria Math"/>
                    </w:rPr>
                    <m:t>Power</m:t>
                  </m:r>
                </m:e>
                <m:sub>
                  <m:r>
                    <w:rPr>
                      <w:rFonts w:ascii="Cambria Math" w:hAnsi="Cambria Math"/>
                    </w:rPr>
                    <m:t>half-full</m:t>
                  </m:r>
                </m:sub>
              </m:sSub>
              <m:r>
                <w:rPr>
                  <w:rFonts w:ascii="Cambria Math" w:eastAsiaTheme="minorEastAsia" w:hAnsi="Cambria Math"/>
                </w:rPr>
                <m:t>×Hours</m:t>
              </m:r>
            </m:e>
          </m:nary>
        </m:oMath>
      </m:oMathPara>
    </w:p>
    <w:p w14:paraId="1DC49B11" w14:textId="77777777" w:rsidR="001563BF" w:rsidRPr="00A94043" w:rsidRDefault="001563BF" w:rsidP="001563BF">
      <w:pPr>
        <w:rPr>
          <w:rFonts w:eastAsiaTheme="minorEastAsia"/>
        </w:rPr>
      </w:pPr>
    </w:p>
    <w:p w14:paraId="1A7D971F" w14:textId="0C411D35" w:rsidR="001563BF" w:rsidRPr="00A94043" w:rsidRDefault="001563BF" w:rsidP="001563BF">
      <m:oMathPara>
        <m:oMath>
          <m: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 xml:space="preserve"> where Load&gt;Full Capacity</m:t>
              </m:r>
            </m:sub>
            <m:sup/>
            <m:e>
              <m:r>
                <w:rPr>
                  <w:rFonts w:ascii="Cambria Math" w:hAnsi="Cambria Math"/>
                </w:rPr>
                <m:t>Full Power</m:t>
              </m:r>
              <m:r>
                <w:rPr>
                  <w:rFonts w:ascii="Cambria Math" w:eastAsiaTheme="minorEastAsia" w:hAnsi="Cambria Math"/>
                </w:rPr>
                <m:t>×Hours</m:t>
              </m:r>
            </m:e>
          </m:nary>
        </m:oMath>
      </m:oMathPara>
    </w:p>
    <w:p w14:paraId="5F1B3FB9" w14:textId="54E1B52F" w:rsidR="001563BF" w:rsidRPr="00A94043" w:rsidRDefault="001563BF" w:rsidP="001563BF">
      <w:pPr>
        <w:ind w:left="720"/>
      </w:pPr>
      <w:r w:rsidRPr="00A94043">
        <w:t>where</w:t>
      </w:r>
      <w:r w:rsidRPr="00A94043">
        <w:tab/>
      </w:r>
      <w:r w:rsidRPr="00A94043">
        <w:rPr>
          <w:i/>
          <w:iCs/>
        </w:rPr>
        <w:t>HSEC</w:t>
      </w:r>
      <w:r w:rsidRPr="00A94043">
        <w:t xml:space="preserve"> = Heating Seasonal Energy Consumption (kWh/year)</w:t>
      </w:r>
      <w:r w:rsidRPr="00A94043">
        <w:rPr>
          <w:i/>
          <w:iCs/>
        </w:rPr>
        <w:t xml:space="preserve">; Full Power </w:t>
      </w:r>
      <w:r w:rsidRPr="00A94043">
        <w:t xml:space="preserve">and </w:t>
      </w:r>
      <w:r w:rsidRPr="00A94043">
        <w:rPr>
          <w:i/>
          <w:iCs/>
        </w:rPr>
        <w:t>Full Capacity</w:t>
      </w:r>
      <w:r w:rsidRPr="00A94043">
        <w:t xml:space="preserve"> are the rated capacity and </w:t>
      </w:r>
      <w:r w:rsidR="00A76AB9" w:rsidRPr="00A94043">
        <w:t xml:space="preserve">input </w:t>
      </w:r>
      <w:r w:rsidRPr="00A94043">
        <w:t>power (kW)</w:t>
      </w:r>
      <w:r w:rsidRPr="00A94043">
        <w:rPr>
          <w:i/>
          <w:iCs/>
        </w:rPr>
        <w:t>; Load</w:t>
      </w:r>
      <w:r w:rsidRPr="00A94043">
        <w:t xml:space="preserve"> is the heating load as a function of outdoor temperature (kW)</w:t>
      </w:r>
      <w:r w:rsidRPr="00A94043">
        <w:rPr>
          <w:i/>
          <w:iCs/>
        </w:rPr>
        <w:t>; Hours</w:t>
      </w:r>
      <w:r w:rsidRPr="00A94043">
        <w:t xml:space="preserve"> are the hours of operation in heating mode, as a function of outdoor temperature, as defined by the temperature bins specified in AS/NZS 3823.4.2 for residential applications</w:t>
      </w:r>
      <w:r w:rsidRPr="00A94043">
        <w:rPr>
          <w:i/>
          <w:iCs/>
        </w:rPr>
        <w:t>; Minimum Capacity</w:t>
      </w:r>
      <w:r w:rsidRPr="00A94043">
        <w:t xml:space="preserve"> and </w:t>
      </w:r>
      <w:r w:rsidRPr="00A94043">
        <w:rPr>
          <w:i/>
          <w:iCs/>
        </w:rPr>
        <w:t>Minimum Power</w:t>
      </w:r>
      <w:r w:rsidRPr="00A94043">
        <w:t xml:space="preserve"> are the capacity and power during the low</w:t>
      </w:r>
      <w:r w:rsidR="00A76AB9" w:rsidRPr="00A94043">
        <w:t xml:space="preserve"> burn rate or low</w:t>
      </w:r>
      <w:r w:rsidRPr="00A94043">
        <w:t xml:space="preserve"> load test (kW)</w:t>
      </w:r>
      <w:r w:rsidRPr="00A94043">
        <w:rPr>
          <w:i/>
          <w:iCs/>
        </w:rPr>
        <w:t>; Half Capacity</w:t>
      </w:r>
      <w:r w:rsidRPr="00A94043">
        <w:t xml:space="preserve"> and </w:t>
      </w:r>
      <w:r w:rsidRPr="00A94043">
        <w:rPr>
          <w:i/>
          <w:iCs/>
        </w:rPr>
        <w:t>Half Power</w:t>
      </w:r>
      <w:r w:rsidRPr="00A94043">
        <w:t xml:space="preserve"> are the capacity and power during the </w:t>
      </w:r>
      <w:r w:rsidR="00A76AB9" w:rsidRPr="00A94043">
        <w:t xml:space="preserve">medium burn rate or </w:t>
      </w:r>
      <w:r w:rsidRPr="00A94043">
        <w:t>high load test (kW); and</w:t>
      </w:r>
    </w:p>
    <w:p w14:paraId="336896A4" w14:textId="77777777" w:rsidR="001563BF" w:rsidRPr="00A94043" w:rsidRDefault="001563BF" w:rsidP="001563BF">
      <w:pPr>
        <w:ind w:left="1440"/>
        <w:rPr>
          <w:i/>
          <w:iCs/>
        </w:rPr>
      </w:pPr>
      <w:r w:rsidRPr="00A94043">
        <w:rPr>
          <w:i/>
          <w:iCs/>
        </w:rPr>
        <w:t>Power</w:t>
      </w:r>
      <w:r w:rsidRPr="00A94043">
        <w:rPr>
          <w:i/>
          <w:iCs/>
          <w:vertAlign w:val="subscript"/>
        </w:rPr>
        <w:t>min-half</w:t>
      </w:r>
      <w:r w:rsidRPr="00A94043">
        <w:t xml:space="preserve"> = </w:t>
      </w:r>
      <w:r w:rsidRPr="00A94043">
        <w:rPr>
          <w:i/>
          <w:iCs/>
        </w:rPr>
        <w:t>Load/COP</w:t>
      </w:r>
      <w:r w:rsidRPr="00A94043">
        <w:t>(</w:t>
      </w:r>
      <w:r w:rsidRPr="00A94043">
        <w:rPr>
          <w:i/>
          <w:iCs/>
        </w:rPr>
        <w:t>t</w:t>
      </w:r>
      <w:r w:rsidRPr="00A94043">
        <w:rPr>
          <w:i/>
          <w:iCs/>
          <w:vertAlign w:val="subscript"/>
        </w:rPr>
        <w:t>j</w:t>
      </w:r>
      <w:r w:rsidRPr="00A94043">
        <w:t>)</w:t>
      </w:r>
    </w:p>
    <w:p w14:paraId="4E67E3C6" w14:textId="77777777" w:rsidR="001563BF" w:rsidRPr="00A94043" w:rsidRDefault="001563BF" w:rsidP="001563BF">
      <w:pPr>
        <w:ind w:left="1440"/>
      </w:pPr>
      <w:r w:rsidRPr="00A94043">
        <w:rPr>
          <w:i/>
          <w:iCs/>
        </w:rPr>
        <w:tab/>
      </w:r>
      <w:r w:rsidRPr="00A94043">
        <w:t xml:space="preserve">where  </w:t>
      </w:r>
      <w:r w:rsidRPr="00A94043">
        <w:rPr>
          <w:i/>
          <w:iCs/>
        </w:rPr>
        <w:t>COP</w:t>
      </w:r>
      <w:r w:rsidRPr="00A94043">
        <w:t>(</w:t>
      </w:r>
      <w:r w:rsidRPr="00A94043">
        <w:rPr>
          <w:i/>
          <w:iCs/>
        </w:rPr>
        <w:t>t</w:t>
      </w:r>
      <w:r w:rsidRPr="00A94043">
        <w:rPr>
          <w:i/>
          <w:iCs/>
          <w:vertAlign w:val="subscript"/>
        </w:rPr>
        <w:t>j</w:t>
      </w:r>
      <w:r w:rsidRPr="00A94043">
        <w:t xml:space="preserve">) = </w:t>
      </w:r>
      <w:r w:rsidRPr="00A94043">
        <w:rPr>
          <w:i/>
          <w:iCs/>
        </w:rPr>
        <w:t>COP</w:t>
      </w:r>
      <w:r w:rsidRPr="00A94043">
        <w:rPr>
          <w:i/>
          <w:iCs/>
          <w:vertAlign w:val="subscript"/>
        </w:rPr>
        <w:t>half</w:t>
      </w:r>
      <w:r w:rsidRPr="00A94043">
        <w:t xml:space="preserve"> + (</w:t>
      </w:r>
      <w:r w:rsidRPr="00A94043">
        <w:rPr>
          <w:i/>
          <w:iCs/>
        </w:rPr>
        <w:t>COP</w:t>
      </w:r>
      <w:r w:rsidRPr="00A94043">
        <w:rPr>
          <w:i/>
          <w:iCs/>
          <w:vertAlign w:val="subscript"/>
        </w:rPr>
        <w:t>min</w:t>
      </w:r>
      <w:r w:rsidRPr="00A94043">
        <w:rPr>
          <w:i/>
          <w:iCs/>
        </w:rPr>
        <w:t xml:space="preserve"> – COP</w:t>
      </w:r>
      <w:r w:rsidRPr="00A94043">
        <w:rPr>
          <w:i/>
          <w:iCs/>
          <w:vertAlign w:val="subscript"/>
        </w:rPr>
        <w:t>half</w:t>
      </w:r>
      <w:r w:rsidRPr="00A94043">
        <w:t>) x (</w:t>
      </w:r>
      <w:r w:rsidRPr="00A94043">
        <w:rPr>
          <w:i/>
          <w:iCs/>
        </w:rPr>
        <w:t>t</w:t>
      </w:r>
      <w:r w:rsidRPr="00A94043">
        <w:rPr>
          <w:i/>
          <w:iCs/>
          <w:vertAlign w:val="subscript"/>
        </w:rPr>
        <w:t>j</w:t>
      </w:r>
      <w:r w:rsidRPr="00A94043">
        <w:t xml:space="preserve"> – T</w:t>
      </w:r>
      <w:r w:rsidRPr="00A94043">
        <w:rPr>
          <w:i/>
          <w:iCs/>
          <w:vertAlign w:val="subscript"/>
        </w:rPr>
        <w:t>half</w:t>
      </w:r>
      <w:r w:rsidRPr="00A94043">
        <w:t>)/(T</w:t>
      </w:r>
      <w:r w:rsidRPr="00A94043">
        <w:rPr>
          <w:i/>
          <w:iCs/>
          <w:vertAlign w:val="subscript"/>
        </w:rPr>
        <w:t>min</w:t>
      </w:r>
      <w:r w:rsidRPr="00A94043">
        <w:t xml:space="preserve"> – T</w:t>
      </w:r>
      <w:r w:rsidRPr="00A94043">
        <w:rPr>
          <w:i/>
          <w:iCs/>
          <w:vertAlign w:val="subscript"/>
        </w:rPr>
        <w:t>half</w:t>
      </w:r>
      <w:r w:rsidRPr="00A94043">
        <w:t>)</w:t>
      </w:r>
    </w:p>
    <w:p w14:paraId="029A06BD" w14:textId="77777777" w:rsidR="001563BF" w:rsidRPr="00A94043" w:rsidRDefault="001563BF" w:rsidP="001563BF">
      <w:pPr>
        <w:ind w:left="2880"/>
      </w:pPr>
      <w:r w:rsidRPr="00A94043">
        <w:t xml:space="preserve">where </w:t>
      </w:r>
      <w:r w:rsidRPr="00A94043">
        <w:tab/>
      </w:r>
      <w:r w:rsidRPr="00A94043">
        <w:rPr>
          <w:i/>
          <w:iCs/>
        </w:rPr>
        <w:t>COP</w:t>
      </w:r>
      <w:r w:rsidRPr="00A94043">
        <w:rPr>
          <w:i/>
          <w:iCs/>
          <w:vertAlign w:val="subscript"/>
        </w:rPr>
        <w:t>min</w:t>
      </w:r>
      <w:r w:rsidRPr="00A94043">
        <w:t xml:space="preserve"> = </w:t>
      </w:r>
      <w:r w:rsidRPr="00A94043">
        <w:rPr>
          <w:i/>
          <w:iCs/>
        </w:rPr>
        <w:t>Minimum Capacity</w:t>
      </w:r>
      <w:r w:rsidRPr="00A94043">
        <w:t xml:space="preserve"> / </w:t>
      </w:r>
      <w:r w:rsidRPr="00A94043">
        <w:rPr>
          <w:i/>
          <w:iCs/>
        </w:rPr>
        <w:t>Minimum Power</w:t>
      </w:r>
      <w:r w:rsidRPr="00A94043">
        <w:t xml:space="preserve">; </w:t>
      </w:r>
      <w:r w:rsidRPr="00A94043">
        <w:rPr>
          <w:i/>
          <w:iCs/>
        </w:rPr>
        <w:t>COP</w:t>
      </w:r>
      <w:r w:rsidRPr="00A94043">
        <w:rPr>
          <w:i/>
          <w:iCs/>
          <w:vertAlign w:val="subscript"/>
        </w:rPr>
        <w:t>half</w:t>
      </w:r>
      <w:r w:rsidRPr="00A94043">
        <w:t xml:space="preserve"> = </w:t>
      </w:r>
      <w:r w:rsidRPr="00A94043">
        <w:rPr>
          <w:i/>
          <w:iCs/>
        </w:rPr>
        <w:t>Half Capacity</w:t>
      </w:r>
      <w:r w:rsidRPr="00A94043">
        <w:t xml:space="preserve"> / </w:t>
      </w:r>
      <w:r w:rsidRPr="00A94043">
        <w:rPr>
          <w:i/>
          <w:iCs/>
        </w:rPr>
        <w:t>Half Power; T</w:t>
      </w:r>
      <w:r w:rsidRPr="00A94043">
        <w:rPr>
          <w:i/>
          <w:iCs/>
          <w:vertAlign w:val="subscript"/>
        </w:rPr>
        <w:t>min</w:t>
      </w:r>
      <w:r w:rsidRPr="00A94043">
        <w:t xml:space="preserve"> is the outdoor temperature for which the </w:t>
      </w:r>
      <w:r w:rsidRPr="00A94043">
        <w:lastRenderedPageBreak/>
        <w:t xml:space="preserve">heating load is equal to </w:t>
      </w:r>
      <w:r w:rsidRPr="00A94043">
        <w:rPr>
          <w:i/>
          <w:iCs/>
        </w:rPr>
        <w:t>Minimum Capacity</w:t>
      </w:r>
      <w:r w:rsidRPr="00A94043">
        <w:t xml:space="preserve">; and </w:t>
      </w:r>
      <w:r w:rsidRPr="00A94043">
        <w:rPr>
          <w:i/>
          <w:iCs/>
        </w:rPr>
        <w:t>T</w:t>
      </w:r>
      <w:r w:rsidRPr="00A94043">
        <w:rPr>
          <w:i/>
          <w:iCs/>
          <w:vertAlign w:val="subscript"/>
        </w:rPr>
        <w:t>half</w:t>
      </w:r>
      <w:r w:rsidRPr="00A94043">
        <w:t xml:space="preserve"> is the outdoor temperature for which the heating load is equal to </w:t>
      </w:r>
      <w:r w:rsidRPr="00A94043">
        <w:rPr>
          <w:i/>
          <w:iCs/>
        </w:rPr>
        <w:t>Half Capacity</w:t>
      </w:r>
      <w:r w:rsidRPr="00A94043">
        <w:t>.</w:t>
      </w:r>
    </w:p>
    <w:p w14:paraId="6A013209" w14:textId="77777777" w:rsidR="001563BF" w:rsidRPr="00A94043" w:rsidRDefault="001563BF" w:rsidP="001563BF">
      <w:pPr>
        <w:ind w:left="1440"/>
        <w:rPr>
          <w:i/>
          <w:iCs/>
        </w:rPr>
      </w:pPr>
      <w:r w:rsidRPr="00A94043">
        <w:rPr>
          <w:i/>
          <w:iCs/>
        </w:rPr>
        <w:t>Power</w:t>
      </w:r>
      <w:r w:rsidRPr="00A94043">
        <w:rPr>
          <w:i/>
          <w:iCs/>
          <w:vertAlign w:val="subscript"/>
        </w:rPr>
        <w:t>half-full</w:t>
      </w:r>
      <w:r w:rsidRPr="00A94043">
        <w:t xml:space="preserve"> = </w:t>
      </w:r>
      <w:r w:rsidRPr="00A94043">
        <w:rPr>
          <w:i/>
          <w:iCs/>
        </w:rPr>
        <w:t>Load/COP</w:t>
      </w:r>
      <w:r w:rsidRPr="00A94043">
        <w:t>(</w:t>
      </w:r>
      <w:r w:rsidRPr="00A94043">
        <w:rPr>
          <w:i/>
          <w:iCs/>
        </w:rPr>
        <w:t>t</w:t>
      </w:r>
      <w:r w:rsidRPr="00A94043">
        <w:rPr>
          <w:i/>
          <w:iCs/>
          <w:vertAlign w:val="subscript"/>
        </w:rPr>
        <w:t>j</w:t>
      </w:r>
      <w:r w:rsidRPr="00A94043">
        <w:t>)</w:t>
      </w:r>
    </w:p>
    <w:p w14:paraId="4AE97803" w14:textId="77777777" w:rsidR="001563BF" w:rsidRPr="00A94043" w:rsidRDefault="001563BF" w:rsidP="001563BF">
      <w:pPr>
        <w:ind w:left="1440"/>
      </w:pPr>
      <w:r w:rsidRPr="00A94043">
        <w:rPr>
          <w:i/>
          <w:iCs/>
        </w:rPr>
        <w:tab/>
      </w:r>
      <w:r w:rsidRPr="00A94043">
        <w:t xml:space="preserve">where  </w:t>
      </w:r>
      <w:r w:rsidRPr="00A94043">
        <w:rPr>
          <w:i/>
          <w:iCs/>
        </w:rPr>
        <w:t>COP</w:t>
      </w:r>
      <w:r w:rsidRPr="00A94043">
        <w:t>(</w:t>
      </w:r>
      <w:r w:rsidRPr="00A94043">
        <w:rPr>
          <w:i/>
          <w:iCs/>
        </w:rPr>
        <w:t>t</w:t>
      </w:r>
      <w:r w:rsidRPr="00A94043">
        <w:rPr>
          <w:i/>
          <w:iCs/>
          <w:vertAlign w:val="subscript"/>
        </w:rPr>
        <w:t>j</w:t>
      </w:r>
      <w:r w:rsidRPr="00A94043">
        <w:t xml:space="preserve">) = </w:t>
      </w:r>
      <w:r w:rsidRPr="00A94043">
        <w:rPr>
          <w:i/>
          <w:iCs/>
        </w:rPr>
        <w:t>COP</w:t>
      </w:r>
      <w:r w:rsidRPr="00A94043">
        <w:rPr>
          <w:i/>
          <w:iCs/>
          <w:vertAlign w:val="subscript"/>
        </w:rPr>
        <w:t>ful</w:t>
      </w:r>
      <w:r w:rsidRPr="00A94043">
        <w:t xml:space="preserve"> + (</w:t>
      </w:r>
      <w:r w:rsidRPr="00A94043">
        <w:rPr>
          <w:i/>
          <w:iCs/>
        </w:rPr>
        <w:t>COP</w:t>
      </w:r>
      <w:r w:rsidRPr="00A94043">
        <w:rPr>
          <w:i/>
          <w:iCs/>
          <w:vertAlign w:val="subscript"/>
        </w:rPr>
        <w:t>half</w:t>
      </w:r>
      <w:r w:rsidRPr="00A94043">
        <w:rPr>
          <w:i/>
          <w:iCs/>
        </w:rPr>
        <w:t xml:space="preserve"> – COP</w:t>
      </w:r>
      <w:r w:rsidRPr="00A94043">
        <w:rPr>
          <w:i/>
          <w:iCs/>
          <w:vertAlign w:val="subscript"/>
        </w:rPr>
        <w:t>ful</w:t>
      </w:r>
      <w:r w:rsidRPr="00A94043">
        <w:t>) x (</w:t>
      </w:r>
      <w:r w:rsidRPr="00A94043">
        <w:rPr>
          <w:i/>
          <w:iCs/>
        </w:rPr>
        <w:t>t</w:t>
      </w:r>
      <w:r w:rsidRPr="00A94043">
        <w:rPr>
          <w:i/>
          <w:iCs/>
          <w:vertAlign w:val="subscript"/>
        </w:rPr>
        <w:t>j</w:t>
      </w:r>
      <w:r w:rsidRPr="00A94043">
        <w:t xml:space="preserve"> – T</w:t>
      </w:r>
      <w:r w:rsidRPr="00A94043">
        <w:rPr>
          <w:i/>
          <w:iCs/>
          <w:vertAlign w:val="subscript"/>
        </w:rPr>
        <w:t>full</w:t>
      </w:r>
      <w:r w:rsidRPr="00A94043">
        <w:t>)/(T</w:t>
      </w:r>
      <w:r w:rsidRPr="00A94043">
        <w:rPr>
          <w:i/>
          <w:iCs/>
          <w:vertAlign w:val="subscript"/>
        </w:rPr>
        <w:t>half</w:t>
      </w:r>
      <w:r w:rsidRPr="00A94043">
        <w:t xml:space="preserve"> – T</w:t>
      </w:r>
      <w:r w:rsidRPr="00A94043">
        <w:rPr>
          <w:i/>
          <w:iCs/>
          <w:vertAlign w:val="subscript"/>
        </w:rPr>
        <w:t>full</w:t>
      </w:r>
      <w:r w:rsidRPr="00A94043">
        <w:t>)</w:t>
      </w:r>
    </w:p>
    <w:p w14:paraId="3B1CCA14" w14:textId="53CE3ECB" w:rsidR="001563BF" w:rsidRPr="00A94043" w:rsidRDefault="001563BF" w:rsidP="001563BF">
      <w:pPr>
        <w:ind w:left="2127"/>
      </w:pPr>
      <w:r w:rsidRPr="00A94043">
        <w:t xml:space="preserve">where </w:t>
      </w:r>
      <w:r w:rsidRPr="00A94043">
        <w:tab/>
      </w:r>
      <w:r w:rsidRPr="00A94043">
        <w:rPr>
          <w:i/>
          <w:iCs/>
        </w:rPr>
        <w:t>COP</w:t>
      </w:r>
      <w:r w:rsidRPr="00A94043">
        <w:rPr>
          <w:i/>
          <w:iCs/>
          <w:vertAlign w:val="subscript"/>
        </w:rPr>
        <w:t>half</w:t>
      </w:r>
      <w:r w:rsidRPr="00A94043">
        <w:t xml:space="preserve"> = </w:t>
      </w:r>
      <w:r w:rsidRPr="00A94043">
        <w:rPr>
          <w:i/>
          <w:iCs/>
        </w:rPr>
        <w:t>Half Capacity</w:t>
      </w:r>
      <w:r w:rsidRPr="00A94043">
        <w:t xml:space="preserve"> / </w:t>
      </w:r>
      <w:r w:rsidRPr="00A94043">
        <w:rPr>
          <w:i/>
          <w:iCs/>
        </w:rPr>
        <w:t>Half Power</w:t>
      </w:r>
      <w:r w:rsidRPr="00A94043">
        <w:t xml:space="preserve">; </w:t>
      </w:r>
      <w:r w:rsidRPr="00A94043">
        <w:rPr>
          <w:i/>
          <w:iCs/>
        </w:rPr>
        <w:t>COP</w:t>
      </w:r>
      <w:r w:rsidRPr="00A94043">
        <w:rPr>
          <w:i/>
          <w:iCs/>
          <w:vertAlign w:val="subscript"/>
        </w:rPr>
        <w:t>ful</w:t>
      </w:r>
      <w:r w:rsidRPr="00A94043">
        <w:t xml:space="preserve"> = </w:t>
      </w:r>
      <w:r w:rsidRPr="00A94043">
        <w:rPr>
          <w:i/>
          <w:iCs/>
        </w:rPr>
        <w:t>Full Capacity</w:t>
      </w:r>
      <w:r w:rsidRPr="00A94043">
        <w:t xml:space="preserve"> / </w:t>
      </w:r>
      <w:r w:rsidRPr="00A94043">
        <w:rPr>
          <w:i/>
          <w:iCs/>
        </w:rPr>
        <w:t>Full Power; T</w:t>
      </w:r>
      <w:r w:rsidRPr="00A94043">
        <w:rPr>
          <w:i/>
          <w:iCs/>
          <w:vertAlign w:val="subscript"/>
        </w:rPr>
        <w:t>half</w:t>
      </w:r>
      <w:r w:rsidRPr="00A94043">
        <w:t xml:space="preserve"> is the outdoor temperature for which the heating load is equal to </w:t>
      </w:r>
      <w:r w:rsidRPr="00A94043">
        <w:rPr>
          <w:i/>
          <w:iCs/>
        </w:rPr>
        <w:t>Half Capacity</w:t>
      </w:r>
      <w:r w:rsidRPr="00A94043">
        <w:t xml:space="preserve">; and </w:t>
      </w:r>
      <w:r w:rsidRPr="00A94043">
        <w:rPr>
          <w:i/>
          <w:iCs/>
        </w:rPr>
        <w:t>T</w:t>
      </w:r>
      <w:r w:rsidRPr="00A94043">
        <w:rPr>
          <w:i/>
          <w:iCs/>
          <w:vertAlign w:val="subscript"/>
        </w:rPr>
        <w:t>full</w:t>
      </w:r>
      <w:r w:rsidRPr="00A94043">
        <w:t xml:space="preserve"> is the outdoor temperature for which the heating load is equal to </w:t>
      </w:r>
      <w:r w:rsidRPr="00A94043">
        <w:rPr>
          <w:i/>
          <w:iCs/>
        </w:rPr>
        <w:t>Full Capacity</w:t>
      </w:r>
      <w:r w:rsidRPr="00A94043">
        <w:t>.</w:t>
      </w:r>
    </w:p>
    <w:p w14:paraId="4D02B33C" w14:textId="02C72A5B" w:rsidR="00414625" w:rsidRPr="00A94043" w:rsidRDefault="00414625" w:rsidP="00414625">
      <w:r w:rsidRPr="00A94043">
        <w:t>This calculation method is used for</w:t>
      </w:r>
      <w:r w:rsidR="00BA77E3">
        <w:t>:</w:t>
      </w:r>
      <w:r w:rsidRPr="00A94043">
        <w:t xml:space="preserve"> solid</w:t>
      </w:r>
      <w:r w:rsidR="000C6ABB">
        <w:t xml:space="preserve"> </w:t>
      </w:r>
      <w:r w:rsidRPr="00A94043">
        <w:t>fuel combustion heaters with adjustable air controls based on their high, medium and low burn rates</w:t>
      </w:r>
      <w:r w:rsidR="00BA77E3">
        <w:t>;</w:t>
      </w:r>
      <w:r w:rsidRPr="00A94043">
        <w:t xml:space="preserve"> and ducted gas heaters based on the nominal gas consumption and thermal efficiency of the product, and the high load and low load test results.</w:t>
      </w:r>
    </w:p>
    <w:p w14:paraId="509B03EA" w14:textId="77777777" w:rsidR="00680FF2" w:rsidRPr="00A94043" w:rsidRDefault="00680FF2" w:rsidP="00680FF2"/>
    <w:p w14:paraId="7F2F5BE4" w14:textId="77777777" w:rsidR="00AF2B8C" w:rsidRPr="00A94043" w:rsidRDefault="00AF2B8C" w:rsidP="00A75EF8">
      <w:pPr>
        <w:pStyle w:val="Heading1"/>
        <w:sectPr w:rsidR="00AF2B8C" w:rsidRPr="00A94043" w:rsidSect="002351D4">
          <w:pgSz w:w="11906" w:h="16838" w:code="9"/>
          <w:pgMar w:top="1729" w:right="1140" w:bottom="1701" w:left="1140" w:header="578" w:footer="720" w:gutter="0"/>
          <w:cols w:space="708"/>
          <w:docGrid w:linePitch="360"/>
        </w:sectPr>
      </w:pPr>
    </w:p>
    <w:p w14:paraId="1C310847" w14:textId="10C584CE" w:rsidR="00A75EF8" w:rsidRPr="004F5C1E" w:rsidRDefault="00A75EF8" w:rsidP="004F5C1E">
      <w:pPr>
        <w:pStyle w:val="Heading1"/>
      </w:pPr>
      <w:bookmarkStart w:id="93" w:name="_Ref159309845"/>
      <w:bookmarkStart w:id="94" w:name="_Ref159309970"/>
      <w:bookmarkStart w:id="95" w:name="_Ref159310060"/>
      <w:bookmarkStart w:id="96" w:name="_Ref159312991"/>
      <w:bookmarkStart w:id="97" w:name="_Toc175311937"/>
      <w:r w:rsidRPr="004F5C1E">
        <w:lastRenderedPageBreak/>
        <w:t xml:space="preserve">Appendix </w:t>
      </w:r>
      <w:r w:rsidR="00CA24FD" w:rsidRPr="004F5C1E">
        <w:t>4</w:t>
      </w:r>
      <w:r w:rsidRPr="004F5C1E">
        <w:t xml:space="preserve">:  </w:t>
      </w:r>
      <w:r w:rsidR="00AF2B8C" w:rsidRPr="004F5C1E">
        <w:t>Example data and results</w:t>
      </w:r>
      <w:bookmarkEnd w:id="93"/>
      <w:bookmarkEnd w:id="94"/>
      <w:bookmarkEnd w:id="95"/>
      <w:bookmarkEnd w:id="96"/>
      <w:bookmarkEnd w:id="97"/>
    </w:p>
    <w:p w14:paraId="0D07AE28" w14:textId="45426581" w:rsidR="00AF2B8C" w:rsidRPr="00A94043" w:rsidRDefault="00AF2B8C" w:rsidP="00AF2B8C">
      <w:pPr>
        <w:pStyle w:val="NoSpacing"/>
        <w:rPr>
          <w:rFonts w:asciiTheme="minorHAnsi" w:hAnsiTheme="minorHAnsi" w:cstheme="minorHAnsi"/>
        </w:rPr>
      </w:pPr>
      <w:r w:rsidRPr="00A94043">
        <w:rPr>
          <w:rFonts w:asciiTheme="minorHAnsi" w:hAnsiTheme="minorHAnsi" w:cstheme="minorHAnsi"/>
        </w:rPr>
        <w:t>There are several inputs to the comparison methodology which describe the key characteristics of each heater type. Example data for each heater type is provided below, along with calculation results.</w:t>
      </w:r>
      <w:r w:rsidR="00052643">
        <w:rPr>
          <w:rFonts w:asciiTheme="minorHAnsi" w:hAnsiTheme="minorHAnsi" w:cstheme="minorHAnsi"/>
        </w:rPr>
        <w:t xml:space="preserve"> The example data is based on </w:t>
      </w:r>
      <w:r w:rsidR="00A96556">
        <w:rPr>
          <w:rFonts w:asciiTheme="minorHAnsi" w:hAnsiTheme="minorHAnsi" w:cstheme="minorHAnsi"/>
        </w:rPr>
        <w:t>GEMS registry data for air conditioners</w:t>
      </w:r>
      <w:r w:rsidR="000812E4">
        <w:rPr>
          <w:rFonts w:asciiTheme="minorHAnsi" w:hAnsiTheme="minorHAnsi" w:cstheme="minorHAnsi"/>
        </w:rPr>
        <w:t xml:space="preserve">, and for other heater types was </w:t>
      </w:r>
      <w:r w:rsidR="000812E4">
        <w:t>identified from reviewing specifications of products in the marketplace</w:t>
      </w:r>
      <w:r w:rsidR="009636C3">
        <w:rPr>
          <w:rFonts w:asciiTheme="minorHAnsi" w:hAnsiTheme="minorHAnsi" w:cstheme="minorHAnsi"/>
        </w:rPr>
        <w:t>.</w:t>
      </w:r>
      <w:r w:rsidR="00E92F78">
        <w:rPr>
          <w:rFonts w:asciiTheme="minorHAnsi" w:hAnsiTheme="minorHAnsi" w:cstheme="minorHAnsi"/>
        </w:rPr>
        <w:t xml:space="preserve"> Th</w:t>
      </w:r>
      <w:r w:rsidR="00CF25E6">
        <w:rPr>
          <w:rFonts w:asciiTheme="minorHAnsi" w:hAnsiTheme="minorHAnsi" w:cstheme="minorHAnsi"/>
        </w:rPr>
        <w:t>e example</w:t>
      </w:r>
      <w:r w:rsidR="00A47129">
        <w:rPr>
          <w:rFonts w:asciiTheme="minorHAnsi" w:hAnsiTheme="minorHAnsi" w:cstheme="minorHAnsi"/>
        </w:rPr>
        <w:t xml:space="preserve"> heater</w:t>
      </w:r>
      <w:r w:rsidR="00D42E42">
        <w:rPr>
          <w:rFonts w:asciiTheme="minorHAnsi" w:hAnsiTheme="minorHAnsi" w:cstheme="minorHAnsi"/>
        </w:rPr>
        <w:t>s</w:t>
      </w:r>
      <w:r w:rsidR="00A47129">
        <w:rPr>
          <w:rFonts w:asciiTheme="minorHAnsi" w:hAnsiTheme="minorHAnsi" w:cstheme="minorHAnsi"/>
        </w:rPr>
        <w:t xml:space="preserve"> </w:t>
      </w:r>
      <w:r w:rsidR="00103018">
        <w:rPr>
          <w:rFonts w:asciiTheme="minorHAnsi" w:hAnsiTheme="minorHAnsi" w:cstheme="minorHAnsi"/>
        </w:rPr>
        <w:t xml:space="preserve">in this Appendix </w:t>
      </w:r>
      <w:r w:rsidR="00A47129">
        <w:rPr>
          <w:rFonts w:asciiTheme="minorHAnsi" w:hAnsiTheme="minorHAnsi" w:cstheme="minorHAnsi"/>
        </w:rPr>
        <w:t xml:space="preserve">correspond to those </w:t>
      </w:r>
      <w:r w:rsidR="00D42E42">
        <w:rPr>
          <w:rFonts w:asciiTheme="minorHAnsi" w:hAnsiTheme="minorHAnsi" w:cstheme="minorHAnsi"/>
        </w:rPr>
        <w:t xml:space="preserve">presented </w:t>
      </w:r>
      <w:r w:rsidR="00A47129">
        <w:rPr>
          <w:rFonts w:asciiTheme="minorHAnsi" w:hAnsiTheme="minorHAnsi" w:cstheme="minorHAnsi"/>
        </w:rPr>
        <w:t xml:space="preserve">in </w:t>
      </w:r>
      <w:r w:rsidR="000812E4">
        <w:rPr>
          <w:rFonts w:asciiTheme="minorHAnsi" w:hAnsiTheme="minorHAnsi" w:cstheme="minorHAnsi"/>
        </w:rPr>
        <w:fldChar w:fldCharType="begin"/>
      </w:r>
      <w:r w:rsidR="000812E4">
        <w:rPr>
          <w:rFonts w:asciiTheme="minorHAnsi" w:hAnsiTheme="minorHAnsi" w:cstheme="minorHAnsi"/>
        </w:rPr>
        <w:instrText xml:space="preserve"> REF _Ref162965980 \h </w:instrText>
      </w:r>
      <w:r w:rsidR="000812E4">
        <w:rPr>
          <w:rFonts w:asciiTheme="minorHAnsi" w:hAnsiTheme="minorHAnsi" w:cstheme="minorHAnsi"/>
        </w:rPr>
      </w:r>
      <w:r w:rsidR="000812E4">
        <w:rPr>
          <w:rFonts w:asciiTheme="minorHAnsi" w:hAnsiTheme="minorHAnsi" w:cstheme="minorHAnsi"/>
        </w:rPr>
        <w:fldChar w:fldCharType="separate"/>
      </w:r>
      <w:r w:rsidR="007068DD" w:rsidRPr="00A94043">
        <w:t xml:space="preserve">Table </w:t>
      </w:r>
      <w:r w:rsidR="007068DD">
        <w:rPr>
          <w:noProof/>
        </w:rPr>
        <w:t>5</w:t>
      </w:r>
      <w:r w:rsidR="000812E4">
        <w:rPr>
          <w:rFonts w:asciiTheme="minorHAnsi" w:hAnsiTheme="minorHAnsi" w:cstheme="minorHAnsi"/>
        </w:rPr>
        <w:fldChar w:fldCharType="end"/>
      </w:r>
      <w:r w:rsidR="00CF25E6">
        <w:rPr>
          <w:rFonts w:asciiTheme="minorHAnsi" w:hAnsiTheme="minorHAnsi" w:cstheme="minorHAnsi"/>
        </w:rPr>
        <w:t>.</w:t>
      </w:r>
      <w:r w:rsidR="009636C3">
        <w:rPr>
          <w:rFonts w:asciiTheme="minorHAnsi" w:hAnsiTheme="minorHAnsi" w:cstheme="minorHAnsi"/>
        </w:rPr>
        <w:t xml:space="preserve"> The</w:t>
      </w:r>
      <w:r w:rsidR="00B469A1">
        <w:rPr>
          <w:rFonts w:asciiTheme="minorHAnsi" w:hAnsiTheme="minorHAnsi" w:cstheme="minorHAnsi"/>
        </w:rPr>
        <w:t xml:space="preserve"> example data and results </w:t>
      </w:r>
      <w:r w:rsidR="00F2015E">
        <w:rPr>
          <w:rFonts w:asciiTheme="minorHAnsi" w:hAnsiTheme="minorHAnsi" w:cstheme="minorHAnsi"/>
        </w:rPr>
        <w:t>demonstrate</w:t>
      </w:r>
      <w:r w:rsidR="000812E4">
        <w:rPr>
          <w:rFonts w:asciiTheme="minorHAnsi" w:hAnsiTheme="minorHAnsi" w:cstheme="minorHAnsi"/>
        </w:rPr>
        <w:t xml:space="preserve"> the input values used to generate </w:t>
      </w:r>
      <w:r w:rsidR="000812E4">
        <w:rPr>
          <w:rFonts w:asciiTheme="minorHAnsi" w:hAnsiTheme="minorHAnsi" w:cstheme="minorHAnsi"/>
        </w:rPr>
        <w:fldChar w:fldCharType="begin"/>
      </w:r>
      <w:r w:rsidR="000812E4">
        <w:rPr>
          <w:rFonts w:asciiTheme="minorHAnsi" w:hAnsiTheme="minorHAnsi" w:cstheme="minorHAnsi"/>
        </w:rPr>
        <w:instrText xml:space="preserve"> REF _Ref162965980 \h </w:instrText>
      </w:r>
      <w:r w:rsidR="000812E4">
        <w:rPr>
          <w:rFonts w:asciiTheme="minorHAnsi" w:hAnsiTheme="minorHAnsi" w:cstheme="minorHAnsi"/>
        </w:rPr>
      </w:r>
      <w:r w:rsidR="000812E4">
        <w:rPr>
          <w:rFonts w:asciiTheme="minorHAnsi" w:hAnsiTheme="minorHAnsi" w:cstheme="minorHAnsi"/>
        </w:rPr>
        <w:fldChar w:fldCharType="separate"/>
      </w:r>
      <w:r w:rsidR="007068DD" w:rsidRPr="00A94043">
        <w:t xml:space="preserve">Table </w:t>
      </w:r>
      <w:r w:rsidR="007068DD">
        <w:rPr>
          <w:noProof/>
        </w:rPr>
        <w:t>5</w:t>
      </w:r>
      <w:r w:rsidR="000812E4">
        <w:rPr>
          <w:rFonts w:asciiTheme="minorHAnsi" w:hAnsiTheme="minorHAnsi" w:cstheme="minorHAnsi"/>
        </w:rPr>
        <w:fldChar w:fldCharType="end"/>
      </w:r>
      <w:r w:rsidR="000812E4">
        <w:rPr>
          <w:rFonts w:asciiTheme="minorHAnsi" w:hAnsiTheme="minorHAnsi" w:cstheme="minorHAnsi"/>
        </w:rPr>
        <w:t>.</w:t>
      </w:r>
    </w:p>
    <w:p w14:paraId="6F6E0A25" w14:textId="77777777" w:rsidR="00AF2B8C" w:rsidRPr="00A94043" w:rsidRDefault="00AF2B8C" w:rsidP="00AF2B8C">
      <w:pPr>
        <w:pStyle w:val="NoSpacing"/>
        <w:rPr>
          <w:rFonts w:asciiTheme="minorHAnsi" w:hAnsiTheme="minorHAnsi" w:cstheme="minorHAnsi"/>
        </w:rPr>
      </w:pPr>
    </w:p>
    <w:p w14:paraId="6B8831B0" w14:textId="77777777" w:rsidR="00AF2B8C" w:rsidRPr="00A94043" w:rsidRDefault="00AF2B8C" w:rsidP="00AF2B8C">
      <w:pPr>
        <w:pStyle w:val="Heading3"/>
      </w:pPr>
      <w:bookmarkStart w:id="98" w:name="_Toc175311938"/>
      <w:r w:rsidRPr="00A94043">
        <w:t>Gas space heaters (non-ducted) and gas decorative appliances</w:t>
      </w:r>
      <w:bookmarkEnd w:id="98"/>
    </w:p>
    <w:p w14:paraId="71CA10CA" w14:textId="5A6EE775" w:rsidR="00AF2B8C" w:rsidRPr="00A94043" w:rsidRDefault="00724156" w:rsidP="00AF2B8C">
      <w:pPr>
        <w:pStyle w:val="NoSpacing"/>
        <w:rPr>
          <w:b/>
          <w:bCs/>
        </w:rPr>
      </w:pPr>
      <w:r w:rsidRPr="00A94043">
        <w:rPr>
          <w:b/>
          <w:bCs/>
        </w:rPr>
        <w:t>Product Type and HSEC Calculation Method:</w:t>
      </w:r>
    </w:p>
    <w:tbl>
      <w:tblPr>
        <w:tblStyle w:val="TableGrid"/>
        <w:tblW w:w="0" w:type="auto"/>
        <w:tblLook w:val="04A0" w:firstRow="1" w:lastRow="0" w:firstColumn="1" w:lastColumn="0" w:noHBand="0" w:noVBand="1"/>
      </w:tblPr>
      <w:tblGrid>
        <w:gridCol w:w="840"/>
        <w:gridCol w:w="2672"/>
        <w:gridCol w:w="4421"/>
        <w:gridCol w:w="2835"/>
      </w:tblGrid>
      <w:tr w:rsidR="00724156" w:rsidRPr="00A94043" w14:paraId="7EBA397D" w14:textId="77777777" w:rsidTr="00A94043">
        <w:trPr>
          <w:trHeight w:val="290"/>
        </w:trPr>
        <w:tc>
          <w:tcPr>
            <w:tcW w:w="840" w:type="dxa"/>
            <w:vMerge w:val="restart"/>
            <w:hideMark/>
          </w:tcPr>
          <w:p w14:paraId="3952A697" w14:textId="77777777" w:rsidR="00724156" w:rsidRPr="00A94043" w:rsidRDefault="00724156" w:rsidP="00724156">
            <w:pPr>
              <w:pStyle w:val="NoSpacing"/>
              <w:rPr>
                <w:b/>
                <w:bCs/>
              </w:rPr>
            </w:pPr>
            <w:r w:rsidRPr="00A94043">
              <w:rPr>
                <w:b/>
                <w:bCs/>
              </w:rPr>
              <w:t>Heater Unit</w:t>
            </w:r>
          </w:p>
        </w:tc>
        <w:tc>
          <w:tcPr>
            <w:tcW w:w="2672" w:type="dxa"/>
            <w:vMerge w:val="restart"/>
            <w:hideMark/>
          </w:tcPr>
          <w:p w14:paraId="32CDC3AD" w14:textId="77777777" w:rsidR="00724156" w:rsidRPr="00A94043" w:rsidRDefault="00724156" w:rsidP="00724156">
            <w:pPr>
              <w:pStyle w:val="NoSpacing"/>
              <w:rPr>
                <w:b/>
                <w:bCs/>
              </w:rPr>
            </w:pPr>
            <w:r w:rsidRPr="00A94043">
              <w:rPr>
                <w:b/>
                <w:bCs/>
              </w:rPr>
              <w:t>Technology Type</w:t>
            </w:r>
          </w:p>
        </w:tc>
        <w:tc>
          <w:tcPr>
            <w:tcW w:w="4421" w:type="dxa"/>
            <w:vMerge w:val="restart"/>
            <w:hideMark/>
          </w:tcPr>
          <w:p w14:paraId="1AD88F01" w14:textId="77777777" w:rsidR="00724156" w:rsidRPr="00A94043" w:rsidRDefault="00724156" w:rsidP="00724156">
            <w:pPr>
              <w:pStyle w:val="NoSpacing"/>
              <w:rPr>
                <w:b/>
                <w:bCs/>
              </w:rPr>
            </w:pPr>
            <w:r w:rsidRPr="00A94043">
              <w:rPr>
                <w:b/>
                <w:bCs/>
              </w:rPr>
              <w:t>Characteristics</w:t>
            </w:r>
          </w:p>
        </w:tc>
        <w:tc>
          <w:tcPr>
            <w:tcW w:w="2835" w:type="dxa"/>
            <w:vMerge w:val="restart"/>
            <w:hideMark/>
          </w:tcPr>
          <w:p w14:paraId="00F2D3F6" w14:textId="77777777" w:rsidR="00724156" w:rsidRPr="00A94043" w:rsidRDefault="00724156" w:rsidP="00724156">
            <w:pPr>
              <w:pStyle w:val="NoSpacing"/>
              <w:jc w:val="center"/>
              <w:rPr>
                <w:b/>
                <w:bCs/>
              </w:rPr>
            </w:pPr>
            <w:r w:rsidRPr="00A94043">
              <w:rPr>
                <w:b/>
                <w:bCs/>
              </w:rPr>
              <w:t>HSEC Calculation Method</w:t>
            </w:r>
          </w:p>
        </w:tc>
      </w:tr>
      <w:tr w:rsidR="00724156" w:rsidRPr="00A94043" w14:paraId="0D240E91" w14:textId="77777777" w:rsidTr="00A94043">
        <w:trPr>
          <w:trHeight w:val="269"/>
        </w:trPr>
        <w:tc>
          <w:tcPr>
            <w:tcW w:w="840" w:type="dxa"/>
            <w:vMerge/>
            <w:hideMark/>
          </w:tcPr>
          <w:p w14:paraId="493C684C" w14:textId="77777777" w:rsidR="00724156" w:rsidRPr="00A94043" w:rsidRDefault="00724156" w:rsidP="00724156">
            <w:pPr>
              <w:pStyle w:val="NoSpacing"/>
              <w:rPr>
                <w:b/>
                <w:bCs/>
              </w:rPr>
            </w:pPr>
          </w:p>
        </w:tc>
        <w:tc>
          <w:tcPr>
            <w:tcW w:w="2672" w:type="dxa"/>
            <w:vMerge/>
            <w:hideMark/>
          </w:tcPr>
          <w:p w14:paraId="2D7A029A" w14:textId="77777777" w:rsidR="00724156" w:rsidRPr="00A94043" w:rsidRDefault="00724156" w:rsidP="00724156">
            <w:pPr>
              <w:pStyle w:val="NoSpacing"/>
              <w:rPr>
                <w:b/>
                <w:bCs/>
              </w:rPr>
            </w:pPr>
          </w:p>
        </w:tc>
        <w:tc>
          <w:tcPr>
            <w:tcW w:w="4421" w:type="dxa"/>
            <w:vMerge/>
            <w:hideMark/>
          </w:tcPr>
          <w:p w14:paraId="3CC2A35D" w14:textId="77777777" w:rsidR="00724156" w:rsidRPr="00A94043" w:rsidRDefault="00724156" w:rsidP="00724156">
            <w:pPr>
              <w:pStyle w:val="NoSpacing"/>
              <w:rPr>
                <w:b/>
                <w:bCs/>
              </w:rPr>
            </w:pPr>
          </w:p>
        </w:tc>
        <w:tc>
          <w:tcPr>
            <w:tcW w:w="2835" w:type="dxa"/>
            <w:vMerge/>
            <w:hideMark/>
          </w:tcPr>
          <w:p w14:paraId="12020353" w14:textId="77777777" w:rsidR="00724156" w:rsidRPr="00A94043" w:rsidRDefault="00724156" w:rsidP="00724156">
            <w:pPr>
              <w:pStyle w:val="NoSpacing"/>
              <w:jc w:val="center"/>
              <w:rPr>
                <w:b/>
                <w:bCs/>
              </w:rPr>
            </w:pPr>
          </w:p>
        </w:tc>
      </w:tr>
      <w:tr w:rsidR="00724156" w:rsidRPr="00A94043" w14:paraId="2D38CC7E" w14:textId="77777777" w:rsidTr="00A94043">
        <w:trPr>
          <w:trHeight w:val="300"/>
        </w:trPr>
        <w:tc>
          <w:tcPr>
            <w:tcW w:w="840" w:type="dxa"/>
            <w:noWrap/>
            <w:hideMark/>
          </w:tcPr>
          <w:p w14:paraId="33DE6DB6" w14:textId="77777777" w:rsidR="00724156" w:rsidRPr="00A94043" w:rsidRDefault="00724156" w:rsidP="00724156">
            <w:pPr>
              <w:pStyle w:val="NoSpacing"/>
            </w:pPr>
            <w:r w:rsidRPr="00A94043">
              <w:t>5</w:t>
            </w:r>
          </w:p>
        </w:tc>
        <w:tc>
          <w:tcPr>
            <w:tcW w:w="2672" w:type="dxa"/>
            <w:hideMark/>
          </w:tcPr>
          <w:p w14:paraId="7723A300" w14:textId="77777777" w:rsidR="00724156" w:rsidRPr="00A94043" w:rsidRDefault="00724156" w:rsidP="00724156">
            <w:pPr>
              <w:pStyle w:val="NoSpacing"/>
            </w:pPr>
            <w:r w:rsidRPr="00A94043">
              <w:t>Gas Space Heater</w:t>
            </w:r>
          </w:p>
        </w:tc>
        <w:tc>
          <w:tcPr>
            <w:tcW w:w="4421" w:type="dxa"/>
            <w:noWrap/>
            <w:hideMark/>
          </w:tcPr>
          <w:p w14:paraId="2D312692" w14:textId="77777777" w:rsidR="00724156" w:rsidRPr="00A94043" w:rsidRDefault="00724156" w:rsidP="00724156">
            <w:pPr>
              <w:pStyle w:val="NoSpacing"/>
            </w:pPr>
            <w:r w:rsidRPr="00A94043">
              <w:t>Portable, Thermostatic Control, 2 data points</w:t>
            </w:r>
          </w:p>
        </w:tc>
        <w:tc>
          <w:tcPr>
            <w:tcW w:w="2835" w:type="dxa"/>
            <w:noWrap/>
            <w:hideMark/>
          </w:tcPr>
          <w:p w14:paraId="51A17459" w14:textId="77777777" w:rsidR="00724156" w:rsidRPr="00A94043" w:rsidRDefault="00724156" w:rsidP="00724156">
            <w:pPr>
              <w:pStyle w:val="NoSpacing"/>
              <w:jc w:val="center"/>
            </w:pPr>
            <w:r w:rsidRPr="00A94043">
              <w:t>4</w:t>
            </w:r>
          </w:p>
        </w:tc>
      </w:tr>
      <w:tr w:rsidR="00724156" w:rsidRPr="00A94043" w14:paraId="55370D86" w14:textId="77777777" w:rsidTr="00A94043">
        <w:trPr>
          <w:trHeight w:val="300"/>
        </w:trPr>
        <w:tc>
          <w:tcPr>
            <w:tcW w:w="840" w:type="dxa"/>
            <w:noWrap/>
            <w:hideMark/>
          </w:tcPr>
          <w:p w14:paraId="7709D86F" w14:textId="77777777" w:rsidR="00724156" w:rsidRPr="00A94043" w:rsidRDefault="00724156" w:rsidP="00724156">
            <w:pPr>
              <w:pStyle w:val="NoSpacing"/>
            </w:pPr>
            <w:r w:rsidRPr="00A94043">
              <w:t>7</w:t>
            </w:r>
          </w:p>
        </w:tc>
        <w:tc>
          <w:tcPr>
            <w:tcW w:w="2672" w:type="dxa"/>
            <w:hideMark/>
          </w:tcPr>
          <w:p w14:paraId="4FC11249" w14:textId="2BC60A61" w:rsidR="00724156" w:rsidRPr="00A94043" w:rsidRDefault="004F1D54" w:rsidP="00724156">
            <w:pPr>
              <w:pStyle w:val="NoSpacing"/>
            </w:pPr>
            <w:r>
              <w:t xml:space="preserve">Gas </w:t>
            </w:r>
            <w:r w:rsidR="00724156" w:rsidRPr="00A94043">
              <w:t>Decorative App.</w:t>
            </w:r>
          </w:p>
        </w:tc>
        <w:tc>
          <w:tcPr>
            <w:tcW w:w="4421" w:type="dxa"/>
            <w:noWrap/>
            <w:hideMark/>
          </w:tcPr>
          <w:p w14:paraId="3CE74D04" w14:textId="77777777" w:rsidR="00724156" w:rsidRPr="00A94043" w:rsidRDefault="00724156" w:rsidP="00724156">
            <w:pPr>
              <w:pStyle w:val="NoSpacing"/>
            </w:pPr>
            <w:r w:rsidRPr="00A94043">
              <w:t>Fixed, Thermostatic Control, 2 data points</w:t>
            </w:r>
          </w:p>
        </w:tc>
        <w:tc>
          <w:tcPr>
            <w:tcW w:w="2835" w:type="dxa"/>
            <w:noWrap/>
            <w:hideMark/>
          </w:tcPr>
          <w:p w14:paraId="10826BC5" w14:textId="77777777" w:rsidR="00724156" w:rsidRPr="00A94043" w:rsidRDefault="00724156" w:rsidP="00724156">
            <w:pPr>
              <w:pStyle w:val="NoSpacing"/>
              <w:jc w:val="center"/>
            </w:pPr>
            <w:r w:rsidRPr="00A94043">
              <w:t>4</w:t>
            </w:r>
          </w:p>
        </w:tc>
      </w:tr>
      <w:tr w:rsidR="00724156" w:rsidRPr="00A94043" w14:paraId="41BC3D82" w14:textId="77777777" w:rsidTr="00A94043">
        <w:trPr>
          <w:trHeight w:val="300"/>
        </w:trPr>
        <w:tc>
          <w:tcPr>
            <w:tcW w:w="840" w:type="dxa"/>
            <w:noWrap/>
            <w:hideMark/>
          </w:tcPr>
          <w:p w14:paraId="708AEAE4" w14:textId="77777777" w:rsidR="00724156" w:rsidRPr="00A94043" w:rsidRDefault="00724156" w:rsidP="00724156">
            <w:pPr>
              <w:pStyle w:val="NoSpacing"/>
            </w:pPr>
            <w:r w:rsidRPr="00A94043">
              <w:t>12</w:t>
            </w:r>
          </w:p>
        </w:tc>
        <w:tc>
          <w:tcPr>
            <w:tcW w:w="2672" w:type="dxa"/>
            <w:hideMark/>
          </w:tcPr>
          <w:p w14:paraId="1C6228D6" w14:textId="77777777" w:rsidR="00724156" w:rsidRPr="00A94043" w:rsidRDefault="00724156" w:rsidP="00724156">
            <w:pPr>
              <w:pStyle w:val="NoSpacing"/>
            </w:pPr>
            <w:r w:rsidRPr="00A94043">
              <w:t>Gas Space Heater</w:t>
            </w:r>
          </w:p>
        </w:tc>
        <w:tc>
          <w:tcPr>
            <w:tcW w:w="4421" w:type="dxa"/>
            <w:noWrap/>
            <w:hideMark/>
          </w:tcPr>
          <w:p w14:paraId="7CC564E4" w14:textId="77777777" w:rsidR="00724156" w:rsidRPr="00A94043" w:rsidRDefault="00724156" w:rsidP="00724156">
            <w:pPr>
              <w:pStyle w:val="NoSpacing"/>
            </w:pPr>
            <w:r w:rsidRPr="00A94043">
              <w:t>Fixed, Thermostatic Control, 2 data points</w:t>
            </w:r>
          </w:p>
        </w:tc>
        <w:tc>
          <w:tcPr>
            <w:tcW w:w="2835" w:type="dxa"/>
            <w:noWrap/>
            <w:hideMark/>
          </w:tcPr>
          <w:p w14:paraId="3BBC8626" w14:textId="77777777" w:rsidR="00724156" w:rsidRPr="00A94043" w:rsidRDefault="00724156" w:rsidP="00724156">
            <w:pPr>
              <w:pStyle w:val="NoSpacing"/>
              <w:jc w:val="center"/>
            </w:pPr>
            <w:r w:rsidRPr="00A94043">
              <w:t>4</w:t>
            </w:r>
          </w:p>
        </w:tc>
      </w:tr>
      <w:tr w:rsidR="00724156" w:rsidRPr="00A94043" w14:paraId="1F65E6A9" w14:textId="77777777" w:rsidTr="00A94043">
        <w:trPr>
          <w:trHeight w:val="290"/>
        </w:trPr>
        <w:tc>
          <w:tcPr>
            <w:tcW w:w="840" w:type="dxa"/>
            <w:noWrap/>
            <w:hideMark/>
          </w:tcPr>
          <w:p w14:paraId="4519C483" w14:textId="77777777" w:rsidR="00724156" w:rsidRPr="00A94043" w:rsidRDefault="00724156" w:rsidP="00724156">
            <w:pPr>
              <w:pStyle w:val="NoSpacing"/>
            </w:pPr>
            <w:r w:rsidRPr="00A94043">
              <w:t>18</w:t>
            </w:r>
          </w:p>
        </w:tc>
        <w:tc>
          <w:tcPr>
            <w:tcW w:w="2672" w:type="dxa"/>
            <w:hideMark/>
          </w:tcPr>
          <w:p w14:paraId="0894BD12" w14:textId="77777777" w:rsidR="00724156" w:rsidRPr="00A94043" w:rsidRDefault="00724156" w:rsidP="00724156">
            <w:pPr>
              <w:pStyle w:val="NoSpacing"/>
            </w:pPr>
            <w:r w:rsidRPr="00A94043">
              <w:t>Gas Space Heater</w:t>
            </w:r>
          </w:p>
        </w:tc>
        <w:tc>
          <w:tcPr>
            <w:tcW w:w="4421" w:type="dxa"/>
            <w:noWrap/>
            <w:hideMark/>
          </w:tcPr>
          <w:p w14:paraId="4D260918" w14:textId="77777777" w:rsidR="00724156" w:rsidRPr="00A94043" w:rsidRDefault="00724156" w:rsidP="00724156">
            <w:pPr>
              <w:pStyle w:val="NoSpacing"/>
            </w:pPr>
            <w:r w:rsidRPr="00A94043">
              <w:t>Fixed, Thermostatic Control, 2 data points</w:t>
            </w:r>
          </w:p>
        </w:tc>
        <w:tc>
          <w:tcPr>
            <w:tcW w:w="2835" w:type="dxa"/>
            <w:noWrap/>
            <w:hideMark/>
          </w:tcPr>
          <w:p w14:paraId="4737C857" w14:textId="77777777" w:rsidR="00724156" w:rsidRPr="00A94043" w:rsidRDefault="00724156" w:rsidP="00724156">
            <w:pPr>
              <w:pStyle w:val="NoSpacing"/>
              <w:jc w:val="center"/>
            </w:pPr>
            <w:r w:rsidRPr="00A94043">
              <w:t>4</w:t>
            </w:r>
          </w:p>
        </w:tc>
      </w:tr>
    </w:tbl>
    <w:p w14:paraId="605FC8B0" w14:textId="77777777" w:rsidR="00724156" w:rsidRPr="00A94043" w:rsidRDefault="00724156" w:rsidP="00AF2B8C">
      <w:pPr>
        <w:pStyle w:val="NoSpacing"/>
        <w:rPr>
          <w:rFonts w:asciiTheme="minorHAnsi" w:hAnsiTheme="minorHAnsi" w:cstheme="minorHAnsi"/>
        </w:rPr>
      </w:pPr>
    </w:p>
    <w:p w14:paraId="2060A454" w14:textId="36EE88B2" w:rsidR="00724156" w:rsidRPr="00A94043" w:rsidRDefault="00724156" w:rsidP="00AF2B8C">
      <w:pPr>
        <w:pStyle w:val="NoSpacing"/>
        <w:rPr>
          <w:rFonts w:asciiTheme="minorHAnsi" w:hAnsiTheme="minorHAnsi" w:cstheme="minorHAnsi"/>
          <w:b/>
          <w:bCs/>
        </w:rPr>
      </w:pPr>
      <w:r w:rsidRPr="00A94043">
        <w:rPr>
          <w:rFonts w:asciiTheme="minorHAnsi" w:hAnsiTheme="minorHAnsi" w:cstheme="minorHAnsi"/>
          <w:b/>
          <w:bCs/>
        </w:rPr>
        <w:t>Test Data:</w:t>
      </w:r>
    </w:p>
    <w:tbl>
      <w:tblPr>
        <w:tblStyle w:val="TableGrid"/>
        <w:tblW w:w="13315" w:type="dxa"/>
        <w:tblLayout w:type="fixed"/>
        <w:tblLook w:val="04A0" w:firstRow="1" w:lastRow="0" w:firstColumn="1" w:lastColumn="0" w:noHBand="0" w:noVBand="1"/>
      </w:tblPr>
      <w:tblGrid>
        <w:gridCol w:w="980"/>
        <w:gridCol w:w="1561"/>
        <w:gridCol w:w="1400"/>
        <w:gridCol w:w="1439"/>
        <w:gridCol w:w="1646"/>
        <w:gridCol w:w="1833"/>
        <w:gridCol w:w="1439"/>
        <w:gridCol w:w="1439"/>
        <w:gridCol w:w="1578"/>
      </w:tblGrid>
      <w:tr w:rsidR="00724156" w:rsidRPr="00A94043" w14:paraId="169BB719" w14:textId="77777777" w:rsidTr="00B246CB">
        <w:trPr>
          <w:trHeight w:val="1160"/>
        </w:trPr>
        <w:tc>
          <w:tcPr>
            <w:tcW w:w="980" w:type="dxa"/>
          </w:tcPr>
          <w:p w14:paraId="12DBBBBB" w14:textId="08DE08C5" w:rsidR="00724156" w:rsidRPr="00A94043" w:rsidRDefault="001B5C1B" w:rsidP="00724156">
            <w:pPr>
              <w:pStyle w:val="NoSpacing"/>
              <w:rPr>
                <w:rFonts w:asciiTheme="minorHAnsi" w:hAnsiTheme="minorHAnsi" w:cstheme="minorHAnsi"/>
                <w:b/>
                <w:bCs/>
              </w:rPr>
            </w:pPr>
            <w:r w:rsidRPr="00A94043">
              <w:rPr>
                <w:rFonts w:asciiTheme="minorHAnsi" w:hAnsiTheme="minorHAnsi" w:cstheme="minorHAnsi"/>
                <w:b/>
                <w:bCs/>
              </w:rPr>
              <w:t>Heater Unit</w:t>
            </w:r>
          </w:p>
        </w:tc>
        <w:tc>
          <w:tcPr>
            <w:tcW w:w="1561" w:type="dxa"/>
          </w:tcPr>
          <w:p w14:paraId="12BDA57E" w14:textId="101E7639" w:rsidR="00724156" w:rsidRPr="00A94043" w:rsidRDefault="001B5C1B" w:rsidP="00724156">
            <w:pPr>
              <w:pStyle w:val="NoSpacing"/>
              <w:jc w:val="center"/>
              <w:rPr>
                <w:rFonts w:asciiTheme="minorHAnsi" w:hAnsiTheme="minorHAnsi" w:cstheme="minorHAnsi"/>
                <w:b/>
                <w:bCs/>
              </w:rPr>
            </w:pPr>
            <w:r w:rsidRPr="00A94043">
              <w:rPr>
                <w:rFonts w:asciiTheme="minorHAnsi" w:hAnsiTheme="minorHAnsi" w:cstheme="minorHAnsi"/>
                <w:b/>
                <w:bCs/>
              </w:rPr>
              <w:t>Maximum Gas Rate</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Maximum Gas Consumption (MJ/h)</w:t>
            </w:r>
          </w:p>
        </w:tc>
        <w:tc>
          <w:tcPr>
            <w:tcW w:w="1400" w:type="dxa"/>
          </w:tcPr>
          <w:p w14:paraId="1082865D" w14:textId="01B3B84E" w:rsidR="00724156" w:rsidRPr="00A94043" w:rsidRDefault="001B5C1B" w:rsidP="00724156">
            <w:pPr>
              <w:pStyle w:val="NoSpacing"/>
              <w:jc w:val="center"/>
              <w:rPr>
                <w:rFonts w:asciiTheme="minorHAnsi" w:hAnsiTheme="minorHAnsi" w:cstheme="minorHAnsi"/>
                <w:b/>
                <w:bCs/>
              </w:rPr>
            </w:pPr>
            <w:r w:rsidRPr="00A94043">
              <w:rPr>
                <w:rFonts w:asciiTheme="minorHAnsi" w:hAnsiTheme="minorHAnsi" w:cstheme="minorHAnsi"/>
                <w:b/>
                <w:bCs/>
              </w:rPr>
              <w:t>Maximum Gas Rate</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Thermal Efficiency (%)</w:t>
            </w:r>
          </w:p>
        </w:tc>
        <w:tc>
          <w:tcPr>
            <w:tcW w:w="1439" w:type="dxa"/>
          </w:tcPr>
          <w:p w14:paraId="7A6966BA" w14:textId="112546FF" w:rsidR="00724156" w:rsidRPr="00A94043" w:rsidRDefault="001B5C1B" w:rsidP="00724156">
            <w:pPr>
              <w:pStyle w:val="NoSpacing"/>
              <w:jc w:val="center"/>
              <w:rPr>
                <w:rFonts w:asciiTheme="minorHAnsi" w:hAnsiTheme="minorHAnsi" w:cstheme="minorHAnsi"/>
                <w:b/>
                <w:bCs/>
              </w:rPr>
            </w:pPr>
            <w:r w:rsidRPr="00A94043">
              <w:rPr>
                <w:rFonts w:asciiTheme="minorHAnsi" w:hAnsiTheme="minorHAnsi" w:cstheme="minorHAnsi"/>
                <w:b/>
                <w:bCs/>
              </w:rPr>
              <w:t>Maximum Gas Rate</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Electrical Energy Consumption (kW)</w:t>
            </w:r>
          </w:p>
        </w:tc>
        <w:tc>
          <w:tcPr>
            <w:tcW w:w="1646" w:type="dxa"/>
          </w:tcPr>
          <w:p w14:paraId="3896D3F6" w14:textId="72E2AFB9" w:rsidR="00724156" w:rsidRPr="00A94043" w:rsidRDefault="001B5C1B" w:rsidP="00724156">
            <w:pPr>
              <w:pStyle w:val="NoSpacing"/>
              <w:jc w:val="center"/>
              <w:rPr>
                <w:rFonts w:asciiTheme="minorHAnsi" w:hAnsiTheme="minorHAnsi" w:cstheme="minorHAnsi"/>
                <w:b/>
                <w:bCs/>
              </w:rPr>
            </w:pPr>
            <w:r w:rsidRPr="00A94043">
              <w:rPr>
                <w:rFonts w:asciiTheme="minorHAnsi" w:hAnsiTheme="minorHAnsi" w:cstheme="minorHAnsi"/>
                <w:b/>
                <w:bCs/>
              </w:rPr>
              <w:t>Turndown Gas Rate</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Turndown Gas Consumption (MJ/h)</w:t>
            </w:r>
          </w:p>
        </w:tc>
        <w:tc>
          <w:tcPr>
            <w:tcW w:w="1833" w:type="dxa"/>
          </w:tcPr>
          <w:p w14:paraId="0D4E5345" w14:textId="6BADD102" w:rsidR="00724156" w:rsidRPr="00A94043" w:rsidRDefault="001B5C1B" w:rsidP="00724156">
            <w:pPr>
              <w:pStyle w:val="NoSpacing"/>
              <w:jc w:val="center"/>
              <w:rPr>
                <w:rFonts w:asciiTheme="minorHAnsi" w:hAnsiTheme="minorHAnsi" w:cstheme="minorHAnsi"/>
                <w:b/>
                <w:bCs/>
              </w:rPr>
            </w:pPr>
            <w:r w:rsidRPr="00A94043">
              <w:rPr>
                <w:rFonts w:asciiTheme="minorHAnsi" w:hAnsiTheme="minorHAnsi" w:cstheme="minorHAnsi"/>
                <w:b/>
                <w:bCs/>
              </w:rPr>
              <w:t>Turndown Gas Rate</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Thermal Efficiency (%)</w:t>
            </w:r>
          </w:p>
        </w:tc>
        <w:tc>
          <w:tcPr>
            <w:tcW w:w="1439" w:type="dxa"/>
          </w:tcPr>
          <w:p w14:paraId="10DD3BCF" w14:textId="1A679E4A" w:rsidR="00724156" w:rsidRPr="00A94043" w:rsidRDefault="001B5C1B" w:rsidP="00724156">
            <w:pPr>
              <w:pStyle w:val="NoSpacing"/>
              <w:jc w:val="center"/>
              <w:rPr>
                <w:rFonts w:asciiTheme="minorHAnsi" w:hAnsiTheme="minorHAnsi" w:cstheme="minorHAnsi"/>
                <w:b/>
                <w:bCs/>
              </w:rPr>
            </w:pPr>
            <w:r w:rsidRPr="00A94043">
              <w:rPr>
                <w:rFonts w:asciiTheme="minorHAnsi" w:hAnsiTheme="minorHAnsi" w:cstheme="minorHAnsi"/>
                <w:b/>
                <w:bCs/>
              </w:rPr>
              <w:t>Turndown Gas Rate</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Electrical Energy Consumption (kW)</w:t>
            </w:r>
          </w:p>
        </w:tc>
        <w:tc>
          <w:tcPr>
            <w:tcW w:w="1439" w:type="dxa"/>
          </w:tcPr>
          <w:p w14:paraId="124C4174" w14:textId="33B8D2CF" w:rsidR="00724156" w:rsidRPr="00A94043" w:rsidRDefault="00E160D1" w:rsidP="00724156">
            <w:pPr>
              <w:pStyle w:val="NoSpacing"/>
              <w:jc w:val="center"/>
              <w:rPr>
                <w:rFonts w:asciiTheme="minorHAnsi" w:hAnsiTheme="minorHAnsi" w:cstheme="minorHAnsi"/>
                <w:b/>
                <w:bCs/>
              </w:rPr>
            </w:pPr>
            <w:r w:rsidRPr="00A94043">
              <w:rPr>
                <w:rFonts w:asciiTheme="minorHAnsi" w:hAnsiTheme="minorHAnsi" w:cstheme="minorHAnsi"/>
                <w:b/>
                <w:bCs/>
              </w:rPr>
              <w:t>Standby</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Standby Gas Consumption (MJ/h)</w:t>
            </w:r>
          </w:p>
        </w:tc>
        <w:tc>
          <w:tcPr>
            <w:tcW w:w="1578" w:type="dxa"/>
          </w:tcPr>
          <w:p w14:paraId="1277BD09" w14:textId="004E2EFB" w:rsidR="00724156" w:rsidRPr="00A94043" w:rsidRDefault="00E160D1" w:rsidP="00724156">
            <w:pPr>
              <w:pStyle w:val="NoSpacing"/>
              <w:jc w:val="center"/>
              <w:rPr>
                <w:rFonts w:asciiTheme="minorHAnsi" w:hAnsiTheme="minorHAnsi" w:cstheme="minorHAnsi"/>
                <w:b/>
                <w:bCs/>
              </w:rPr>
            </w:pPr>
            <w:r w:rsidRPr="00A94043">
              <w:rPr>
                <w:rFonts w:asciiTheme="minorHAnsi" w:hAnsiTheme="minorHAnsi" w:cstheme="minorHAnsi"/>
                <w:b/>
                <w:bCs/>
              </w:rPr>
              <w:t>Standby</w:t>
            </w:r>
            <w:r w:rsidR="00B322ED">
              <w:rPr>
                <w:rFonts w:asciiTheme="minorHAnsi" w:hAnsiTheme="minorHAnsi" w:cstheme="minorHAnsi"/>
                <w:b/>
                <w:bCs/>
              </w:rPr>
              <w:t>:</w:t>
            </w:r>
            <w:r>
              <w:rPr>
                <w:rFonts w:asciiTheme="minorHAnsi" w:hAnsiTheme="minorHAnsi" w:cstheme="minorHAnsi"/>
                <w:b/>
                <w:bCs/>
              </w:rPr>
              <w:t xml:space="preserve"> </w:t>
            </w:r>
            <w:r w:rsidR="00724156" w:rsidRPr="00A94043">
              <w:rPr>
                <w:rFonts w:asciiTheme="minorHAnsi" w:hAnsiTheme="minorHAnsi" w:cstheme="minorHAnsi"/>
                <w:b/>
                <w:bCs/>
              </w:rPr>
              <w:t>Standby Electrical Energy Consumption (kW)</w:t>
            </w:r>
          </w:p>
        </w:tc>
      </w:tr>
      <w:tr w:rsidR="00724156" w:rsidRPr="00A94043" w14:paraId="219F941E" w14:textId="77777777" w:rsidTr="00B246CB">
        <w:trPr>
          <w:trHeight w:val="300"/>
        </w:trPr>
        <w:tc>
          <w:tcPr>
            <w:tcW w:w="980" w:type="dxa"/>
            <w:noWrap/>
            <w:hideMark/>
          </w:tcPr>
          <w:p w14:paraId="0FD8D89E" w14:textId="77777777" w:rsidR="00724156" w:rsidRPr="00A94043" w:rsidRDefault="00724156" w:rsidP="00724156">
            <w:pPr>
              <w:pStyle w:val="NoSpacing"/>
              <w:rPr>
                <w:rFonts w:asciiTheme="minorHAnsi" w:hAnsiTheme="minorHAnsi" w:cstheme="minorHAnsi"/>
              </w:rPr>
            </w:pPr>
            <w:r w:rsidRPr="00A94043">
              <w:rPr>
                <w:rFonts w:asciiTheme="minorHAnsi" w:hAnsiTheme="minorHAnsi" w:cstheme="minorHAnsi"/>
              </w:rPr>
              <w:t>5</w:t>
            </w:r>
          </w:p>
        </w:tc>
        <w:tc>
          <w:tcPr>
            <w:tcW w:w="1561" w:type="dxa"/>
            <w:hideMark/>
          </w:tcPr>
          <w:p w14:paraId="0CFADBBA"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8.83</w:t>
            </w:r>
          </w:p>
        </w:tc>
        <w:tc>
          <w:tcPr>
            <w:tcW w:w="1400" w:type="dxa"/>
            <w:hideMark/>
          </w:tcPr>
          <w:p w14:paraId="0ECC1623"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80.36</w:t>
            </w:r>
          </w:p>
        </w:tc>
        <w:tc>
          <w:tcPr>
            <w:tcW w:w="1439" w:type="dxa"/>
            <w:hideMark/>
          </w:tcPr>
          <w:p w14:paraId="4679EC98"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0.029</w:t>
            </w:r>
          </w:p>
        </w:tc>
        <w:tc>
          <w:tcPr>
            <w:tcW w:w="1646" w:type="dxa"/>
            <w:hideMark/>
          </w:tcPr>
          <w:p w14:paraId="4E765FAE"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4.19</w:t>
            </w:r>
          </w:p>
        </w:tc>
        <w:tc>
          <w:tcPr>
            <w:tcW w:w="1833" w:type="dxa"/>
            <w:hideMark/>
          </w:tcPr>
          <w:p w14:paraId="2E417599"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83.17</w:t>
            </w:r>
          </w:p>
        </w:tc>
        <w:tc>
          <w:tcPr>
            <w:tcW w:w="1439" w:type="dxa"/>
            <w:hideMark/>
          </w:tcPr>
          <w:p w14:paraId="20492AD4"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0.012</w:t>
            </w:r>
          </w:p>
        </w:tc>
        <w:tc>
          <w:tcPr>
            <w:tcW w:w="1439" w:type="dxa"/>
            <w:hideMark/>
          </w:tcPr>
          <w:p w14:paraId="31FCBBFE"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0.0000</w:t>
            </w:r>
          </w:p>
        </w:tc>
        <w:tc>
          <w:tcPr>
            <w:tcW w:w="1578" w:type="dxa"/>
            <w:hideMark/>
          </w:tcPr>
          <w:p w14:paraId="47C4C2DC"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0.0004</w:t>
            </w:r>
          </w:p>
        </w:tc>
      </w:tr>
      <w:tr w:rsidR="00724156" w:rsidRPr="00A94043" w14:paraId="72F0B21B" w14:textId="77777777" w:rsidTr="00B246CB">
        <w:trPr>
          <w:trHeight w:val="300"/>
        </w:trPr>
        <w:tc>
          <w:tcPr>
            <w:tcW w:w="980" w:type="dxa"/>
            <w:noWrap/>
            <w:hideMark/>
          </w:tcPr>
          <w:p w14:paraId="020214F3" w14:textId="77777777" w:rsidR="00724156" w:rsidRPr="00A94043" w:rsidRDefault="00724156" w:rsidP="00724156">
            <w:pPr>
              <w:pStyle w:val="NoSpacing"/>
              <w:rPr>
                <w:rFonts w:asciiTheme="minorHAnsi" w:hAnsiTheme="minorHAnsi" w:cstheme="minorHAnsi"/>
              </w:rPr>
            </w:pPr>
            <w:r w:rsidRPr="00A94043">
              <w:rPr>
                <w:rFonts w:asciiTheme="minorHAnsi" w:hAnsiTheme="minorHAnsi" w:cstheme="minorHAnsi"/>
              </w:rPr>
              <w:t>7</w:t>
            </w:r>
          </w:p>
        </w:tc>
        <w:tc>
          <w:tcPr>
            <w:tcW w:w="1561" w:type="dxa"/>
            <w:hideMark/>
          </w:tcPr>
          <w:p w14:paraId="24EA5DC9"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15.53</w:t>
            </w:r>
          </w:p>
        </w:tc>
        <w:tc>
          <w:tcPr>
            <w:tcW w:w="1400" w:type="dxa"/>
            <w:hideMark/>
          </w:tcPr>
          <w:p w14:paraId="4E1CA1A4"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45.20</w:t>
            </w:r>
          </w:p>
        </w:tc>
        <w:tc>
          <w:tcPr>
            <w:tcW w:w="1439" w:type="dxa"/>
            <w:hideMark/>
          </w:tcPr>
          <w:p w14:paraId="3B71F535"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0.051</w:t>
            </w:r>
          </w:p>
        </w:tc>
        <w:tc>
          <w:tcPr>
            <w:tcW w:w="1646" w:type="dxa"/>
            <w:hideMark/>
          </w:tcPr>
          <w:p w14:paraId="1DD8C9EC"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7.37</w:t>
            </w:r>
          </w:p>
        </w:tc>
        <w:tc>
          <w:tcPr>
            <w:tcW w:w="1833" w:type="dxa"/>
            <w:hideMark/>
          </w:tcPr>
          <w:p w14:paraId="20C72A25"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46.78</w:t>
            </w:r>
          </w:p>
        </w:tc>
        <w:tc>
          <w:tcPr>
            <w:tcW w:w="1439" w:type="dxa"/>
            <w:hideMark/>
          </w:tcPr>
          <w:p w14:paraId="13A884E4"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0.021</w:t>
            </w:r>
          </w:p>
        </w:tc>
        <w:tc>
          <w:tcPr>
            <w:tcW w:w="1439" w:type="dxa"/>
            <w:hideMark/>
          </w:tcPr>
          <w:p w14:paraId="42FEE230"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0.0000</w:t>
            </w:r>
          </w:p>
        </w:tc>
        <w:tc>
          <w:tcPr>
            <w:tcW w:w="1578" w:type="dxa"/>
            <w:hideMark/>
          </w:tcPr>
          <w:p w14:paraId="47383097"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0.0004</w:t>
            </w:r>
          </w:p>
        </w:tc>
      </w:tr>
      <w:tr w:rsidR="00724156" w:rsidRPr="00A94043" w14:paraId="5749BE4D" w14:textId="77777777" w:rsidTr="00B246CB">
        <w:trPr>
          <w:trHeight w:val="300"/>
        </w:trPr>
        <w:tc>
          <w:tcPr>
            <w:tcW w:w="980" w:type="dxa"/>
            <w:noWrap/>
            <w:hideMark/>
          </w:tcPr>
          <w:p w14:paraId="6C6B77DC" w14:textId="77777777" w:rsidR="00724156" w:rsidRPr="00A94043" w:rsidRDefault="00724156" w:rsidP="00724156">
            <w:pPr>
              <w:pStyle w:val="NoSpacing"/>
              <w:rPr>
                <w:rFonts w:asciiTheme="minorHAnsi" w:hAnsiTheme="minorHAnsi" w:cstheme="minorHAnsi"/>
              </w:rPr>
            </w:pPr>
            <w:r w:rsidRPr="00A94043">
              <w:rPr>
                <w:rFonts w:asciiTheme="minorHAnsi" w:hAnsiTheme="minorHAnsi" w:cstheme="minorHAnsi"/>
              </w:rPr>
              <w:t>12</w:t>
            </w:r>
          </w:p>
        </w:tc>
        <w:tc>
          <w:tcPr>
            <w:tcW w:w="1561" w:type="dxa"/>
            <w:hideMark/>
          </w:tcPr>
          <w:p w14:paraId="71E211C7"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31.87</w:t>
            </w:r>
          </w:p>
        </w:tc>
        <w:tc>
          <w:tcPr>
            <w:tcW w:w="1400" w:type="dxa"/>
            <w:hideMark/>
          </w:tcPr>
          <w:p w14:paraId="08D0FE00"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78.50</w:t>
            </w:r>
          </w:p>
        </w:tc>
        <w:tc>
          <w:tcPr>
            <w:tcW w:w="1439" w:type="dxa"/>
            <w:hideMark/>
          </w:tcPr>
          <w:p w14:paraId="54ACFF78"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0.050</w:t>
            </w:r>
          </w:p>
        </w:tc>
        <w:tc>
          <w:tcPr>
            <w:tcW w:w="1646" w:type="dxa"/>
            <w:hideMark/>
          </w:tcPr>
          <w:p w14:paraId="0BD184A6"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16.22</w:t>
            </w:r>
          </w:p>
        </w:tc>
        <w:tc>
          <w:tcPr>
            <w:tcW w:w="1833" w:type="dxa"/>
            <w:hideMark/>
          </w:tcPr>
          <w:p w14:paraId="7FDA96EA"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78.70</w:t>
            </w:r>
          </w:p>
        </w:tc>
        <w:tc>
          <w:tcPr>
            <w:tcW w:w="1439" w:type="dxa"/>
            <w:hideMark/>
          </w:tcPr>
          <w:p w14:paraId="7FDC7B33"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0.047</w:t>
            </w:r>
          </w:p>
        </w:tc>
        <w:tc>
          <w:tcPr>
            <w:tcW w:w="1439" w:type="dxa"/>
            <w:hideMark/>
          </w:tcPr>
          <w:p w14:paraId="486F5ED2"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0.0000</w:t>
            </w:r>
          </w:p>
        </w:tc>
        <w:tc>
          <w:tcPr>
            <w:tcW w:w="1578" w:type="dxa"/>
            <w:hideMark/>
          </w:tcPr>
          <w:p w14:paraId="73956B8A"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0.0007</w:t>
            </w:r>
          </w:p>
        </w:tc>
      </w:tr>
      <w:tr w:rsidR="00724156" w:rsidRPr="00A94043" w14:paraId="5A4080A3" w14:textId="77777777" w:rsidTr="00B246CB">
        <w:trPr>
          <w:trHeight w:val="290"/>
        </w:trPr>
        <w:tc>
          <w:tcPr>
            <w:tcW w:w="980" w:type="dxa"/>
            <w:noWrap/>
            <w:hideMark/>
          </w:tcPr>
          <w:p w14:paraId="65AD797F" w14:textId="77777777" w:rsidR="00724156" w:rsidRPr="00A94043" w:rsidRDefault="00724156" w:rsidP="00724156">
            <w:pPr>
              <w:pStyle w:val="NoSpacing"/>
              <w:rPr>
                <w:rFonts w:asciiTheme="minorHAnsi" w:hAnsiTheme="minorHAnsi" w:cstheme="minorHAnsi"/>
              </w:rPr>
            </w:pPr>
            <w:r w:rsidRPr="00A94043">
              <w:rPr>
                <w:rFonts w:asciiTheme="minorHAnsi" w:hAnsiTheme="minorHAnsi" w:cstheme="minorHAnsi"/>
              </w:rPr>
              <w:t>18</w:t>
            </w:r>
          </w:p>
        </w:tc>
        <w:tc>
          <w:tcPr>
            <w:tcW w:w="1561" w:type="dxa"/>
            <w:hideMark/>
          </w:tcPr>
          <w:p w14:paraId="4B1ADB79"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54.64</w:t>
            </w:r>
          </w:p>
        </w:tc>
        <w:tc>
          <w:tcPr>
            <w:tcW w:w="1400" w:type="dxa"/>
            <w:hideMark/>
          </w:tcPr>
          <w:p w14:paraId="60627EBB"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78.50</w:t>
            </w:r>
          </w:p>
        </w:tc>
        <w:tc>
          <w:tcPr>
            <w:tcW w:w="1439" w:type="dxa"/>
            <w:hideMark/>
          </w:tcPr>
          <w:p w14:paraId="3DA4BA9A"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0.085</w:t>
            </w:r>
          </w:p>
        </w:tc>
        <w:tc>
          <w:tcPr>
            <w:tcW w:w="1646" w:type="dxa"/>
            <w:hideMark/>
          </w:tcPr>
          <w:p w14:paraId="73978AA5"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27.80</w:t>
            </w:r>
          </w:p>
        </w:tc>
        <w:tc>
          <w:tcPr>
            <w:tcW w:w="1833" w:type="dxa"/>
            <w:hideMark/>
          </w:tcPr>
          <w:p w14:paraId="17AEE0F1"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78.70</w:t>
            </w:r>
          </w:p>
        </w:tc>
        <w:tc>
          <w:tcPr>
            <w:tcW w:w="1439" w:type="dxa"/>
            <w:hideMark/>
          </w:tcPr>
          <w:p w14:paraId="2AF840EA"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0.080</w:t>
            </w:r>
          </w:p>
        </w:tc>
        <w:tc>
          <w:tcPr>
            <w:tcW w:w="1439" w:type="dxa"/>
            <w:hideMark/>
          </w:tcPr>
          <w:p w14:paraId="10DF0FCD"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0.0000</w:t>
            </w:r>
          </w:p>
        </w:tc>
        <w:tc>
          <w:tcPr>
            <w:tcW w:w="1578" w:type="dxa"/>
            <w:hideMark/>
          </w:tcPr>
          <w:p w14:paraId="586DE730" w14:textId="77777777" w:rsidR="00724156" w:rsidRPr="00A94043" w:rsidRDefault="00724156" w:rsidP="00724156">
            <w:pPr>
              <w:pStyle w:val="NoSpacing"/>
              <w:jc w:val="center"/>
              <w:rPr>
                <w:rFonts w:asciiTheme="minorHAnsi" w:hAnsiTheme="minorHAnsi" w:cstheme="minorHAnsi"/>
              </w:rPr>
            </w:pPr>
            <w:r w:rsidRPr="00A94043">
              <w:rPr>
                <w:rFonts w:asciiTheme="minorHAnsi" w:hAnsiTheme="minorHAnsi" w:cstheme="minorHAnsi"/>
              </w:rPr>
              <w:t>0.0007</w:t>
            </w:r>
          </w:p>
        </w:tc>
      </w:tr>
    </w:tbl>
    <w:p w14:paraId="4BBDF822" w14:textId="77777777" w:rsidR="00724156" w:rsidRPr="00A94043" w:rsidRDefault="00724156" w:rsidP="00AF2B8C">
      <w:pPr>
        <w:pStyle w:val="NoSpacing"/>
        <w:rPr>
          <w:rFonts w:asciiTheme="minorHAnsi" w:hAnsiTheme="minorHAnsi" w:cstheme="minorHAnsi"/>
        </w:rPr>
      </w:pPr>
    </w:p>
    <w:p w14:paraId="3BEC17A9" w14:textId="77777777" w:rsidR="00724156" w:rsidRPr="00A94043" w:rsidRDefault="00724156" w:rsidP="00AF2B8C">
      <w:pPr>
        <w:pStyle w:val="NoSpacing"/>
        <w:rPr>
          <w:rFonts w:asciiTheme="minorHAnsi" w:hAnsiTheme="minorHAnsi" w:cstheme="minorHAnsi"/>
        </w:rPr>
      </w:pPr>
    </w:p>
    <w:p w14:paraId="6FF2FA02" w14:textId="77777777" w:rsidR="00AF2B8C" w:rsidRPr="00A94043" w:rsidRDefault="00AF2B8C" w:rsidP="00AF2B8C">
      <w:pPr>
        <w:pStyle w:val="Heading3"/>
      </w:pPr>
      <w:bookmarkStart w:id="99" w:name="_Toc175311939"/>
      <w:r w:rsidRPr="00A94043">
        <w:lastRenderedPageBreak/>
        <w:t>Reverse cycle air conditioners (heat pumps), both non-ducted and ducted</w:t>
      </w:r>
      <w:bookmarkEnd w:id="99"/>
    </w:p>
    <w:p w14:paraId="022FF2EB" w14:textId="05B3B585" w:rsidR="0082408E" w:rsidRPr="00A94043" w:rsidRDefault="0082408E" w:rsidP="0082408E">
      <w:pPr>
        <w:rPr>
          <w:b/>
          <w:bCs/>
        </w:rPr>
      </w:pPr>
      <w:r w:rsidRPr="00A94043">
        <w:rPr>
          <w:b/>
          <w:bCs/>
        </w:rPr>
        <w:t>Product Type and HSEC Calculation Method:</w:t>
      </w:r>
    </w:p>
    <w:tbl>
      <w:tblPr>
        <w:tblStyle w:val="TableGrid"/>
        <w:tblW w:w="0" w:type="auto"/>
        <w:tblLook w:val="04A0" w:firstRow="1" w:lastRow="0" w:firstColumn="1" w:lastColumn="0" w:noHBand="0" w:noVBand="1"/>
      </w:tblPr>
      <w:tblGrid>
        <w:gridCol w:w="1282"/>
        <w:gridCol w:w="2825"/>
        <w:gridCol w:w="4191"/>
        <w:gridCol w:w="2535"/>
      </w:tblGrid>
      <w:tr w:rsidR="0082408E" w:rsidRPr="00A94043" w14:paraId="4EF53414" w14:textId="77777777" w:rsidTr="00BB3C55">
        <w:trPr>
          <w:trHeight w:val="290"/>
        </w:trPr>
        <w:tc>
          <w:tcPr>
            <w:tcW w:w="0" w:type="auto"/>
            <w:hideMark/>
          </w:tcPr>
          <w:p w14:paraId="0486C3FE" w14:textId="77777777" w:rsidR="0082408E" w:rsidRPr="00A94043" w:rsidRDefault="0082408E">
            <w:pPr>
              <w:pStyle w:val="NoSpacing"/>
              <w:rPr>
                <w:b/>
                <w:bCs/>
              </w:rPr>
            </w:pPr>
            <w:r w:rsidRPr="00A94043">
              <w:rPr>
                <w:b/>
                <w:bCs/>
              </w:rPr>
              <w:t>Heater Unit</w:t>
            </w:r>
          </w:p>
        </w:tc>
        <w:tc>
          <w:tcPr>
            <w:tcW w:w="0" w:type="auto"/>
            <w:hideMark/>
          </w:tcPr>
          <w:p w14:paraId="4119979B" w14:textId="77777777" w:rsidR="0082408E" w:rsidRPr="00A94043" w:rsidRDefault="0082408E">
            <w:pPr>
              <w:pStyle w:val="NoSpacing"/>
              <w:rPr>
                <w:b/>
                <w:bCs/>
              </w:rPr>
            </w:pPr>
            <w:r w:rsidRPr="00A94043">
              <w:rPr>
                <w:b/>
                <w:bCs/>
              </w:rPr>
              <w:t>Technology Type</w:t>
            </w:r>
          </w:p>
        </w:tc>
        <w:tc>
          <w:tcPr>
            <w:tcW w:w="0" w:type="auto"/>
            <w:hideMark/>
          </w:tcPr>
          <w:p w14:paraId="0DD9E5DA" w14:textId="77777777" w:rsidR="0082408E" w:rsidRPr="00A94043" w:rsidRDefault="0082408E">
            <w:pPr>
              <w:pStyle w:val="NoSpacing"/>
              <w:rPr>
                <w:b/>
                <w:bCs/>
              </w:rPr>
            </w:pPr>
            <w:r w:rsidRPr="00A94043">
              <w:rPr>
                <w:b/>
                <w:bCs/>
              </w:rPr>
              <w:t>Characteristics</w:t>
            </w:r>
          </w:p>
        </w:tc>
        <w:tc>
          <w:tcPr>
            <w:tcW w:w="0" w:type="auto"/>
            <w:hideMark/>
          </w:tcPr>
          <w:p w14:paraId="7B538A7F" w14:textId="77777777" w:rsidR="0082408E" w:rsidRPr="00A94043" w:rsidRDefault="0082408E">
            <w:pPr>
              <w:pStyle w:val="NoSpacing"/>
              <w:jc w:val="center"/>
              <w:rPr>
                <w:b/>
                <w:bCs/>
              </w:rPr>
            </w:pPr>
            <w:r w:rsidRPr="00A94043">
              <w:rPr>
                <w:b/>
                <w:bCs/>
              </w:rPr>
              <w:t>HSEC Calculation Method</w:t>
            </w:r>
          </w:p>
        </w:tc>
      </w:tr>
      <w:tr w:rsidR="0082408E" w:rsidRPr="00A94043" w14:paraId="24138034" w14:textId="77777777" w:rsidTr="00BB3C55">
        <w:trPr>
          <w:trHeight w:val="290"/>
        </w:trPr>
        <w:tc>
          <w:tcPr>
            <w:tcW w:w="0" w:type="auto"/>
          </w:tcPr>
          <w:p w14:paraId="6597496A" w14:textId="20A2FA70" w:rsidR="0082408E" w:rsidRPr="00A94043" w:rsidRDefault="0082408E" w:rsidP="0082408E">
            <w:pPr>
              <w:pStyle w:val="NoSpacing"/>
              <w:rPr>
                <w:b/>
                <w:bCs/>
              </w:rPr>
            </w:pPr>
            <w:r w:rsidRPr="00A94043">
              <w:t>1</w:t>
            </w:r>
          </w:p>
        </w:tc>
        <w:tc>
          <w:tcPr>
            <w:tcW w:w="0" w:type="auto"/>
          </w:tcPr>
          <w:p w14:paraId="77E86708" w14:textId="276E51B0" w:rsidR="0082408E" w:rsidRPr="00A94043" w:rsidRDefault="0082408E" w:rsidP="0082408E">
            <w:pPr>
              <w:pStyle w:val="NoSpacing"/>
              <w:rPr>
                <w:b/>
                <w:bCs/>
              </w:rPr>
            </w:pPr>
            <w:r w:rsidRPr="00A94043">
              <w:t>Air Conditioner (Non-ducted)</w:t>
            </w:r>
          </w:p>
        </w:tc>
        <w:tc>
          <w:tcPr>
            <w:tcW w:w="0" w:type="auto"/>
          </w:tcPr>
          <w:p w14:paraId="29C5A3F4" w14:textId="4E408CDA" w:rsidR="0082408E" w:rsidRPr="00A94043" w:rsidRDefault="0082408E" w:rsidP="0082408E">
            <w:pPr>
              <w:pStyle w:val="NoSpacing"/>
              <w:rPr>
                <w:b/>
                <w:bCs/>
              </w:rPr>
            </w:pPr>
            <w:r w:rsidRPr="00A94043">
              <w:t>Avg GEMS Register 1.75-2.25kW non-ducted</w:t>
            </w:r>
          </w:p>
        </w:tc>
        <w:tc>
          <w:tcPr>
            <w:tcW w:w="0" w:type="auto"/>
          </w:tcPr>
          <w:p w14:paraId="1E2F9FD5" w14:textId="1D685EB7" w:rsidR="0082408E" w:rsidRPr="00A94043" w:rsidRDefault="0082408E" w:rsidP="0082408E">
            <w:pPr>
              <w:pStyle w:val="NoSpacing"/>
              <w:jc w:val="center"/>
              <w:rPr>
                <w:b/>
                <w:bCs/>
              </w:rPr>
            </w:pPr>
            <w:r w:rsidRPr="00A94043">
              <w:t>ACCM</w:t>
            </w:r>
          </w:p>
        </w:tc>
      </w:tr>
      <w:tr w:rsidR="0082408E" w:rsidRPr="00A94043" w14:paraId="38D6533E" w14:textId="77777777" w:rsidTr="00BB3C55">
        <w:trPr>
          <w:trHeight w:val="290"/>
        </w:trPr>
        <w:tc>
          <w:tcPr>
            <w:tcW w:w="0" w:type="auto"/>
          </w:tcPr>
          <w:p w14:paraId="69510AC8" w14:textId="48064BF3" w:rsidR="0082408E" w:rsidRPr="00A94043" w:rsidRDefault="0082408E" w:rsidP="0082408E">
            <w:pPr>
              <w:pStyle w:val="NoSpacing"/>
              <w:rPr>
                <w:b/>
                <w:bCs/>
              </w:rPr>
            </w:pPr>
            <w:r w:rsidRPr="00A94043">
              <w:t>8</w:t>
            </w:r>
          </w:p>
        </w:tc>
        <w:tc>
          <w:tcPr>
            <w:tcW w:w="0" w:type="auto"/>
          </w:tcPr>
          <w:p w14:paraId="651783B4" w14:textId="349C8F55" w:rsidR="0082408E" w:rsidRPr="00A94043" w:rsidRDefault="0082408E" w:rsidP="0082408E">
            <w:pPr>
              <w:pStyle w:val="NoSpacing"/>
              <w:rPr>
                <w:b/>
                <w:bCs/>
              </w:rPr>
            </w:pPr>
            <w:r w:rsidRPr="00A94043">
              <w:t>Air Conditioner (Non-ducted)</w:t>
            </w:r>
          </w:p>
        </w:tc>
        <w:tc>
          <w:tcPr>
            <w:tcW w:w="0" w:type="auto"/>
          </w:tcPr>
          <w:p w14:paraId="5224838E" w14:textId="7533727D" w:rsidR="0082408E" w:rsidRPr="00A94043" w:rsidRDefault="0082408E" w:rsidP="0082408E">
            <w:pPr>
              <w:pStyle w:val="NoSpacing"/>
              <w:rPr>
                <w:b/>
                <w:bCs/>
              </w:rPr>
            </w:pPr>
            <w:r w:rsidRPr="00A94043">
              <w:t>Avg GEMS Register 6.5-7.5kW non-ducted</w:t>
            </w:r>
          </w:p>
        </w:tc>
        <w:tc>
          <w:tcPr>
            <w:tcW w:w="0" w:type="auto"/>
          </w:tcPr>
          <w:p w14:paraId="5DD7BF64" w14:textId="51BC119B" w:rsidR="0082408E" w:rsidRPr="00A94043" w:rsidRDefault="0082408E" w:rsidP="0082408E">
            <w:pPr>
              <w:pStyle w:val="NoSpacing"/>
              <w:jc w:val="center"/>
              <w:rPr>
                <w:b/>
                <w:bCs/>
              </w:rPr>
            </w:pPr>
            <w:r w:rsidRPr="00A94043">
              <w:t>ACCM</w:t>
            </w:r>
          </w:p>
        </w:tc>
      </w:tr>
      <w:tr w:rsidR="0082408E" w:rsidRPr="00A94043" w14:paraId="276AAFDD" w14:textId="77777777" w:rsidTr="00BB3C55">
        <w:trPr>
          <w:trHeight w:val="290"/>
        </w:trPr>
        <w:tc>
          <w:tcPr>
            <w:tcW w:w="0" w:type="auto"/>
          </w:tcPr>
          <w:p w14:paraId="555C5E5A" w14:textId="36FC4C3D" w:rsidR="0082408E" w:rsidRPr="00A94043" w:rsidRDefault="0082408E" w:rsidP="0082408E">
            <w:pPr>
              <w:pStyle w:val="NoSpacing"/>
              <w:rPr>
                <w:b/>
                <w:bCs/>
              </w:rPr>
            </w:pPr>
            <w:r w:rsidRPr="00A94043">
              <w:t>9</w:t>
            </w:r>
          </w:p>
        </w:tc>
        <w:tc>
          <w:tcPr>
            <w:tcW w:w="0" w:type="auto"/>
          </w:tcPr>
          <w:p w14:paraId="539C818E" w14:textId="08058D57" w:rsidR="0082408E" w:rsidRPr="00A94043" w:rsidRDefault="0082408E" w:rsidP="0082408E">
            <w:pPr>
              <w:pStyle w:val="NoSpacing"/>
              <w:rPr>
                <w:b/>
                <w:bCs/>
              </w:rPr>
            </w:pPr>
            <w:r w:rsidRPr="00A94043">
              <w:t>Ducted Air Conditioner</w:t>
            </w:r>
          </w:p>
        </w:tc>
        <w:tc>
          <w:tcPr>
            <w:tcW w:w="0" w:type="auto"/>
          </w:tcPr>
          <w:p w14:paraId="3622FCC7" w14:textId="580BF987" w:rsidR="0082408E" w:rsidRPr="00A94043" w:rsidRDefault="0082408E" w:rsidP="0082408E">
            <w:pPr>
              <w:pStyle w:val="NoSpacing"/>
              <w:rPr>
                <w:b/>
                <w:bCs/>
              </w:rPr>
            </w:pPr>
            <w:r w:rsidRPr="00A94043">
              <w:t>Avg GEMS Register 6.5-7.5kW ducted</w:t>
            </w:r>
          </w:p>
        </w:tc>
        <w:tc>
          <w:tcPr>
            <w:tcW w:w="0" w:type="auto"/>
          </w:tcPr>
          <w:p w14:paraId="7748301D" w14:textId="5E708F5A" w:rsidR="0082408E" w:rsidRPr="00A94043" w:rsidRDefault="0082408E" w:rsidP="0082408E">
            <w:pPr>
              <w:pStyle w:val="NoSpacing"/>
              <w:jc w:val="center"/>
              <w:rPr>
                <w:b/>
                <w:bCs/>
              </w:rPr>
            </w:pPr>
            <w:r w:rsidRPr="00A94043">
              <w:t>ACCM</w:t>
            </w:r>
          </w:p>
        </w:tc>
      </w:tr>
      <w:tr w:rsidR="0082408E" w:rsidRPr="00A94043" w14:paraId="5730A6C8" w14:textId="77777777" w:rsidTr="00BB3C55">
        <w:trPr>
          <w:trHeight w:val="290"/>
        </w:trPr>
        <w:tc>
          <w:tcPr>
            <w:tcW w:w="0" w:type="auto"/>
          </w:tcPr>
          <w:p w14:paraId="754D033D" w14:textId="1F384B56" w:rsidR="0082408E" w:rsidRPr="00A94043" w:rsidRDefault="0082408E" w:rsidP="0082408E">
            <w:pPr>
              <w:pStyle w:val="NoSpacing"/>
              <w:rPr>
                <w:b/>
                <w:bCs/>
              </w:rPr>
            </w:pPr>
            <w:r w:rsidRPr="00A94043">
              <w:t>15</w:t>
            </w:r>
          </w:p>
        </w:tc>
        <w:tc>
          <w:tcPr>
            <w:tcW w:w="0" w:type="auto"/>
          </w:tcPr>
          <w:p w14:paraId="26822C01" w14:textId="4DAEDB56" w:rsidR="0082408E" w:rsidRPr="00A94043" w:rsidRDefault="0082408E" w:rsidP="0082408E">
            <w:pPr>
              <w:pStyle w:val="NoSpacing"/>
              <w:rPr>
                <w:b/>
                <w:bCs/>
              </w:rPr>
            </w:pPr>
            <w:r w:rsidRPr="00A94043">
              <w:t>Air Conditioner (Non-ducted)</w:t>
            </w:r>
          </w:p>
        </w:tc>
        <w:tc>
          <w:tcPr>
            <w:tcW w:w="0" w:type="auto"/>
          </w:tcPr>
          <w:p w14:paraId="6ADEEB1E" w14:textId="48215BD1" w:rsidR="0082408E" w:rsidRPr="00A94043" w:rsidRDefault="0082408E" w:rsidP="0082408E">
            <w:pPr>
              <w:pStyle w:val="NoSpacing"/>
              <w:rPr>
                <w:b/>
                <w:bCs/>
              </w:rPr>
            </w:pPr>
            <w:r w:rsidRPr="00A94043">
              <w:t>Avg GEMS Register 11-13kW non-ducted</w:t>
            </w:r>
          </w:p>
        </w:tc>
        <w:tc>
          <w:tcPr>
            <w:tcW w:w="0" w:type="auto"/>
          </w:tcPr>
          <w:p w14:paraId="04EEC60D" w14:textId="42CC3824" w:rsidR="0082408E" w:rsidRPr="00A94043" w:rsidRDefault="0082408E" w:rsidP="0082408E">
            <w:pPr>
              <w:pStyle w:val="NoSpacing"/>
              <w:jc w:val="center"/>
              <w:rPr>
                <w:b/>
                <w:bCs/>
              </w:rPr>
            </w:pPr>
            <w:r w:rsidRPr="00A94043">
              <w:t>ACCM</w:t>
            </w:r>
          </w:p>
        </w:tc>
      </w:tr>
      <w:tr w:rsidR="0082408E" w:rsidRPr="00A94043" w14:paraId="4ECD3593" w14:textId="77777777" w:rsidTr="00BB3C55">
        <w:trPr>
          <w:trHeight w:val="290"/>
        </w:trPr>
        <w:tc>
          <w:tcPr>
            <w:tcW w:w="0" w:type="auto"/>
          </w:tcPr>
          <w:p w14:paraId="40673DE1" w14:textId="2F92A767" w:rsidR="0082408E" w:rsidRPr="00A94043" w:rsidRDefault="0082408E" w:rsidP="0082408E">
            <w:pPr>
              <w:pStyle w:val="NoSpacing"/>
              <w:rPr>
                <w:b/>
                <w:bCs/>
              </w:rPr>
            </w:pPr>
            <w:r w:rsidRPr="00A94043">
              <w:t>16</w:t>
            </w:r>
          </w:p>
        </w:tc>
        <w:tc>
          <w:tcPr>
            <w:tcW w:w="0" w:type="auto"/>
          </w:tcPr>
          <w:p w14:paraId="53BDA570" w14:textId="282CEA98" w:rsidR="0082408E" w:rsidRPr="00A94043" w:rsidRDefault="0082408E" w:rsidP="0082408E">
            <w:pPr>
              <w:pStyle w:val="NoSpacing"/>
              <w:rPr>
                <w:b/>
                <w:bCs/>
              </w:rPr>
            </w:pPr>
            <w:r w:rsidRPr="00A94043">
              <w:t>Ducted Air Conditioner</w:t>
            </w:r>
          </w:p>
        </w:tc>
        <w:tc>
          <w:tcPr>
            <w:tcW w:w="0" w:type="auto"/>
          </w:tcPr>
          <w:p w14:paraId="2D8099E6" w14:textId="5E308A54" w:rsidR="0082408E" w:rsidRPr="00A94043" w:rsidRDefault="0082408E" w:rsidP="0082408E">
            <w:pPr>
              <w:pStyle w:val="NoSpacing"/>
              <w:rPr>
                <w:b/>
                <w:bCs/>
              </w:rPr>
            </w:pPr>
            <w:r w:rsidRPr="00A94043">
              <w:t>Avg GEMS Register 11-13kW ducted</w:t>
            </w:r>
          </w:p>
        </w:tc>
        <w:tc>
          <w:tcPr>
            <w:tcW w:w="0" w:type="auto"/>
          </w:tcPr>
          <w:p w14:paraId="399CC8B9" w14:textId="0737B2CD" w:rsidR="0082408E" w:rsidRPr="00A94043" w:rsidRDefault="0082408E" w:rsidP="0082408E">
            <w:pPr>
              <w:pStyle w:val="NoSpacing"/>
              <w:jc w:val="center"/>
              <w:rPr>
                <w:b/>
                <w:bCs/>
              </w:rPr>
            </w:pPr>
            <w:r w:rsidRPr="00A94043">
              <w:t>ACCM</w:t>
            </w:r>
          </w:p>
        </w:tc>
      </w:tr>
    </w:tbl>
    <w:p w14:paraId="6C6880A4" w14:textId="77777777" w:rsidR="0082408E" w:rsidRPr="00A94043" w:rsidRDefault="0082408E" w:rsidP="0082408E"/>
    <w:p w14:paraId="01B83E83" w14:textId="4760715B" w:rsidR="0082408E" w:rsidRPr="00A94043" w:rsidRDefault="0082408E" w:rsidP="0082408E">
      <w:pPr>
        <w:pStyle w:val="NoSpacing"/>
        <w:rPr>
          <w:rFonts w:asciiTheme="minorHAnsi" w:hAnsiTheme="minorHAnsi" w:cstheme="minorHAnsi"/>
          <w:b/>
          <w:bCs/>
        </w:rPr>
      </w:pPr>
      <w:r w:rsidRPr="00A94043">
        <w:rPr>
          <w:rFonts w:asciiTheme="minorHAnsi" w:hAnsiTheme="minorHAnsi" w:cstheme="minorHAnsi"/>
          <w:b/>
          <w:bCs/>
        </w:rPr>
        <w:t>Test Data</w:t>
      </w:r>
      <w:r w:rsidR="00B7452B" w:rsidRPr="00A94043">
        <w:rPr>
          <w:rFonts w:asciiTheme="minorHAnsi" w:hAnsiTheme="minorHAnsi" w:cstheme="minorHAnsi"/>
          <w:b/>
          <w:bCs/>
        </w:rPr>
        <w:t xml:space="preserve"> (Further test data is required to evaluate HSEC, as per ACCM. These are the GEMS average values used for example calculations)</w:t>
      </w:r>
      <w:r w:rsidRPr="00A94043">
        <w:rPr>
          <w:rFonts w:asciiTheme="minorHAnsi" w:hAnsiTheme="minorHAnsi" w:cstheme="minorHAnsi"/>
          <w:b/>
          <w:bCs/>
        </w:rPr>
        <w:t>:</w:t>
      </w:r>
    </w:p>
    <w:tbl>
      <w:tblPr>
        <w:tblStyle w:val="TableGrid"/>
        <w:tblW w:w="13036" w:type="dxa"/>
        <w:tblLayout w:type="fixed"/>
        <w:tblLook w:val="04A0" w:firstRow="1" w:lastRow="0" w:firstColumn="1" w:lastColumn="0" w:noHBand="0" w:noVBand="1"/>
      </w:tblPr>
      <w:tblGrid>
        <w:gridCol w:w="1271"/>
        <w:gridCol w:w="1843"/>
        <w:gridCol w:w="1984"/>
        <w:gridCol w:w="1984"/>
        <w:gridCol w:w="1985"/>
        <w:gridCol w:w="1984"/>
        <w:gridCol w:w="1985"/>
      </w:tblGrid>
      <w:tr w:rsidR="00CF0E60" w:rsidRPr="00A94043" w14:paraId="2ECEE02C" w14:textId="77777777" w:rsidTr="00CF0E60">
        <w:trPr>
          <w:trHeight w:val="245"/>
        </w:trPr>
        <w:tc>
          <w:tcPr>
            <w:tcW w:w="1271" w:type="dxa"/>
            <w:tcMar>
              <w:right w:w="0" w:type="dxa"/>
            </w:tcMar>
            <w:hideMark/>
          </w:tcPr>
          <w:p w14:paraId="43AA3698" w14:textId="6E9BADFA" w:rsidR="00CF0E60" w:rsidRPr="00A94043" w:rsidRDefault="00CF0E60" w:rsidP="00CF0E60">
            <w:pPr>
              <w:rPr>
                <w:b/>
                <w:bCs/>
              </w:rPr>
            </w:pPr>
            <w:r w:rsidRPr="00A94043">
              <w:rPr>
                <w:b/>
                <w:bCs/>
              </w:rPr>
              <w:t>Heater</w:t>
            </w:r>
            <w:r>
              <w:rPr>
                <w:b/>
                <w:bCs/>
              </w:rPr>
              <w:t xml:space="preserve"> </w:t>
            </w:r>
            <w:r w:rsidRPr="00A94043">
              <w:rPr>
                <w:b/>
                <w:bCs/>
              </w:rPr>
              <w:t>Unit</w:t>
            </w:r>
          </w:p>
        </w:tc>
        <w:tc>
          <w:tcPr>
            <w:tcW w:w="1843" w:type="dxa"/>
          </w:tcPr>
          <w:p w14:paraId="24687DA4" w14:textId="0EC05589" w:rsidR="00CF0E60" w:rsidRPr="00A94043" w:rsidRDefault="00CF0E60" w:rsidP="00CF0E60">
            <w:pPr>
              <w:jc w:val="center"/>
              <w:rPr>
                <w:b/>
                <w:bCs/>
              </w:rPr>
            </w:pPr>
            <w:r w:rsidRPr="00A94043">
              <w:rPr>
                <w:b/>
                <w:bCs/>
              </w:rPr>
              <w:t>Technology Type</w:t>
            </w:r>
          </w:p>
        </w:tc>
        <w:tc>
          <w:tcPr>
            <w:tcW w:w="1984" w:type="dxa"/>
            <w:hideMark/>
          </w:tcPr>
          <w:p w14:paraId="73FD3204" w14:textId="5DD73711" w:rsidR="00CF0E60" w:rsidRPr="00A94043" w:rsidRDefault="00CF0E60" w:rsidP="00CF0E60">
            <w:pPr>
              <w:jc w:val="center"/>
              <w:rPr>
                <w:b/>
                <w:bCs/>
              </w:rPr>
            </w:pPr>
            <w:r w:rsidRPr="00A94043">
              <w:rPr>
                <w:b/>
                <w:bCs/>
              </w:rPr>
              <w:t>Full Capacity</w:t>
            </w:r>
            <w:r>
              <w:rPr>
                <w:b/>
                <w:bCs/>
              </w:rPr>
              <w:t xml:space="preserve">: </w:t>
            </w:r>
            <w:r w:rsidRPr="00A94043">
              <w:rPr>
                <w:b/>
                <w:bCs/>
              </w:rPr>
              <w:t>Rated</w:t>
            </w:r>
            <w:r>
              <w:rPr>
                <w:b/>
                <w:bCs/>
              </w:rPr>
              <w:t> </w:t>
            </w:r>
            <w:r w:rsidRPr="00A94043">
              <w:rPr>
                <w:b/>
                <w:bCs/>
              </w:rPr>
              <w:t>Capacity at</w:t>
            </w:r>
            <w:r>
              <w:rPr>
                <w:b/>
                <w:bCs/>
              </w:rPr>
              <w:t> </w:t>
            </w:r>
            <w:r w:rsidRPr="00A94043">
              <w:rPr>
                <w:b/>
                <w:bCs/>
              </w:rPr>
              <w:t>7degC</w:t>
            </w:r>
            <w:r>
              <w:rPr>
                <w:b/>
                <w:bCs/>
              </w:rPr>
              <w:t> </w:t>
            </w:r>
            <w:r w:rsidRPr="00A94043">
              <w:rPr>
                <w:b/>
                <w:bCs/>
              </w:rPr>
              <w:t>(kW)</w:t>
            </w:r>
          </w:p>
        </w:tc>
        <w:tc>
          <w:tcPr>
            <w:tcW w:w="1984" w:type="dxa"/>
            <w:hideMark/>
          </w:tcPr>
          <w:p w14:paraId="5374CA9F" w14:textId="3C87C4BE" w:rsidR="00CF0E60" w:rsidRPr="00A94043" w:rsidRDefault="00CF0E60" w:rsidP="00CF0E60">
            <w:pPr>
              <w:jc w:val="center"/>
              <w:rPr>
                <w:b/>
                <w:bCs/>
              </w:rPr>
            </w:pPr>
            <w:r w:rsidRPr="00A94043">
              <w:rPr>
                <w:b/>
                <w:bCs/>
              </w:rPr>
              <w:t>Full Capacity</w:t>
            </w:r>
            <w:r>
              <w:rPr>
                <w:b/>
                <w:bCs/>
              </w:rPr>
              <w:t xml:space="preserve">: </w:t>
            </w:r>
            <w:r w:rsidRPr="00A94043">
              <w:rPr>
                <w:b/>
                <w:bCs/>
              </w:rPr>
              <w:t>Rated</w:t>
            </w:r>
            <w:r>
              <w:rPr>
                <w:b/>
                <w:bCs/>
              </w:rPr>
              <w:t> </w:t>
            </w:r>
            <w:r w:rsidRPr="00A94043">
              <w:rPr>
                <w:b/>
                <w:bCs/>
              </w:rPr>
              <w:t>Capacity</w:t>
            </w:r>
            <w:bookmarkStart w:id="100" w:name="_Ref171946832"/>
            <w:r w:rsidR="002746B1">
              <w:rPr>
                <w:rStyle w:val="FootnoteReference"/>
                <w:b/>
                <w:bCs/>
              </w:rPr>
              <w:footnoteReference w:customMarkFollows="1" w:id="9"/>
              <w:t>□</w:t>
            </w:r>
            <w:bookmarkEnd w:id="100"/>
            <w:r w:rsidRPr="00A94043">
              <w:rPr>
                <w:b/>
                <w:bCs/>
              </w:rPr>
              <w:t xml:space="preserve"> at</w:t>
            </w:r>
            <w:r>
              <w:rPr>
                <w:b/>
                <w:bCs/>
              </w:rPr>
              <w:t> </w:t>
            </w:r>
            <w:r w:rsidRPr="00A94043">
              <w:rPr>
                <w:b/>
                <w:bCs/>
              </w:rPr>
              <w:t>2degC (kW)</w:t>
            </w:r>
          </w:p>
        </w:tc>
        <w:tc>
          <w:tcPr>
            <w:tcW w:w="1985" w:type="dxa"/>
            <w:hideMark/>
          </w:tcPr>
          <w:p w14:paraId="428E29AD" w14:textId="13EF3CF2" w:rsidR="00CF0E60" w:rsidRPr="00A94043" w:rsidRDefault="00CF0E60" w:rsidP="00CF0E60">
            <w:pPr>
              <w:jc w:val="center"/>
              <w:rPr>
                <w:b/>
                <w:bCs/>
              </w:rPr>
            </w:pPr>
            <w:r w:rsidRPr="00A94043">
              <w:rPr>
                <w:b/>
                <w:bCs/>
              </w:rPr>
              <w:t>Full Capacity</w:t>
            </w:r>
            <w:r>
              <w:rPr>
                <w:b/>
                <w:bCs/>
              </w:rPr>
              <w:t xml:space="preserve">: </w:t>
            </w:r>
            <w:r w:rsidRPr="00A94043">
              <w:rPr>
                <w:b/>
                <w:bCs/>
              </w:rPr>
              <w:t>Rated</w:t>
            </w:r>
            <w:r>
              <w:rPr>
                <w:b/>
                <w:bCs/>
              </w:rPr>
              <w:t> </w:t>
            </w:r>
            <w:r w:rsidRPr="00A94043">
              <w:rPr>
                <w:b/>
                <w:bCs/>
              </w:rPr>
              <w:t>Input</w:t>
            </w:r>
            <w:r>
              <w:rPr>
                <w:b/>
                <w:bCs/>
              </w:rPr>
              <w:t xml:space="preserve"> </w:t>
            </w:r>
            <w:r w:rsidRPr="00A94043">
              <w:rPr>
                <w:b/>
                <w:bCs/>
              </w:rPr>
              <w:t>Power</w:t>
            </w:r>
            <w:r w:rsidR="007E2D77" w:rsidRPr="00FB750F">
              <w:rPr>
                <w:b/>
                <w:bCs/>
                <w:vertAlign w:val="superscript"/>
              </w:rPr>
              <w:fldChar w:fldCharType="begin"/>
            </w:r>
            <w:r w:rsidR="007E2D77" w:rsidRPr="00FB750F">
              <w:rPr>
                <w:b/>
                <w:bCs/>
                <w:vertAlign w:val="superscript"/>
              </w:rPr>
              <w:instrText xml:space="preserve"> NOTEREF _Ref171946832 \h </w:instrText>
            </w:r>
            <w:r w:rsidR="00FB750F">
              <w:rPr>
                <w:b/>
                <w:bCs/>
                <w:vertAlign w:val="superscript"/>
              </w:rPr>
              <w:instrText xml:space="preserve"> \* MERGEFORMAT </w:instrText>
            </w:r>
            <w:r w:rsidR="007E2D77" w:rsidRPr="00FB750F">
              <w:rPr>
                <w:b/>
                <w:bCs/>
                <w:vertAlign w:val="superscript"/>
              </w:rPr>
            </w:r>
            <w:r w:rsidR="007E2D77" w:rsidRPr="00FB750F">
              <w:rPr>
                <w:b/>
                <w:bCs/>
                <w:vertAlign w:val="superscript"/>
              </w:rPr>
              <w:fldChar w:fldCharType="separate"/>
            </w:r>
            <w:r w:rsidR="007068DD" w:rsidRPr="007068DD">
              <w:rPr>
                <w:vertAlign w:val="superscript"/>
              </w:rPr>
              <w:t>□</w:t>
            </w:r>
            <w:r w:rsidR="007E2D77" w:rsidRPr="00FB750F">
              <w:rPr>
                <w:b/>
                <w:bCs/>
                <w:vertAlign w:val="superscript"/>
              </w:rPr>
              <w:fldChar w:fldCharType="end"/>
            </w:r>
            <w:r w:rsidRPr="00A94043">
              <w:rPr>
                <w:b/>
                <w:bCs/>
              </w:rPr>
              <w:t xml:space="preserve"> (kW)</w:t>
            </w:r>
          </w:p>
        </w:tc>
        <w:tc>
          <w:tcPr>
            <w:tcW w:w="1984" w:type="dxa"/>
            <w:hideMark/>
          </w:tcPr>
          <w:p w14:paraId="62E1AB9C" w14:textId="49D54168" w:rsidR="00CF0E60" w:rsidRPr="00A94043" w:rsidRDefault="00CF0E60" w:rsidP="00CF0E60">
            <w:pPr>
              <w:jc w:val="center"/>
              <w:rPr>
                <w:b/>
                <w:bCs/>
              </w:rPr>
            </w:pPr>
            <w:r w:rsidRPr="00A94043">
              <w:rPr>
                <w:b/>
                <w:bCs/>
              </w:rPr>
              <w:t>Full Capacity</w:t>
            </w:r>
            <w:r>
              <w:rPr>
                <w:b/>
                <w:bCs/>
              </w:rPr>
              <w:t xml:space="preserve">: </w:t>
            </w:r>
            <w:r w:rsidRPr="00A94043">
              <w:rPr>
                <w:b/>
                <w:bCs/>
              </w:rPr>
              <w:t>Rated Efficiency</w:t>
            </w:r>
            <w:r w:rsidR="007E2D77" w:rsidRPr="00FB750F">
              <w:rPr>
                <w:b/>
                <w:bCs/>
                <w:vertAlign w:val="superscript"/>
              </w:rPr>
              <w:fldChar w:fldCharType="begin"/>
            </w:r>
            <w:r w:rsidR="007E2D77" w:rsidRPr="00FB750F">
              <w:rPr>
                <w:b/>
                <w:bCs/>
                <w:vertAlign w:val="superscript"/>
              </w:rPr>
              <w:instrText xml:space="preserve"> NOTEREF _Ref171946832 \h </w:instrText>
            </w:r>
            <w:r w:rsidR="007E2D77" w:rsidRPr="00FB750F">
              <w:rPr>
                <w:b/>
                <w:bCs/>
                <w:vertAlign w:val="superscript"/>
              </w:rPr>
            </w:r>
            <w:r w:rsidR="007E2D77" w:rsidRPr="00FB750F">
              <w:rPr>
                <w:b/>
                <w:bCs/>
                <w:vertAlign w:val="superscript"/>
              </w:rPr>
              <w:fldChar w:fldCharType="separate"/>
            </w:r>
            <w:r w:rsidR="007068DD" w:rsidRPr="007068DD">
              <w:t>□</w:t>
            </w:r>
            <w:r w:rsidR="007E2D77" w:rsidRPr="00FB750F">
              <w:rPr>
                <w:b/>
                <w:bCs/>
                <w:vertAlign w:val="superscript"/>
              </w:rPr>
              <w:fldChar w:fldCharType="end"/>
            </w:r>
          </w:p>
        </w:tc>
        <w:tc>
          <w:tcPr>
            <w:tcW w:w="1985" w:type="dxa"/>
            <w:hideMark/>
          </w:tcPr>
          <w:p w14:paraId="068170BE" w14:textId="3279EA1E" w:rsidR="00CF0E60" w:rsidRPr="00A94043" w:rsidRDefault="00CF0E60" w:rsidP="00CF0E60">
            <w:pPr>
              <w:jc w:val="center"/>
              <w:rPr>
                <w:b/>
                <w:bCs/>
              </w:rPr>
            </w:pPr>
            <w:r>
              <w:rPr>
                <w:b/>
                <w:bCs/>
              </w:rPr>
              <w:t>Inactive Power Consumption</w:t>
            </w:r>
            <w:r w:rsidRPr="00A94043">
              <w:rPr>
                <w:b/>
                <w:bCs/>
              </w:rPr>
              <w:t>,</w:t>
            </w:r>
            <w:r>
              <w:rPr>
                <w:b/>
                <w:bCs/>
              </w:rPr>
              <w:t xml:space="preserve"> </w:t>
            </w:r>
            <w:r w:rsidRPr="00A94043">
              <w:rPr>
                <w:b/>
                <w:bCs/>
              </w:rPr>
              <w:t>Pia</w:t>
            </w:r>
            <w:r>
              <w:rPr>
                <w:b/>
                <w:bCs/>
              </w:rPr>
              <w:t> </w:t>
            </w:r>
            <w:r w:rsidRPr="00A94043">
              <w:rPr>
                <w:b/>
                <w:bCs/>
              </w:rPr>
              <w:t>(W)</w:t>
            </w:r>
          </w:p>
        </w:tc>
      </w:tr>
      <w:tr w:rsidR="00CF0E60" w:rsidRPr="00A94043" w14:paraId="28402D58" w14:textId="77777777" w:rsidTr="00CF0E60">
        <w:trPr>
          <w:trHeight w:val="580"/>
        </w:trPr>
        <w:tc>
          <w:tcPr>
            <w:tcW w:w="1271" w:type="dxa"/>
            <w:noWrap/>
            <w:hideMark/>
          </w:tcPr>
          <w:p w14:paraId="517AC5D6" w14:textId="77777777" w:rsidR="00CF0E60" w:rsidRPr="00A94043" w:rsidRDefault="00CF0E60" w:rsidP="00CF0E60">
            <w:r w:rsidRPr="00A94043">
              <w:t>1</w:t>
            </w:r>
          </w:p>
        </w:tc>
        <w:tc>
          <w:tcPr>
            <w:tcW w:w="1843" w:type="dxa"/>
          </w:tcPr>
          <w:p w14:paraId="3F157E12" w14:textId="41AE0738" w:rsidR="00CF0E60" w:rsidRPr="00A94043" w:rsidRDefault="00CF0E60" w:rsidP="00CF0E60">
            <w:pPr>
              <w:jc w:val="center"/>
            </w:pPr>
            <w:r w:rsidRPr="00A94043">
              <w:t>Air Conditioner (Non-ducted)</w:t>
            </w:r>
          </w:p>
        </w:tc>
        <w:tc>
          <w:tcPr>
            <w:tcW w:w="1984" w:type="dxa"/>
            <w:noWrap/>
            <w:hideMark/>
          </w:tcPr>
          <w:p w14:paraId="6E047204" w14:textId="2A2DEE23" w:rsidR="00CF0E60" w:rsidRPr="00A94043" w:rsidRDefault="00CF0E60" w:rsidP="00CF0E60">
            <w:pPr>
              <w:jc w:val="center"/>
            </w:pPr>
            <w:r w:rsidRPr="00A94043">
              <w:t>2</w:t>
            </w:r>
          </w:p>
        </w:tc>
        <w:tc>
          <w:tcPr>
            <w:tcW w:w="1984" w:type="dxa"/>
            <w:hideMark/>
          </w:tcPr>
          <w:p w14:paraId="3B96E409" w14:textId="77777777" w:rsidR="00CF0E60" w:rsidRPr="00A94043" w:rsidRDefault="00CF0E60" w:rsidP="00CF0E60">
            <w:pPr>
              <w:jc w:val="center"/>
            </w:pPr>
            <w:r w:rsidRPr="00A94043">
              <w:t>Default = 1.6</w:t>
            </w:r>
            <w:r w:rsidRPr="00A94043">
              <w:br/>
              <w:t>GEMS Data 2.5</w:t>
            </w:r>
          </w:p>
        </w:tc>
        <w:tc>
          <w:tcPr>
            <w:tcW w:w="1985" w:type="dxa"/>
            <w:noWrap/>
            <w:hideMark/>
          </w:tcPr>
          <w:p w14:paraId="26B70C5B" w14:textId="77777777" w:rsidR="00CF0E60" w:rsidRPr="00A94043" w:rsidRDefault="00CF0E60" w:rsidP="00CF0E60">
            <w:pPr>
              <w:jc w:val="center"/>
            </w:pPr>
            <w:r w:rsidRPr="00A94043">
              <w:t>0.5</w:t>
            </w:r>
          </w:p>
        </w:tc>
        <w:tc>
          <w:tcPr>
            <w:tcW w:w="1984" w:type="dxa"/>
            <w:noWrap/>
            <w:hideMark/>
          </w:tcPr>
          <w:p w14:paraId="5761C5CA" w14:textId="1F0F3869" w:rsidR="00CF0E60" w:rsidRPr="00A94043" w:rsidRDefault="00CF0E60" w:rsidP="00CF0E60">
            <w:pPr>
              <w:jc w:val="center"/>
            </w:pPr>
            <w:r w:rsidRPr="00A94043">
              <w:t>4</w:t>
            </w:r>
            <w:r>
              <w:t>26</w:t>
            </w:r>
            <w:r w:rsidRPr="00A94043">
              <w:t>%</w:t>
            </w:r>
          </w:p>
        </w:tc>
        <w:tc>
          <w:tcPr>
            <w:tcW w:w="1985" w:type="dxa"/>
            <w:noWrap/>
            <w:hideMark/>
          </w:tcPr>
          <w:p w14:paraId="5CEDC234" w14:textId="77777777" w:rsidR="00CF0E60" w:rsidRPr="00A94043" w:rsidRDefault="00CF0E60" w:rsidP="00CF0E60">
            <w:pPr>
              <w:jc w:val="center"/>
            </w:pPr>
            <w:r w:rsidRPr="00A94043">
              <w:t>2.4</w:t>
            </w:r>
          </w:p>
        </w:tc>
      </w:tr>
      <w:tr w:rsidR="00CF0E60" w:rsidRPr="00A94043" w14:paraId="6E1F1FC0" w14:textId="77777777" w:rsidTr="00CF0E60">
        <w:trPr>
          <w:trHeight w:val="580"/>
        </w:trPr>
        <w:tc>
          <w:tcPr>
            <w:tcW w:w="1271" w:type="dxa"/>
            <w:noWrap/>
            <w:hideMark/>
          </w:tcPr>
          <w:p w14:paraId="41184463" w14:textId="77777777" w:rsidR="00CF0E60" w:rsidRPr="00A94043" w:rsidRDefault="00CF0E60" w:rsidP="00CF0E60">
            <w:r w:rsidRPr="00A94043">
              <w:t>8</w:t>
            </w:r>
          </w:p>
        </w:tc>
        <w:tc>
          <w:tcPr>
            <w:tcW w:w="1843" w:type="dxa"/>
          </w:tcPr>
          <w:p w14:paraId="03CFBD74" w14:textId="4C57CCDB" w:rsidR="00CF0E60" w:rsidRPr="00A94043" w:rsidRDefault="00CF0E60" w:rsidP="00CF0E60">
            <w:pPr>
              <w:jc w:val="center"/>
            </w:pPr>
            <w:r w:rsidRPr="00A94043">
              <w:t>Air Conditioner (Non-ducted)</w:t>
            </w:r>
          </w:p>
        </w:tc>
        <w:tc>
          <w:tcPr>
            <w:tcW w:w="1984" w:type="dxa"/>
            <w:noWrap/>
            <w:hideMark/>
          </w:tcPr>
          <w:p w14:paraId="5B046560" w14:textId="3A6D07C4" w:rsidR="00CF0E60" w:rsidRPr="00A94043" w:rsidRDefault="00CF0E60" w:rsidP="00CF0E60">
            <w:pPr>
              <w:jc w:val="center"/>
            </w:pPr>
            <w:r w:rsidRPr="00A94043">
              <w:t>7</w:t>
            </w:r>
          </w:p>
        </w:tc>
        <w:tc>
          <w:tcPr>
            <w:tcW w:w="1984" w:type="dxa"/>
            <w:hideMark/>
          </w:tcPr>
          <w:p w14:paraId="52B204CB" w14:textId="77777777" w:rsidR="00CF0E60" w:rsidRPr="00A94043" w:rsidRDefault="00CF0E60" w:rsidP="00CF0E60">
            <w:pPr>
              <w:jc w:val="center"/>
            </w:pPr>
            <w:r w:rsidRPr="00A94043">
              <w:t>Default = 5.7</w:t>
            </w:r>
            <w:r w:rsidRPr="00A94043">
              <w:br/>
              <w:t>GEMS Data 6.5</w:t>
            </w:r>
          </w:p>
        </w:tc>
        <w:tc>
          <w:tcPr>
            <w:tcW w:w="1985" w:type="dxa"/>
            <w:noWrap/>
            <w:hideMark/>
          </w:tcPr>
          <w:p w14:paraId="126EAF53" w14:textId="77777777" w:rsidR="00CF0E60" w:rsidRPr="00A94043" w:rsidRDefault="00CF0E60" w:rsidP="00CF0E60">
            <w:pPr>
              <w:jc w:val="center"/>
            </w:pPr>
            <w:r w:rsidRPr="00A94043">
              <w:t>1.8</w:t>
            </w:r>
          </w:p>
        </w:tc>
        <w:tc>
          <w:tcPr>
            <w:tcW w:w="1984" w:type="dxa"/>
            <w:noWrap/>
            <w:hideMark/>
          </w:tcPr>
          <w:p w14:paraId="3B48B2E2" w14:textId="0C35E050" w:rsidR="00CF0E60" w:rsidRPr="00A94043" w:rsidRDefault="00CF0E60" w:rsidP="00CF0E60">
            <w:pPr>
              <w:jc w:val="center"/>
            </w:pPr>
            <w:r w:rsidRPr="00A94043">
              <w:t>3</w:t>
            </w:r>
            <w:r>
              <w:t>90</w:t>
            </w:r>
            <w:r w:rsidRPr="00A94043">
              <w:t>%</w:t>
            </w:r>
          </w:p>
        </w:tc>
        <w:tc>
          <w:tcPr>
            <w:tcW w:w="1985" w:type="dxa"/>
            <w:noWrap/>
            <w:hideMark/>
          </w:tcPr>
          <w:p w14:paraId="6F0356A0" w14:textId="77777777" w:rsidR="00CF0E60" w:rsidRPr="00A94043" w:rsidRDefault="00CF0E60" w:rsidP="00CF0E60">
            <w:pPr>
              <w:jc w:val="center"/>
            </w:pPr>
            <w:r w:rsidRPr="00A94043">
              <w:t>4.9</w:t>
            </w:r>
          </w:p>
        </w:tc>
      </w:tr>
      <w:tr w:rsidR="00CF0E60" w:rsidRPr="00A94043" w14:paraId="288D9679" w14:textId="77777777" w:rsidTr="00CF0E60">
        <w:trPr>
          <w:trHeight w:val="580"/>
        </w:trPr>
        <w:tc>
          <w:tcPr>
            <w:tcW w:w="1271" w:type="dxa"/>
            <w:noWrap/>
            <w:hideMark/>
          </w:tcPr>
          <w:p w14:paraId="3B11EAAF" w14:textId="77777777" w:rsidR="00CF0E60" w:rsidRPr="00A94043" w:rsidRDefault="00CF0E60" w:rsidP="00CF0E60">
            <w:r w:rsidRPr="00A94043">
              <w:t>9</w:t>
            </w:r>
          </w:p>
        </w:tc>
        <w:tc>
          <w:tcPr>
            <w:tcW w:w="1843" w:type="dxa"/>
          </w:tcPr>
          <w:p w14:paraId="1C69C036" w14:textId="5F5ABB68" w:rsidR="00CF0E60" w:rsidRPr="00A94043" w:rsidRDefault="00CF0E60" w:rsidP="00CF0E60">
            <w:pPr>
              <w:jc w:val="center"/>
            </w:pPr>
            <w:r w:rsidRPr="00A94043">
              <w:t>Ducted Air Conditioner</w:t>
            </w:r>
          </w:p>
        </w:tc>
        <w:tc>
          <w:tcPr>
            <w:tcW w:w="1984" w:type="dxa"/>
            <w:noWrap/>
            <w:hideMark/>
          </w:tcPr>
          <w:p w14:paraId="3964FEA3" w14:textId="313A15F9" w:rsidR="00CF0E60" w:rsidRPr="00A94043" w:rsidRDefault="00CF0E60" w:rsidP="00CF0E60">
            <w:pPr>
              <w:jc w:val="center"/>
            </w:pPr>
            <w:r w:rsidRPr="00A94043">
              <w:t>7</w:t>
            </w:r>
          </w:p>
        </w:tc>
        <w:tc>
          <w:tcPr>
            <w:tcW w:w="1984" w:type="dxa"/>
            <w:hideMark/>
          </w:tcPr>
          <w:p w14:paraId="72897C7E" w14:textId="77777777" w:rsidR="00CF0E60" w:rsidRPr="00A94043" w:rsidRDefault="00CF0E60" w:rsidP="00CF0E60">
            <w:pPr>
              <w:jc w:val="center"/>
            </w:pPr>
            <w:r w:rsidRPr="00A94043">
              <w:t>Default = 5.7</w:t>
            </w:r>
            <w:r w:rsidRPr="00A94043">
              <w:br/>
              <w:t>GEMS Data 6.5</w:t>
            </w:r>
          </w:p>
        </w:tc>
        <w:tc>
          <w:tcPr>
            <w:tcW w:w="1985" w:type="dxa"/>
            <w:noWrap/>
            <w:hideMark/>
          </w:tcPr>
          <w:p w14:paraId="1F79E057" w14:textId="77777777" w:rsidR="00CF0E60" w:rsidRPr="00A94043" w:rsidRDefault="00CF0E60" w:rsidP="00CF0E60">
            <w:pPr>
              <w:jc w:val="center"/>
            </w:pPr>
            <w:r w:rsidRPr="00A94043">
              <w:t>1.8</w:t>
            </w:r>
          </w:p>
        </w:tc>
        <w:tc>
          <w:tcPr>
            <w:tcW w:w="1984" w:type="dxa"/>
            <w:noWrap/>
            <w:hideMark/>
          </w:tcPr>
          <w:p w14:paraId="21A0391B" w14:textId="2FE0F88F" w:rsidR="00CF0E60" w:rsidRPr="00A94043" w:rsidRDefault="00CF0E60" w:rsidP="00CF0E60">
            <w:pPr>
              <w:jc w:val="center"/>
            </w:pPr>
            <w:r w:rsidRPr="00A94043">
              <w:t>3</w:t>
            </w:r>
            <w:r>
              <w:t>88</w:t>
            </w:r>
            <w:r w:rsidRPr="00A94043">
              <w:t>%</w:t>
            </w:r>
          </w:p>
        </w:tc>
        <w:tc>
          <w:tcPr>
            <w:tcW w:w="1985" w:type="dxa"/>
            <w:noWrap/>
            <w:hideMark/>
          </w:tcPr>
          <w:p w14:paraId="1ABB8FEF" w14:textId="77777777" w:rsidR="00CF0E60" w:rsidRPr="00A94043" w:rsidRDefault="00CF0E60" w:rsidP="00CF0E60">
            <w:pPr>
              <w:jc w:val="center"/>
            </w:pPr>
            <w:r w:rsidRPr="00A94043">
              <w:t>12.1</w:t>
            </w:r>
          </w:p>
        </w:tc>
      </w:tr>
      <w:tr w:rsidR="00CF0E60" w:rsidRPr="00A94043" w14:paraId="389B23A0" w14:textId="77777777" w:rsidTr="00CF0E60">
        <w:trPr>
          <w:trHeight w:val="580"/>
        </w:trPr>
        <w:tc>
          <w:tcPr>
            <w:tcW w:w="1271" w:type="dxa"/>
            <w:noWrap/>
            <w:hideMark/>
          </w:tcPr>
          <w:p w14:paraId="5AD260D8" w14:textId="77777777" w:rsidR="00CF0E60" w:rsidRPr="00A94043" w:rsidRDefault="00CF0E60" w:rsidP="00CF0E60">
            <w:r w:rsidRPr="00A94043">
              <w:t>15</w:t>
            </w:r>
          </w:p>
        </w:tc>
        <w:tc>
          <w:tcPr>
            <w:tcW w:w="1843" w:type="dxa"/>
          </w:tcPr>
          <w:p w14:paraId="3E025922" w14:textId="36D47A6B" w:rsidR="00CF0E60" w:rsidRPr="00A94043" w:rsidRDefault="00CF0E60" w:rsidP="00CF0E60">
            <w:pPr>
              <w:jc w:val="center"/>
            </w:pPr>
            <w:r w:rsidRPr="00A94043">
              <w:t>Air Conditioner (Non-ducted)</w:t>
            </w:r>
          </w:p>
        </w:tc>
        <w:tc>
          <w:tcPr>
            <w:tcW w:w="1984" w:type="dxa"/>
            <w:noWrap/>
            <w:hideMark/>
          </w:tcPr>
          <w:p w14:paraId="53DA23D9" w14:textId="42973613" w:rsidR="00CF0E60" w:rsidRPr="00A94043" w:rsidRDefault="00CF0E60" w:rsidP="00CF0E60">
            <w:pPr>
              <w:jc w:val="center"/>
            </w:pPr>
            <w:r w:rsidRPr="00A94043">
              <w:t>12</w:t>
            </w:r>
          </w:p>
        </w:tc>
        <w:tc>
          <w:tcPr>
            <w:tcW w:w="1984" w:type="dxa"/>
            <w:hideMark/>
          </w:tcPr>
          <w:p w14:paraId="729E0C74" w14:textId="77777777" w:rsidR="00CF0E60" w:rsidRPr="00A94043" w:rsidRDefault="00CF0E60" w:rsidP="00CF0E60">
            <w:pPr>
              <w:jc w:val="center"/>
            </w:pPr>
            <w:r w:rsidRPr="00A94043">
              <w:t xml:space="preserve">Default = 9.8 </w:t>
            </w:r>
            <w:r w:rsidRPr="00A94043">
              <w:br/>
              <w:t>GEMS Data 10.1</w:t>
            </w:r>
          </w:p>
        </w:tc>
        <w:tc>
          <w:tcPr>
            <w:tcW w:w="1985" w:type="dxa"/>
            <w:noWrap/>
            <w:hideMark/>
          </w:tcPr>
          <w:p w14:paraId="3450A910" w14:textId="77777777" w:rsidR="00CF0E60" w:rsidRPr="00A94043" w:rsidRDefault="00CF0E60" w:rsidP="00CF0E60">
            <w:pPr>
              <w:jc w:val="center"/>
            </w:pPr>
            <w:r w:rsidRPr="00A94043">
              <w:t>2.9</w:t>
            </w:r>
          </w:p>
        </w:tc>
        <w:tc>
          <w:tcPr>
            <w:tcW w:w="1984" w:type="dxa"/>
            <w:noWrap/>
            <w:hideMark/>
          </w:tcPr>
          <w:p w14:paraId="1572AC72" w14:textId="3AAE9864" w:rsidR="00CF0E60" w:rsidRPr="00A94043" w:rsidRDefault="00CF0E60" w:rsidP="00CF0E60">
            <w:pPr>
              <w:jc w:val="center"/>
            </w:pPr>
            <w:r w:rsidRPr="00A94043">
              <w:t>3</w:t>
            </w:r>
            <w:r>
              <w:t>91</w:t>
            </w:r>
            <w:r w:rsidRPr="00A94043">
              <w:t>%</w:t>
            </w:r>
          </w:p>
        </w:tc>
        <w:tc>
          <w:tcPr>
            <w:tcW w:w="1985" w:type="dxa"/>
            <w:noWrap/>
            <w:hideMark/>
          </w:tcPr>
          <w:p w14:paraId="6B4E5EE3" w14:textId="77777777" w:rsidR="00CF0E60" w:rsidRPr="00A94043" w:rsidRDefault="00CF0E60" w:rsidP="00CF0E60">
            <w:pPr>
              <w:jc w:val="center"/>
            </w:pPr>
            <w:r w:rsidRPr="00A94043">
              <w:t>19.2</w:t>
            </w:r>
          </w:p>
        </w:tc>
      </w:tr>
      <w:tr w:rsidR="00CF0E60" w:rsidRPr="00A94043" w14:paraId="04A8B3D2" w14:textId="77777777" w:rsidTr="00CF0E60">
        <w:trPr>
          <w:trHeight w:val="580"/>
        </w:trPr>
        <w:tc>
          <w:tcPr>
            <w:tcW w:w="1271" w:type="dxa"/>
            <w:noWrap/>
            <w:hideMark/>
          </w:tcPr>
          <w:p w14:paraId="32B28007" w14:textId="77777777" w:rsidR="00CF0E60" w:rsidRPr="00A94043" w:rsidRDefault="00CF0E60" w:rsidP="00CF0E60">
            <w:r w:rsidRPr="00A94043">
              <w:t>16</w:t>
            </w:r>
          </w:p>
        </w:tc>
        <w:tc>
          <w:tcPr>
            <w:tcW w:w="1843" w:type="dxa"/>
          </w:tcPr>
          <w:p w14:paraId="5BD5C516" w14:textId="10693B75" w:rsidR="00CF0E60" w:rsidRPr="00A94043" w:rsidRDefault="00CF0E60" w:rsidP="00CF0E60">
            <w:pPr>
              <w:jc w:val="center"/>
            </w:pPr>
            <w:r w:rsidRPr="00A94043">
              <w:t>Ducted Air Conditioner</w:t>
            </w:r>
          </w:p>
        </w:tc>
        <w:tc>
          <w:tcPr>
            <w:tcW w:w="1984" w:type="dxa"/>
            <w:noWrap/>
            <w:hideMark/>
          </w:tcPr>
          <w:p w14:paraId="04E64A4A" w14:textId="414A5619" w:rsidR="00CF0E60" w:rsidRPr="00A94043" w:rsidRDefault="00CF0E60" w:rsidP="00CF0E60">
            <w:pPr>
              <w:jc w:val="center"/>
            </w:pPr>
            <w:r w:rsidRPr="00A94043">
              <w:t>12</w:t>
            </w:r>
          </w:p>
        </w:tc>
        <w:tc>
          <w:tcPr>
            <w:tcW w:w="1984" w:type="dxa"/>
            <w:hideMark/>
          </w:tcPr>
          <w:p w14:paraId="11BC9FC6" w14:textId="77777777" w:rsidR="00CF0E60" w:rsidRPr="00A94043" w:rsidRDefault="00CF0E60" w:rsidP="00CF0E60">
            <w:pPr>
              <w:jc w:val="center"/>
            </w:pPr>
            <w:r w:rsidRPr="00A94043">
              <w:t xml:space="preserve">Default = 9.8 </w:t>
            </w:r>
            <w:r w:rsidRPr="00A94043">
              <w:br/>
              <w:t>GEMS Data 10.0</w:t>
            </w:r>
          </w:p>
        </w:tc>
        <w:tc>
          <w:tcPr>
            <w:tcW w:w="1985" w:type="dxa"/>
            <w:noWrap/>
            <w:hideMark/>
          </w:tcPr>
          <w:p w14:paraId="0C4A2CD3" w14:textId="77777777" w:rsidR="00CF0E60" w:rsidRPr="00A94043" w:rsidRDefault="00CF0E60" w:rsidP="00CF0E60">
            <w:pPr>
              <w:jc w:val="center"/>
            </w:pPr>
            <w:r w:rsidRPr="00A94043">
              <w:t>3.0</w:t>
            </w:r>
          </w:p>
        </w:tc>
        <w:tc>
          <w:tcPr>
            <w:tcW w:w="1984" w:type="dxa"/>
            <w:noWrap/>
            <w:hideMark/>
          </w:tcPr>
          <w:p w14:paraId="14A64F7B" w14:textId="2E65FA0F" w:rsidR="00CF0E60" w:rsidRPr="00A94043" w:rsidRDefault="00CF0E60" w:rsidP="00CF0E60">
            <w:pPr>
              <w:jc w:val="center"/>
            </w:pPr>
            <w:r w:rsidRPr="00A94043">
              <w:t>3</w:t>
            </w:r>
            <w:r>
              <w:t>92</w:t>
            </w:r>
            <w:r w:rsidRPr="00A94043">
              <w:t>%</w:t>
            </w:r>
          </w:p>
        </w:tc>
        <w:tc>
          <w:tcPr>
            <w:tcW w:w="1985" w:type="dxa"/>
            <w:noWrap/>
            <w:hideMark/>
          </w:tcPr>
          <w:p w14:paraId="4B43D755" w14:textId="77777777" w:rsidR="00CF0E60" w:rsidRPr="00A94043" w:rsidRDefault="00CF0E60" w:rsidP="00CF0E60">
            <w:pPr>
              <w:jc w:val="center"/>
            </w:pPr>
            <w:r w:rsidRPr="00A94043">
              <w:t>20.7</w:t>
            </w:r>
          </w:p>
        </w:tc>
      </w:tr>
    </w:tbl>
    <w:p w14:paraId="3F4BBCC0" w14:textId="5771E2DD" w:rsidR="00AF2B8C" w:rsidRPr="00A94043" w:rsidRDefault="00AF2B8C" w:rsidP="00AF2B8C">
      <w:pPr>
        <w:pStyle w:val="Heading3"/>
      </w:pPr>
      <w:bookmarkStart w:id="101" w:name="_Toc175311940"/>
      <w:r w:rsidRPr="00A94043">
        <w:lastRenderedPageBreak/>
        <w:t>Electric resistance heaters (portable and fixed)</w:t>
      </w:r>
      <w:bookmarkEnd w:id="101"/>
    </w:p>
    <w:p w14:paraId="578710E2" w14:textId="77777777" w:rsidR="00042C1E" w:rsidRPr="00A94043" w:rsidRDefault="00042C1E" w:rsidP="00042C1E">
      <w:pPr>
        <w:rPr>
          <w:b/>
          <w:bCs/>
        </w:rPr>
      </w:pPr>
      <w:r w:rsidRPr="00A94043">
        <w:rPr>
          <w:b/>
          <w:bCs/>
        </w:rPr>
        <w:t>Product Type and HSEC Calculation Method:</w:t>
      </w:r>
    </w:p>
    <w:tbl>
      <w:tblPr>
        <w:tblStyle w:val="TableGrid"/>
        <w:tblW w:w="0" w:type="auto"/>
        <w:tblLook w:val="04A0" w:firstRow="1" w:lastRow="0" w:firstColumn="1" w:lastColumn="0" w:noHBand="0" w:noVBand="1"/>
      </w:tblPr>
      <w:tblGrid>
        <w:gridCol w:w="1282"/>
        <w:gridCol w:w="1869"/>
        <w:gridCol w:w="4396"/>
        <w:gridCol w:w="2535"/>
      </w:tblGrid>
      <w:tr w:rsidR="00042C1E" w:rsidRPr="00A94043" w14:paraId="7C664E9A" w14:textId="77777777" w:rsidTr="00D66C98">
        <w:trPr>
          <w:trHeight w:val="290"/>
        </w:trPr>
        <w:tc>
          <w:tcPr>
            <w:tcW w:w="0" w:type="auto"/>
            <w:hideMark/>
          </w:tcPr>
          <w:p w14:paraId="739F95CD" w14:textId="77777777" w:rsidR="00042C1E" w:rsidRPr="00A94043" w:rsidRDefault="00042C1E">
            <w:pPr>
              <w:pStyle w:val="NoSpacing"/>
              <w:rPr>
                <w:b/>
                <w:bCs/>
              </w:rPr>
            </w:pPr>
            <w:r w:rsidRPr="00A94043">
              <w:rPr>
                <w:b/>
                <w:bCs/>
              </w:rPr>
              <w:t>Heater Unit</w:t>
            </w:r>
          </w:p>
        </w:tc>
        <w:tc>
          <w:tcPr>
            <w:tcW w:w="0" w:type="auto"/>
            <w:hideMark/>
          </w:tcPr>
          <w:p w14:paraId="4C42C24C" w14:textId="77777777" w:rsidR="00042C1E" w:rsidRPr="00A94043" w:rsidRDefault="00042C1E">
            <w:pPr>
              <w:pStyle w:val="NoSpacing"/>
              <w:rPr>
                <w:b/>
                <w:bCs/>
              </w:rPr>
            </w:pPr>
            <w:r w:rsidRPr="00A94043">
              <w:rPr>
                <w:b/>
                <w:bCs/>
              </w:rPr>
              <w:t>Technology Type</w:t>
            </w:r>
          </w:p>
        </w:tc>
        <w:tc>
          <w:tcPr>
            <w:tcW w:w="0" w:type="auto"/>
            <w:hideMark/>
          </w:tcPr>
          <w:p w14:paraId="3824BBF2" w14:textId="77777777" w:rsidR="00042C1E" w:rsidRPr="00A94043" w:rsidRDefault="00042C1E">
            <w:pPr>
              <w:pStyle w:val="NoSpacing"/>
              <w:rPr>
                <w:b/>
                <w:bCs/>
              </w:rPr>
            </w:pPr>
            <w:r w:rsidRPr="00A94043">
              <w:rPr>
                <w:b/>
                <w:bCs/>
              </w:rPr>
              <w:t>Characteristics</w:t>
            </w:r>
          </w:p>
        </w:tc>
        <w:tc>
          <w:tcPr>
            <w:tcW w:w="0" w:type="auto"/>
            <w:hideMark/>
          </w:tcPr>
          <w:p w14:paraId="744B00B0" w14:textId="77777777" w:rsidR="00042C1E" w:rsidRPr="00A94043" w:rsidRDefault="00042C1E">
            <w:pPr>
              <w:pStyle w:val="NoSpacing"/>
              <w:jc w:val="center"/>
              <w:rPr>
                <w:b/>
                <w:bCs/>
              </w:rPr>
            </w:pPr>
            <w:r w:rsidRPr="00A94043">
              <w:rPr>
                <w:b/>
                <w:bCs/>
              </w:rPr>
              <w:t>HSEC Calculation Method</w:t>
            </w:r>
          </w:p>
        </w:tc>
      </w:tr>
      <w:tr w:rsidR="00042C1E" w:rsidRPr="00A94043" w14:paraId="7DEFCFAF" w14:textId="77777777" w:rsidTr="00D66C98">
        <w:trPr>
          <w:trHeight w:val="290"/>
        </w:trPr>
        <w:tc>
          <w:tcPr>
            <w:tcW w:w="0" w:type="auto"/>
          </w:tcPr>
          <w:p w14:paraId="7BE27515" w14:textId="3188852A" w:rsidR="00042C1E" w:rsidRPr="00A94043" w:rsidRDefault="00042C1E" w:rsidP="00042C1E">
            <w:pPr>
              <w:pStyle w:val="NoSpacing"/>
              <w:rPr>
                <w:b/>
                <w:bCs/>
              </w:rPr>
            </w:pPr>
            <w:r w:rsidRPr="00A94043">
              <w:t>2</w:t>
            </w:r>
          </w:p>
        </w:tc>
        <w:tc>
          <w:tcPr>
            <w:tcW w:w="0" w:type="auto"/>
          </w:tcPr>
          <w:p w14:paraId="39B2B2AC" w14:textId="3057C09A" w:rsidR="00042C1E" w:rsidRPr="00A94043" w:rsidRDefault="00042C1E" w:rsidP="00042C1E">
            <w:pPr>
              <w:pStyle w:val="NoSpacing"/>
              <w:rPr>
                <w:b/>
                <w:bCs/>
              </w:rPr>
            </w:pPr>
            <w:r w:rsidRPr="00A94043">
              <w:t>Electric Resistance</w:t>
            </w:r>
          </w:p>
        </w:tc>
        <w:tc>
          <w:tcPr>
            <w:tcW w:w="0" w:type="auto"/>
          </w:tcPr>
          <w:p w14:paraId="177D36B2" w14:textId="48F7D61B" w:rsidR="00042C1E" w:rsidRPr="00A94043" w:rsidRDefault="00042C1E" w:rsidP="00042C1E">
            <w:pPr>
              <w:pStyle w:val="NoSpacing"/>
              <w:rPr>
                <w:b/>
                <w:bCs/>
              </w:rPr>
            </w:pPr>
            <w:r w:rsidRPr="00A94043">
              <w:t>Portable, Thermostatic control</w:t>
            </w:r>
          </w:p>
        </w:tc>
        <w:tc>
          <w:tcPr>
            <w:tcW w:w="0" w:type="auto"/>
          </w:tcPr>
          <w:p w14:paraId="39A805B5" w14:textId="6196950F" w:rsidR="00042C1E" w:rsidRPr="00A94043" w:rsidRDefault="00042C1E" w:rsidP="00042C1E">
            <w:pPr>
              <w:pStyle w:val="NoSpacing"/>
              <w:jc w:val="center"/>
              <w:rPr>
                <w:b/>
                <w:bCs/>
              </w:rPr>
            </w:pPr>
            <w:r w:rsidRPr="00A94043">
              <w:t>3</w:t>
            </w:r>
          </w:p>
        </w:tc>
      </w:tr>
      <w:tr w:rsidR="00042C1E" w:rsidRPr="00A94043" w14:paraId="399CDE63" w14:textId="77777777" w:rsidTr="00D66C98">
        <w:trPr>
          <w:trHeight w:val="290"/>
        </w:trPr>
        <w:tc>
          <w:tcPr>
            <w:tcW w:w="0" w:type="auto"/>
          </w:tcPr>
          <w:p w14:paraId="4A495A89" w14:textId="68E14B5F" w:rsidR="00042C1E" w:rsidRPr="00A94043" w:rsidRDefault="00042C1E" w:rsidP="00042C1E">
            <w:pPr>
              <w:pStyle w:val="NoSpacing"/>
            </w:pPr>
            <w:r w:rsidRPr="00A94043">
              <w:t>3</w:t>
            </w:r>
          </w:p>
        </w:tc>
        <w:tc>
          <w:tcPr>
            <w:tcW w:w="0" w:type="auto"/>
          </w:tcPr>
          <w:p w14:paraId="7B2325AA" w14:textId="26155D12" w:rsidR="00042C1E" w:rsidRPr="00A94043" w:rsidRDefault="00042C1E" w:rsidP="00042C1E">
            <w:pPr>
              <w:pStyle w:val="NoSpacing"/>
            </w:pPr>
            <w:r w:rsidRPr="00A94043">
              <w:t>Electric Resistance</w:t>
            </w:r>
          </w:p>
        </w:tc>
        <w:tc>
          <w:tcPr>
            <w:tcW w:w="0" w:type="auto"/>
          </w:tcPr>
          <w:p w14:paraId="0E68DA2E" w14:textId="1CA0420D" w:rsidR="00042C1E" w:rsidRPr="00A94043" w:rsidRDefault="00042C1E" w:rsidP="00042C1E">
            <w:pPr>
              <w:pStyle w:val="NoSpacing"/>
            </w:pPr>
            <w:r w:rsidRPr="00A94043">
              <w:t>Portable, Two-setting, No thermostatic control</w:t>
            </w:r>
          </w:p>
        </w:tc>
        <w:tc>
          <w:tcPr>
            <w:tcW w:w="0" w:type="auto"/>
          </w:tcPr>
          <w:p w14:paraId="6786CE15" w14:textId="4B129D47" w:rsidR="00042C1E" w:rsidRPr="00A94043" w:rsidRDefault="00042C1E" w:rsidP="00042C1E">
            <w:pPr>
              <w:pStyle w:val="NoSpacing"/>
              <w:jc w:val="center"/>
            </w:pPr>
            <w:r w:rsidRPr="00A94043">
              <w:t>2</w:t>
            </w:r>
          </w:p>
        </w:tc>
      </w:tr>
      <w:tr w:rsidR="00042C1E" w:rsidRPr="00A94043" w14:paraId="0655BF06" w14:textId="77777777" w:rsidTr="00D66C98">
        <w:trPr>
          <w:trHeight w:val="290"/>
        </w:trPr>
        <w:tc>
          <w:tcPr>
            <w:tcW w:w="0" w:type="auto"/>
          </w:tcPr>
          <w:p w14:paraId="50733CED" w14:textId="24287B3F" w:rsidR="00042C1E" w:rsidRPr="00A94043" w:rsidRDefault="00042C1E" w:rsidP="00042C1E">
            <w:pPr>
              <w:pStyle w:val="NoSpacing"/>
            </w:pPr>
            <w:r w:rsidRPr="00A94043">
              <w:t>4</w:t>
            </w:r>
          </w:p>
        </w:tc>
        <w:tc>
          <w:tcPr>
            <w:tcW w:w="0" w:type="auto"/>
          </w:tcPr>
          <w:p w14:paraId="6FF53672" w14:textId="400CDA2E" w:rsidR="00042C1E" w:rsidRPr="00A94043" w:rsidRDefault="00042C1E" w:rsidP="00042C1E">
            <w:pPr>
              <w:pStyle w:val="NoSpacing"/>
            </w:pPr>
            <w:r w:rsidRPr="00A94043">
              <w:t>Electric Resistance</w:t>
            </w:r>
          </w:p>
        </w:tc>
        <w:tc>
          <w:tcPr>
            <w:tcW w:w="0" w:type="auto"/>
          </w:tcPr>
          <w:p w14:paraId="2D36B843" w14:textId="481AFCB0" w:rsidR="00042C1E" w:rsidRPr="00A94043" w:rsidRDefault="00042C1E" w:rsidP="00042C1E">
            <w:pPr>
              <w:pStyle w:val="NoSpacing"/>
            </w:pPr>
            <w:r w:rsidRPr="00A94043">
              <w:t>Portable, One-setting, No thermostatic control</w:t>
            </w:r>
          </w:p>
        </w:tc>
        <w:tc>
          <w:tcPr>
            <w:tcW w:w="0" w:type="auto"/>
          </w:tcPr>
          <w:p w14:paraId="2747BE21" w14:textId="4E5CCDF1" w:rsidR="00042C1E" w:rsidRPr="00A94043" w:rsidRDefault="00042C1E" w:rsidP="00042C1E">
            <w:pPr>
              <w:pStyle w:val="NoSpacing"/>
              <w:jc w:val="center"/>
            </w:pPr>
            <w:r w:rsidRPr="00A94043">
              <w:t>1</w:t>
            </w:r>
          </w:p>
        </w:tc>
      </w:tr>
      <w:tr w:rsidR="00042C1E" w:rsidRPr="00A94043" w14:paraId="79D3634C" w14:textId="77777777" w:rsidTr="00D66C98">
        <w:trPr>
          <w:trHeight w:val="290"/>
        </w:trPr>
        <w:tc>
          <w:tcPr>
            <w:tcW w:w="0" w:type="auto"/>
          </w:tcPr>
          <w:p w14:paraId="1C04774A" w14:textId="595586DE" w:rsidR="00042C1E" w:rsidRPr="00A94043" w:rsidRDefault="00042C1E" w:rsidP="00042C1E">
            <w:pPr>
              <w:pStyle w:val="NoSpacing"/>
            </w:pPr>
            <w:r w:rsidRPr="00A94043">
              <w:t>10</w:t>
            </w:r>
          </w:p>
        </w:tc>
        <w:tc>
          <w:tcPr>
            <w:tcW w:w="0" w:type="auto"/>
          </w:tcPr>
          <w:p w14:paraId="72611BE9" w14:textId="4123D734" w:rsidR="00042C1E" w:rsidRPr="00A94043" w:rsidRDefault="00042C1E" w:rsidP="00042C1E">
            <w:pPr>
              <w:pStyle w:val="NoSpacing"/>
            </w:pPr>
            <w:r w:rsidRPr="00A94043">
              <w:t>Electric Resistance</w:t>
            </w:r>
          </w:p>
        </w:tc>
        <w:tc>
          <w:tcPr>
            <w:tcW w:w="0" w:type="auto"/>
          </w:tcPr>
          <w:p w14:paraId="1278A52B" w14:textId="1703B697" w:rsidR="00042C1E" w:rsidRPr="00A94043" w:rsidRDefault="00042C1E" w:rsidP="00042C1E">
            <w:pPr>
              <w:pStyle w:val="NoSpacing"/>
            </w:pPr>
            <w:r w:rsidRPr="00A94043">
              <w:t>Portable, Thermostatic Control</w:t>
            </w:r>
          </w:p>
        </w:tc>
        <w:tc>
          <w:tcPr>
            <w:tcW w:w="0" w:type="auto"/>
          </w:tcPr>
          <w:p w14:paraId="39652F46" w14:textId="04808A63" w:rsidR="00042C1E" w:rsidRPr="00A94043" w:rsidRDefault="00042C1E" w:rsidP="00042C1E">
            <w:pPr>
              <w:pStyle w:val="NoSpacing"/>
              <w:jc w:val="center"/>
            </w:pPr>
            <w:r w:rsidRPr="00A94043">
              <w:t>3</w:t>
            </w:r>
          </w:p>
        </w:tc>
      </w:tr>
      <w:tr w:rsidR="00042C1E" w:rsidRPr="00A94043" w14:paraId="0F743F37" w14:textId="77777777" w:rsidTr="00D66C98">
        <w:trPr>
          <w:trHeight w:val="290"/>
        </w:trPr>
        <w:tc>
          <w:tcPr>
            <w:tcW w:w="0" w:type="auto"/>
          </w:tcPr>
          <w:p w14:paraId="5712E943" w14:textId="5249AF09" w:rsidR="00042C1E" w:rsidRPr="00A94043" w:rsidRDefault="00042C1E" w:rsidP="00042C1E">
            <w:pPr>
              <w:pStyle w:val="NoSpacing"/>
            </w:pPr>
            <w:r w:rsidRPr="00A94043">
              <w:t>11</w:t>
            </w:r>
          </w:p>
        </w:tc>
        <w:tc>
          <w:tcPr>
            <w:tcW w:w="0" w:type="auto"/>
          </w:tcPr>
          <w:p w14:paraId="0B8BA56E" w14:textId="6FCCD983" w:rsidR="00042C1E" w:rsidRPr="00A94043" w:rsidRDefault="00042C1E" w:rsidP="00042C1E">
            <w:pPr>
              <w:pStyle w:val="NoSpacing"/>
            </w:pPr>
            <w:r w:rsidRPr="00A94043">
              <w:t>Electric Resistance</w:t>
            </w:r>
          </w:p>
        </w:tc>
        <w:tc>
          <w:tcPr>
            <w:tcW w:w="0" w:type="auto"/>
          </w:tcPr>
          <w:p w14:paraId="07563618" w14:textId="20C1705A" w:rsidR="00042C1E" w:rsidRPr="00A94043" w:rsidRDefault="00042C1E" w:rsidP="00042C1E">
            <w:pPr>
              <w:pStyle w:val="NoSpacing"/>
            </w:pPr>
            <w:r w:rsidRPr="00A94043">
              <w:t>Fixed, Thermostatic Control</w:t>
            </w:r>
          </w:p>
        </w:tc>
        <w:tc>
          <w:tcPr>
            <w:tcW w:w="0" w:type="auto"/>
          </w:tcPr>
          <w:p w14:paraId="1165F4FD" w14:textId="37FFE69E" w:rsidR="00042C1E" w:rsidRPr="00A94043" w:rsidRDefault="00042C1E" w:rsidP="00042C1E">
            <w:pPr>
              <w:pStyle w:val="NoSpacing"/>
              <w:jc w:val="center"/>
            </w:pPr>
            <w:r w:rsidRPr="00A94043">
              <w:t>3</w:t>
            </w:r>
          </w:p>
        </w:tc>
      </w:tr>
      <w:tr w:rsidR="00042C1E" w:rsidRPr="00A94043" w14:paraId="24157920" w14:textId="77777777" w:rsidTr="00D66C98">
        <w:trPr>
          <w:trHeight w:val="290"/>
        </w:trPr>
        <w:tc>
          <w:tcPr>
            <w:tcW w:w="0" w:type="auto"/>
          </w:tcPr>
          <w:p w14:paraId="1CC9D871" w14:textId="6F3EFE88" w:rsidR="00042C1E" w:rsidRPr="00A94043" w:rsidRDefault="00042C1E" w:rsidP="00042C1E">
            <w:pPr>
              <w:pStyle w:val="NoSpacing"/>
            </w:pPr>
            <w:r w:rsidRPr="00A94043">
              <w:t>17</w:t>
            </w:r>
          </w:p>
        </w:tc>
        <w:tc>
          <w:tcPr>
            <w:tcW w:w="0" w:type="auto"/>
          </w:tcPr>
          <w:p w14:paraId="06813282" w14:textId="5EB79E04" w:rsidR="00042C1E" w:rsidRPr="00A94043" w:rsidRDefault="00042C1E" w:rsidP="00042C1E">
            <w:pPr>
              <w:pStyle w:val="NoSpacing"/>
            </w:pPr>
            <w:r w:rsidRPr="00A94043">
              <w:t>Electric Resistance</w:t>
            </w:r>
          </w:p>
        </w:tc>
        <w:tc>
          <w:tcPr>
            <w:tcW w:w="0" w:type="auto"/>
          </w:tcPr>
          <w:p w14:paraId="257B5555" w14:textId="4535EDF9" w:rsidR="00042C1E" w:rsidRPr="00A94043" w:rsidRDefault="00042C1E" w:rsidP="00042C1E">
            <w:pPr>
              <w:pStyle w:val="NoSpacing"/>
            </w:pPr>
            <w:r w:rsidRPr="00A94043">
              <w:t>Fixed, Thermostatic Control</w:t>
            </w:r>
          </w:p>
        </w:tc>
        <w:tc>
          <w:tcPr>
            <w:tcW w:w="0" w:type="auto"/>
          </w:tcPr>
          <w:p w14:paraId="078568E3" w14:textId="40F74039" w:rsidR="00042C1E" w:rsidRPr="00A94043" w:rsidRDefault="00042C1E" w:rsidP="00042C1E">
            <w:pPr>
              <w:pStyle w:val="NoSpacing"/>
              <w:jc w:val="center"/>
            </w:pPr>
            <w:r w:rsidRPr="00A94043">
              <w:t>3</w:t>
            </w:r>
          </w:p>
        </w:tc>
      </w:tr>
    </w:tbl>
    <w:p w14:paraId="7529A930" w14:textId="4A50C645" w:rsidR="00AF2B8C" w:rsidRPr="00A94043" w:rsidRDefault="00AF2B8C" w:rsidP="00AF2B8C">
      <w:pPr>
        <w:pStyle w:val="NoSpacing"/>
      </w:pPr>
    </w:p>
    <w:p w14:paraId="135F0DDE" w14:textId="77777777" w:rsidR="00042C1E" w:rsidRPr="00A94043" w:rsidRDefault="00042C1E" w:rsidP="00042C1E">
      <w:pPr>
        <w:pStyle w:val="NoSpacing"/>
        <w:rPr>
          <w:rFonts w:asciiTheme="minorHAnsi" w:hAnsiTheme="minorHAnsi" w:cstheme="minorHAnsi"/>
          <w:b/>
          <w:bCs/>
        </w:rPr>
      </w:pPr>
      <w:r w:rsidRPr="00A94043">
        <w:rPr>
          <w:rFonts w:asciiTheme="minorHAnsi" w:hAnsiTheme="minorHAnsi" w:cstheme="minorHAnsi"/>
          <w:b/>
          <w:bCs/>
        </w:rPr>
        <w:t>Test Data:</w:t>
      </w:r>
    </w:p>
    <w:p w14:paraId="0EF1C81B" w14:textId="77777777" w:rsidR="00042C1E" w:rsidRPr="00A94043" w:rsidRDefault="00042C1E" w:rsidP="00AF2B8C">
      <w:pPr>
        <w:pStyle w:val="NoSpacing"/>
      </w:pPr>
    </w:p>
    <w:tbl>
      <w:tblPr>
        <w:tblStyle w:val="TableGrid"/>
        <w:tblW w:w="0" w:type="auto"/>
        <w:tblLook w:val="04A0" w:firstRow="1" w:lastRow="0" w:firstColumn="1" w:lastColumn="0" w:noHBand="0" w:noVBand="1"/>
      </w:tblPr>
      <w:tblGrid>
        <w:gridCol w:w="1282"/>
        <w:gridCol w:w="1832"/>
        <w:gridCol w:w="2977"/>
      </w:tblGrid>
      <w:tr w:rsidR="00042C1E" w:rsidRPr="00A94043" w14:paraId="2C400A4C" w14:textId="77777777" w:rsidTr="00AB3FC3">
        <w:trPr>
          <w:trHeight w:val="610"/>
        </w:trPr>
        <w:tc>
          <w:tcPr>
            <w:tcW w:w="0" w:type="auto"/>
            <w:vMerge w:val="restart"/>
            <w:hideMark/>
          </w:tcPr>
          <w:p w14:paraId="6CDF2042" w14:textId="77777777" w:rsidR="00042C1E" w:rsidRPr="00A94043" w:rsidRDefault="00042C1E" w:rsidP="00042C1E">
            <w:pPr>
              <w:pStyle w:val="NoSpacing"/>
              <w:rPr>
                <w:b/>
                <w:bCs/>
              </w:rPr>
            </w:pPr>
            <w:r w:rsidRPr="00A94043">
              <w:rPr>
                <w:b/>
                <w:bCs/>
              </w:rPr>
              <w:t>Heater Unit</w:t>
            </w:r>
          </w:p>
        </w:tc>
        <w:tc>
          <w:tcPr>
            <w:tcW w:w="1832" w:type="dxa"/>
            <w:vMerge w:val="restart"/>
          </w:tcPr>
          <w:p w14:paraId="47589AB5" w14:textId="471B2A6B" w:rsidR="00042C1E" w:rsidRPr="00A94043" w:rsidRDefault="00042C1E" w:rsidP="0001564A">
            <w:pPr>
              <w:pStyle w:val="NoSpacing"/>
              <w:jc w:val="center"/>
              <w:rPr>
                <w:b/>
                <w:bCs/>
              </w:rPr>
            </w:pPr>
            <w:r w:rsidRPr="00A94043">
              <w:rPr>
                <w:b/>
                <w:bCs/>
              </w:rPr>
              <w:t>Nameplate</w:t>
            </w:r>
            <w:r w:rsidR="00AB3FC3">
              <w:rPr>
                <w:b/>
                <w:bCs/>
              </w:rPr>
              <w:t xml:space="preserve"> </w:t>
            </w:r>
            <w:r w:rsidRPr="00A94043">
              <w:rPr>
                <w:b/>
                <w:bCs/>
              </w:rPr>
              <w:t>Input</w:t>
            </w:r>
            <w:r w:rsidR="00AB3FC3">
              <w:rPr>
                <w:b/>
                <w:bCs/>
              </w:rPr>
              <w:t xml:space="preserve"> </w:t>
            </w:r>
            <w:r w:rsidRPr="00A94043">
              <w:rPr>
                <w:b/>
                <w:bCs/>
              </w:rPr>
              <w:t>Power</w:t>
            </w:r>
            <w:r w:rsidR="00AB3FC3">
              <w:rPr>
                <w:b/>
                <w:bCs/>
              </w:rPr>
              <w:t xml:space="preserve"> </w:t>
            </w:r>
            <w:r w:rsidRPr="00A94043">
              <w:rPr>
                <w:b/>
                <w:bCs/>
              </w:rPr>
              <w:t>(kW)</w:t>
            </w:r>
          </w:p>
        </w:tc>
        <w:tc>
          <w:tcPr>
            <w:tcW w:w="2977" w:type="dxa"/>
            <w:vMerge w:val="restart"/>
            <w:hideMark/>
          </w:tcPr>
          <w:p w14:paraId="6D493340" w14:textId="2353A258" w:rsidR="00042C1E" w:rsidRPr="00A94043" w:rsidRDefault="00566D8C" w:rsidP="0001564A">
            <w:pPr>
              <w:pStyle w:val="NoSpacing"/>
              <w:jc w:val="center"/>
              <w:rPr>
                <w:b/>
                <w:bCs/>
              </w:rPr>
            </w:pPr>
            <w:r>
              <w:rPr>
                <w:b/>
                <w:bCs/>
              </w:rPr>
              <w:t>Inactive Power Consumption</w:t>
            </w:r>
            <w:r w:rsidR="00042C1E" w:rsidRPr="00A94043">
              <w:rPr>
                <w:b/>
                <w:bCs/>
              </w:rPr>
              <w:t>, Pia (W)</w:t>
            </w:r>
          </w:p>
        </w:tc>
      </w:tr>
      <w:tr w:rsidR="00042C1E" w:rsidRPr="00A94043" w14:paraId="1516DDD7" w14:textId="77777777" w:rsidTr="003606A1">
        <w:trPr>
          <w:trHeight w:val="269"/>
        </w:trPr>
        <w:tc>
          <w:tcPr>
            <w:tcW w:w="0" w:type="auto"/>
            <w:vMerge/>
            <w:hideMark/>
          </w:tcPr>
          <w:p w14:paraId="2FD7DCC1" w14:textId="77777777" w:rsidR="00042C1E" w:rsidRPr="00A94043" w:rsidRDefault="00042C1E" w:rsidP="00042C1E">
            <w:pPr>
              <w:pStyle w:val="NoSpacing"/>
              <w:rPr>
                <w:b/>
                <w:bCs/>
              </w:rPr>
            </w:pPr>
          </w:p>
        </w:tc>
        <w:tc>
          <w:tcPr>
            <w:tcW w:w="1832" w:type="dxa"/>
            <w:vMerge/>
          </w:tcPr>
          <w:p w14:paraId="3BED7760" w14:textId="77777777" w:rsidR="00042C1E" w:rsidRPr="00A94043" w:rsidRDefault="00042C1E" w:rsidP="0001564A">
            <w:pPr>
              <w:pStyle w:val="NoSpacing"/>
              <w:jc w:val="center"/>
              <w:rPr>
                <w:b/>
                <w:bCs/>
              </w:rPr>
            </w:pPr>
          </w:p>
        </w:tc>
        <w:tc>
          <w:tcPr>
            <w:tcW w:w="2977" w:type="dxa"/>
            <w:vMerge/>
            <w:hideMark/>
          </w:tcPr>
          <w:p w14:paraId="0BBAB74E" w14:textId="2D33EBE5" w:rsidR="00042C1E" w:rsidRPr="00A94043" w:rsidRDefault="00042C1E" w:rsidP="0001564A">
            <w:pPr>
              <w:pStyle w:val="NoSpacing"/>
              <w:jc w:val="center"/>
              <w:rPr>
                <w:b/>
                <w:bCs/>
              </w:rPr>
            </w:pPr>
          </w:p>
        </w:tc>
      </w:tr>
      <w:tr w:rsidR="00042C1E" w:rsidRPr="00A94043" w14:paraId="00607298" w14:textId="77777777" w:rsidTr="00AB3FC3">
        <w:trPr>
          <w:trHeight w:val="290"/>
        </w:trPr>
        <w:tc>
          <w:tcPr>
            <w:tcW w:w="0" w:type="auto"/>
            <w:noWrap/>
            <w:hideMark/>
          </w:tcPr>
          <w:p w14:paraId="294944EB" w14:textId="77777777" w:rsidR="00042C1E" w:rsidRPr="00A94043" w:rsidRDefault="00042C1E" w:rsidP="00042C1E">
            <w:pPr>
              <w:pStyle w:val="NoSpacing"/>
            </w:pPr>
            <w:r w:rsidRPr="00A94043">
              <w:t>2</w:t>
            </w:r>
          </w:p>
        </w:tc>
        <w:tc>
          <w:tcPr>
            <w:tcW w:w="1832" w:type="dxa"/>
          </w:tcPr>
          <w:p w14:paraId="23B8D662" w14:textId="2BBE16D3" w:rsidR="00042C1E" w:rsidRPr="00A94043" w:rsidRDefault="00042C1E" w:rsidP="0001564A">
            <w:pPr>
              <w:pStyle w:val="NoSpacing"/>
              <w:jc w:val="center"/>
            </w:pPr>
            <w:r w:rsidRPr="00A94043">
              <w:t>2</w:t>
            </w:r>
          </w:p>
        </w:tc>
        <w:tc>
          <w:tcPr>
            <w:tcW w:w="2977" w:type="dxa"/>
            <w:noWrap/>
            <w:hideMark/>
          </w:tcPr>
          <w:p w14:paraId="435A75A7" w14:textId="200966C8" w:rsidR="00042C1E" w:rsidRPr="00A94043" w:rsidRDefault="00042C1E" w:rsidP="0001564A">
            <w:pPr>
              <w:pStyle w:val="NoSpacing"/>
              <w:jc w:val="center"/>
            </w:pPr>
            <w:r w:rsidRPr="00A94043">
              <w:t>5</w:t>
            </w:r>
          </w:p>
        </w:tc>
      </w:tr>
      <w:tr w:rsidR="00042C1E" w:rsidRPr="00A94043" w14:paraId="5775FE82" w14:textId="77777777" w:rsidTr="00AB3FC3">
        <w:trPr>
          <w:trHeight w:val="290"/>
        </w:trPr>
        <w:tc>
          <w:tcPr>
            <w:tcW w:w="0" w:type="auto"/>
            <w:noWrap/>
            <w:hideMark/>
          </w:tcPr>
          <w:p w14:paraId="0F18EC6A" w14:textId="77777777" w:rsidR="00042C1E" w:rsidRPr="00A94043" w:rsidRDefault="00042C1E" w:rsidP="00042C1E">
            <w:pPr>
              <w:pStyle w:val="NoSpacing"/>
            </w:pPr>
            <w:r w:rsidRPr="00A94043">
              <w:t>3</w:t>
            </w:r>
          </w:p>
        </w:tc>
        <w:tc>
          <w:tcPr>
            <w:tcW w:w="1832" w:type="dxa"/>
          </w:tcPr>
          <w:p w14:paraId="3259BC5A" w14:textId="38B95D7D" w:rsidR="00042C1E" w:rsidRPr="00A94043" w:rsidRDefault="00042C1E" w:rsidP="0001564A">
            <w:pPr>
              <w:pStyle w:val="NoSpacing"/>
              <w:jc w:val="center"/>
            </w:pPr>
            <w:r w:rsidRPr="00A94043">
              <w:t>2</w:t>
            </w:r>
          </w:p>
        </w:tc>
        <w:tc>
          <w:tcPr>
            <w:tcW w:w="2977" w:type="dxa"/>
            <w:noWrap/>
            <w:hideMark/>
          </w:tcPr>
          <w:p w14:paraId="5ADFD187" w14:textId="05052B45" w:rsidR="00042C1E" w:rsidRPr="00A94043" w:rsidRDefault="00042C1E" w:rsidP="0001564A">
            <w:pPr>
              <w:pStyle w:val="NoSpacing"/>
              <w:jc w:val="center"/>
            </w:pPr>
            <w:r w:rsidRPr="00A94043">
              <w:t>5</w:t>
            </w:r>
          </w:p>
        </w:tc>
      </w:tr>
      <w:tr w:rsidR="00042C1E" w:rsidRPr="00A94043" w14:paraId="07A5105E" w14:textId="77777777" w:rsidTr="00AB3FC3">
        <w:trPr>
          <w:trHeight w:val="290"/>
        </w:trPr>
        <w:tc>
          <w:tcPr>
            <w:tcW w:w="0" w:type="auto"/>
            <w:noWrap/>
            <w:hideMark/>
          </w:tcPr>
          <w:p w14:paraId="64B1B297" w14:textId="77777777" w:rsidR="00042C1E" w:rsidRPr="00A94043" w:rsidRDefault="00042C1E" w:rsidP="00042C1E">
            <w:pPr>
              <w:pStyle w:val="NoSpacing"/>
            </w:pPr>
            <w:r w:rsidRPr="00A94043">
              <w:t>4</w:t>
            </w:r>
          </w:p>
        </w:tc>
        <w:tc>
          <w:tcPr>
            <w:tcW w:w="1832" w:type="dxa"/>
          </w:tcPr>
          <w:p w14:paraId="65251C91" w14:textId="6559DC80" w:rsidR="00042C1E" w:rsidRPr="00A94043" w:rsidRDefault="00042C1E" w:rsidP="0001564A">
            <w:pPr>
              <w:pStyle w:val="NoSpacing"/>
              <w:jc w:val="center"/>
            </w:pPr>
            <w:r w:rsidRPr="00A94043">
              <w:t>2</w:t>
            </w:r>
          </w:p>
        </w:tc>
        <w:tc>
          <w:tcPr>
            <w:tcW w:w="2977" w:type="dxa"/>
            <w:noWrap/>
            <w:hideMark/>
          </w:tcPr>
          <w:p w14:paraId="6E9FE870" w14:textId="379B8AB5" w:rsidR="00042C1E" w:rsidRPr="00A94043" w:rsidRDefault="00042C1E" w:rsidP="0001564A">
            <w:pPr>
              <w:pStyle w:val="NoSpacing"/>
              <w:jc w:val="center"/>
            </w:pPr>
            <w:r w:rsidRPr="00A94043">
              <w:t>5</w:t>
            </w:r>
          </w:p>
        </w:tc>
      </w:tr>
      <w:tr w:rsidR="00042C1E" w:rsidRPr="00A94043" w14:paraId="218DAD6F" w14:textId="77777777" w:rsidTr="00AB3FC3">
        <w:trPr>
          <w:trHeight w:val="290"/>
        </w:trPr>
        <w:tc>
          <w:tcPr>
            <w:tcW w:w="0" w:type="auto"/>
            <w:noWrap/>
            <w:hideMark/>
          </w:tcPr>
          <w:p w14:paraId="6271AD67" w14:textId="77777777" w:rsidR="00042C1E" w:rsidRPr="00A94043" w:rsidRDefault="00042C1E" w:rsidP="00042C1E">
            <w:pPr>
              <w:pStyle w:val="NoSpacing"/>
            </w:pPr>
            <w:r w:rsidRPr="00A94043">
              <w:t>10</w:t>
            </w:r>
          </w:p>
        </w:tc>
        <w:tc>
          <w:tcPr>
            <w:tcW w:w="1832" w:type="dxa"/>
          </w:tcPr>
          <w:p w14:paraId="4D51CFCC" w14:textId="22D3D8BB" w:rsidR="00042C1E" w:rsidRPr="00A94043" w:rsidRDefault="00042C1E" w:rsidP="0001564A">
            <w:pPr>
              <w:pStyle w:val="NoSpacing"/>
              <w:jc w:val="center"/>
            </w:pPr>
            <w:r w:rsidRPr="00A94043">
              <w:t>7</w:t>
            </w:r>
          </w:p>
        </w:tc>
        <w:tc>
          <w:tcPr>
            <w:tcW w:w="2977" w:type="dxa"/>
            <w:noWrap/>
            <w:hideMark/>
          </w:tcPr>
          <w:p w14:paraId="0DC033BE" w14:textId="5BC5C635" w:rsidR="00042C1E" w:rsidRPr="00A94043" w:rsidRDefault="00042C1E" w:rsidP="0001564A">
            <w:pPr>
              <w:pStyle w:val="NoSpacing"/>
              <w:jc w:val="center"/>
            </w:pPr>
            <w:r w:rsidRPr="00A94043">
              <w:t>15</w:t>
            </w:r>
          </w:p>
        </w:tc>
      </w:tr>
      <w:tr w:rsidR="00042C1E" w:rsidRPr="00A94043" w14:paraId="6470C33C" w14:textId="77777777" w:rsidTr="00AB3FC3">
        <w:trPr>
          <w:trHeight w:val="290"/>
        </w:trPr>
        <w:tc>
          <w:tcPr>
            <w:tcW w:w="0" w:type="auto"/>
            <w:noWrap/>
            <w:hideMark/>
          </w:tcPr>
          <w:p w14:paraId="534331A5" w14:textId="77777777" w:rsidR="00042C1E" w:rsidRPr="00A94043" w:rsidRDefault="00042C1E" w:rsidP="00042C1E">
            <w:pPr>
              <w:pStyle w:val="NoSpacing"/>
            </w:pPr>
            <w:r w:rsidRPr="00A94043">
              <w:t>11</w:t>
            </w:r>
          </w:p>
        </w:tc>
        <w:tc>
          <w:tcPr>
            <w:tcW w:w="1832" w:type="dxa"/>
          </w:tcPr>
          <w:p w14:paraId="76E4ED96" w14:textId="1157AA6B" w:rsidR="00042C1E" w:rsidRPr="00A94043" w:rsidRDefault="00042C1E" w:rsidP="0001564A">
            <w:pPr>
              <w:pStyle w:val="NoSpacing"/>
              <w:jc w:val="center"/>
            </w:pPr>
            <w:r w:rsidRPr="00A94043">
              <w:t>7</w:t>
            </w:r>
          </w:p>
        </w:tc>
        <w:tc>
          <w:tcPr>
            <w:tcW w:w="2977" w:type="dxa"/>
            <w:noWrap/>
            <w:hideMark/>
          </w:tcPr>
          <w:p w14:paraId="1601F716" w14:textId="569D9834" w:rsidR="00042C1E" w:rsidRPr="00A94043" w:rsidRDefault="00042C1E" w:rsidP="0001564A">
            <w:pPr>
              <w:pStyle w:val="NoSpacing"/>
              <w:jc w:val="center"/>
            </w:pPr>
            <w:r w:rsidRPr="00A94043">
              <w:t>15</w:t>
            </w:r>
          </w:p>
        </w:tc>
      </w:tr>
      <w:tr w:rsidR="00042C1E" w:rsidRPr="00A94043" w14:paraId="532A9009" w14:textId="77777777" w:rsidTr="00AB3FC3">
        <w:trPr>
          <w:trHeight w:val="290"/>
        </w:trPr>
        <w:tc>
          <w:tcPr>
            <w:tcW w:w="0" w:type="auto"/>
            <w:noWrap/>
            <w:hideMark/>
          </w:tcPr>
          <w:p w14:paraId="54FEB022" w14:textId="77777777" w:rsidR="00042C1E" w:rsidRPr="00A94043" w:rsidRDefault="00042C1E" w:rsidP="00042C1E">
            <w:pPr>
              <w:pStyle w:val="NoSpacing"/>
            </w:pPr>
            <w:r w:rsidRPr="00A94043">
              <w:t>17</w:t>
            </w:r>
          </w:p>
        </w:tc>
        <w:tc>
          <w:tcPr>
            <w:tcW w:w="1832" w:type="dxa"/>
          </w:tcPr>
          <w:p w14:paraId="68E3FC2C" w14:textId="7D55E6EA" w:rsidR="00042C1E" w:rsidRPr="00A94043" w:rsidRDefault="00042C1E" w:rsidP="0001564A">
            <w:pPr>
              <w:pStyle w:val="NoSpacing"/>
              <w:jc w:val="center"/>
            </w:pPr>
            <w:r w:rsidRPr="00A94043">
              <w:t>12</w:t>
            </w:r>
          </w:p>
        </w:tc>
        <w:tc>
          <w:tcPr>
            <w:tcW w:w="2977" w:type="dxa"/>
            <w:noWrap/>
            <w:hideMark/>
          </w:tcPr>
          <w:p w14:paraId="6EF54A26" w14:textId="477B8682" w:rsidR="00042C1E" w:rsidRPr="00A94043" w:rsidRDefault="00042C1E" w:rsidP="0001564A">
            <w:pPr>
              <w:pStyle w:val="NoSpacing"/>
              <w:jc w:val="center"/>
            </w:pPr>
            <w:r w:rsidRPr="00A94043">
              <w:t>15</w:t>
            </w:r>
          </w:p>
        </w:tc>
      </w:tr>
    </w:tbl>
    <w:p w14:paraId="38F3F29C" w14:textId="77777777" w:rsidR="007627DD" w:rsidRDefault="007627DD">
      <w:pPr>
        <w:spacing w:after="0" w:line="240" w:lineRule="auto"/>
        <w:rPr>
          <w:rFonts w:eastAsiaTheme="majorEastAsia" w:cstheme="majorBidi"/>
          <w:bCs/>
          <w:color w:val="FF0000"/>
          <w:sz w:val="28"/>
        </w:rPr>
      </w:pPr>
      <w:r>
        <w:br w:type="page"/>
      </w:r>
    </w:p>
    <w:p w14:paraId="44A3E120" w14:textId="484C7A12" w:rsidR="00AF2B8C" w:rsidRPr="00A94043" w:rsidRDefault="00AF2B8C" w:rsidP="00AF2B8C">
      <w:pPr>
        <w:pStyle w:val="Heading3"/>
      </w:pPr>
      <w:bookmarkStart w:id="102" w:name="_Toc175311941"/>
      <w:r w:rsidRPr="00A94043">
        <w:lastRenderedPageBreak/>
        <w:t>Solid fuel combustion heaters</w:t>
      </w:r>
      <w:bookmarkEnd w:id="102"/>
    </w:p>
    <w:p w14:paraId="7F999FFC" w14:textId="77777777" w:rsidR="00B7452B" w:rsidRPr="00A94043" w:rsidRDefault="00B7452B" w:rsidP="00B7452B">
      <w:pPr>
        <w:rPr>
          <w:b/>
          <w:bCs/>
        </w:rPr>
      </w:pPr>
      <w:r w:rsidRPr="00A94043">
        <w:rPr>
          <w:b/>
          <w:bCs/>
        </w:rPr>
        <w:t>Product Type and HSEC Calculation Method:</w:t>
      </w:r>
    </w:p>
    <w:tbl>
      <w:tblPr>
        <w:tblStyle w:val="TableGrid"/>
        <w:tblW w:w="0" w:type="auto"/>
        <w:tblLook w:val="04A0" w:firstRow="1" w:lastRow="0" w:firstColumn="1" w:lastColumn="0" w:noHBand="0" w:noVBand="1"/>
      </w:tblPr>
      <w:tblGrid>
        <w:gridCol w:w="849"/>
        <w:gridCol w:w="2188"/>
        <w:gridCol w:w="4038"/>
        <w:gridCol w:w="2535"/>
      </w:tblGrid>
      <w:tr w:rsidR="00B7452B" w:rsidRPr="00A94043" w14:paraId="1C400E46" w14:textId="77777777" w:rsidTr="009B4FF0">
        <w:trPr>
          <w:trHeight w:val="290"/>
        </w:trPr>
        <w:tc>
          <w:tcPr>
            <w:tcW w:w="849" w:type="dxa"/>
            <w:hideMark/>
          </w:tcPr>
          <w:p w14:paraId="439B8540" w14:textId="77777777" w:rsidR="00B7452B" w:rsidRPr="00A94043" w:rsidRDefault="00B7452B">
            <w:pPr>
              <w:pStyle w:val="NoSpacing"/>
              <w:rPr>
                <w:b/>
                <w:bCs/>
              </w:rPr>
            </w:pPr>
            <w:r w:rsidRPr="00A94043">
              <w:rPr>
                <w:b/>
                <w:bCs/>
              </w:rPr>
              <w:t>Heater Unit</w:t>
            </w:r>
          </w:p>
        </w:tc>
        <w:tc>
          <w:tcPr>
            <w:tcW w:w="2188" w:type="dxa"/>
            <w:hideMark/>
          </w:tcPr>
          <w:p w14:paraId="4053C815" w14:textId="77777777" w:rsidR="00B7452B" w:rsidRPr="00A94043" w:rsidRDefault="00B7452B">
            <w:pPr>
              <w:pStyle w:val="NoSpacing"/>
              <w:rPr>
                <w:b/>
                <w:bCs/>
              </w:rPr>
            </w:pPr>
            <w:r w:rsidRPr="00A94043">
              <w:rPr>
                <w:b/>
                <w:bCs/>
              </w:rPr>
              <w:t>Technology Type</w:t>
            </w:r>
          </w:p>
        </w:tc>
        <w:tc>
          <w:tcPr>
            <w:tcW w:w="0" w:type="auto"/>
            <w:hideMark/>
          </w:tcPr>
          <w:p w14:paraId="692FB3AE" w14:textId="77777777" w:rsidR="00B7452B" w:rsidRPr="00A94043" w:rsidRDefault="00B7452B">
            <w:pPr>
              <w:pStyle w:val="NoSpacing"/>
              <w:rPr>
                <w:b/>
                <w:bCs/>
              </w:rPr>
            </w:pPr>
            <w:r w:rsidRPr="00A94043">
              <w:rPr>
                <w:b/>
                <w:bCs/>
              </w:rPr>
              <w:t>Characteristics</w:t>
            </w:r>
          </w:p>
        </w:tc>
        <w:tc>
          <w:tcPr>
            <w:tcW w:w="0" w:type="auto"/>
            <w:hideMark/>
          </w:tcPr>
          <w:p w14:paraId="660D032F" w14:textId="77777777" w:rsidR="00B7452B" w:rsidRPr="00A94043" w:rsidRDefault="00B7452B">
            <w:pPr>
              <w:pStyle w:val="NoSpacing"/>
              <w:jc w:val="center"/>
              <w:rPr>
                <w:b/>
                <w:bCs/>
              </w:rPr>
            </w:pPr>
            <w:r w:rsidRPr="00A94043">
              <w:rPr>
                <w:b/>
                <w:bCs/>
              </w:rPr>
              <w:t>HSEC Calculation Method</w:t>
            </w:r>
          </w:p>
        </w:tc>
      </w:tr>
      <w:tr w:rsidR="00B7452B" w:rsidRPr="00A94043" w14:paraId="59B9C323" w14:textId="77777777" w:rsidTr="009B4FF0">
        <w:trPr>
          <w:trHeight w:val="290"/>
        </w:trPr>
        <w:tc>
          <w:tcPr>
            <w:tcW w:w="849" w:type="dxa"/>
            <w:noWrap/>
            <w:hideMark/>
          </w:tcPr>
          <w:p w14:paraId="0D90A63D"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6</w:t>
            </w:r>
          </w:p>
        </w:tc>
        <w:tc>
          <w:tcPr>
            <w:tcW w:w="2188" w:type="dxa"/>
            <w:hideMark/>
          </w:tcPr>
          <w:p w14:paraId="01463453"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Solid Fuel Heater</w:t>
            </w:r>
          </w:p>
        </w:tc>
        <w:tc>
          <w:tcPr>
            <w:tcW w:w="0" w:type="auto"/>
            <w:noWrap/>
            <w:hideMark/>
          </w:tcPr>
          <w:p w14:paraId="7D521689"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Fixed, Adjustable Air Control, 3 data points</w:t>
            </w:r>
          </w:p>
        </w:tc>
        <w:tc>
          <w:tcPr>
            <w:tcW w:w="0" w:type="auto"/>
            <w:noWrap/>
            <w:hideMark/>
          </w:tcPr>
          <w:p w14:paraId="5137836D" w14:textId="77777777" w:rsidR="00B7452B" w:rsidRPr="00A94043" w:rsidRDefault="00B7452B" w:rsidP="00B7452B">
            <w:pPr>
              <w:spacing w:after="0" w:line="240" w:lineRule="auto"/>
              <w:jc w:val="center"/>
              <w:rPr>
                <w:rFonts w:eastAsia="Times New Roman" w:cs="Calibri"/>
                <w:color w:val="000000"/>
                <w:szCs w:val="22"/>
                <w:lang w:eastAsia="en-AU"/>
              </w:rPr>
            </w:pPr>
            <w:r w:rsidRPr="00A94043">
              <w:rPr>
                <w:rFonts w:eastAsia="Times New Roman" w:cs="Calibri"/>
                <w:color w:val="000000"/>
                <w:szCs w:val="22"/>
                <w:lang w:eastAsia="en-AU"/>
              </w:rPr>
              <w:t>5</w:t>
            </w:r>
          </w:p>
        </w:tc>
      </w:tr>
      <w:tr w:rsidR="00B7452B" w:rsidRPr="00A94043" w14:paraId="3A9F6AE2" w14:textId="77777777" w:rsidTr="009B4FF0">
        <w:trPr>
          <w:trHeight w:val="290"/>
        </w:trPr>
        <w:tc>
          <w:tcPr>
            <w:tcW w:w="849" w:type="dxa"/>
            <w:noWrap/>
            <w:hideMark/>
          </w:tcPr>
          <w:p w14:paraId="46800E0D"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14</w:t>
            </w:r>
          </w:p>
        </w:tc>
        <w:tc>
          <w:tcPr>
            <w:tcW w:w="2188" w:type="dxa"/>
            <w:hideMark/>
          </w:tcPr>
          <w:p w14:paraId="39A7D79F"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Solid Fuel Heater</w:t>
            </w:r>
          </w:p>
        </w:tc>
        <w:tc>
          <w:tcPr>
            <w:tcW w:w="0" w:type="auto"/>
            <w:noWrap/>
            <w:hideMark/>
          </w:tcPr>
          <w:p w14:paraId="7707D2DD"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Fixed, Adjustable Air Control, 3 data points</w:t>
            </w:r>
          </w:p>
        </w:tc>
        <w:tc>
          <w:tcPr>
            <w:tcW w:w="0" w:type="auto"/>
            <w:noWrap/>
            <w:hideMark/>
          </w:tcPr>
          <w:p w14:paraId="02315BE7" w14:textId="77777777" w:rsidR="00B7452B" w:rsidRPr="00A94043" w:rsidRDefault="00B7452B" w:rsidP="00B7452B">
            <w:pPr>
              <w:spacing w:after="0" w:line="240" w:lineRule="auto"/>
              <w:jc w:val="center"/>
              <w:rPr>
                <w:rFonts w:eastAsia="Times New Roman" w:cs="Calibri"/>
                <w:color w:val="000000"/>
                <w:szCs w:val="22"/>
                <w:lang w:eastAsia="en-AU"/>
              </w:rPr>
            </w:pPr>
            <w:r w:rsidRPr="00A94043">
              <w:rPr>
                <w:rFonts w:eastAsia="Times New Roman" w:cs="Calibri"/>
                <w:color w:val="000000"/>
                <w:szCs w:val="22"/>
                <w:lang w:eastAsia="en-AU"/>
              </w:rPr>
              <w:t>5</w:t>
            </w:r>
          </w:p>
        </w:tc>
      </w:tr>
      <w:tr w:rsidR="00B7452B" w:rsidRPr="00A94043" w14:paraId="63C923CF" w14:textId="77777777" w:rsidTr="009B4FF0">
        <w:trPr>
          <w:trHeight w:val="290"/>
        </w:trPr>
        <w:tc>
          <w:tcPr>
            <w:tcW w:w="849" w:type="dxa"/>
            <w:noWrap/>
            <w:hideMark/>
          </w:tcPr>
          <w:p w14:paraId="10D44243"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20</w:t>
            </w:r>
          </w:p>
        </w:tc>
        <w:tc>
          <w:tcPr>
            <w:tcW w:w="2188" w:type="dxa"/>
            <w:hideMark/>
          </w:tcPr>
          <w:p w14:paraId="39FECCDF"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Solid Fuel Heater</w:t>
            </w:r>
          </w:p>
        </w:tc>
        <w:tc>
          <w:tcPr>
            <w:tcW w:w="0" w:type="auto"/>
            <w:noWrap/>
            <w:hideMark/>
          </w:tcPr>
          <w:p w14:paraId="7F065A41" w14:textId="77777777" w:rsidR="00B7452B" w:rsidRPr="00A94043" w:rsidRDefault="00B7452B" w:rsidP="00B7452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Fixed, Adjustable Air Control, 3 data points</w:t>
            </w:r>
          </w:p>
        </w:tc>
        <w:tc>
          <w:tcPr>
            <w:tcW w:w="0" w:type="auto"/>
            <w:noWrap/>
            <w:hideMark/>
          </w:tcPr>
          <w:p w14:paraId="31C16840" w14:textId="77777777" w:rsidR="00B7452B" w:rsidRPr="00A94043" w:rsidRDefault="00B7452B" w:rsidP="00B7452B">
            <w:pPr>
              <w:spacing w:after="0" w:line="240" w:lineRule="auto"/>
              <w:jc w:val="center"/>
              <w:rPr>
                <w:rFonts w:eastAsia="Times New Roman" w:cs="Calibri"/>
                <w:color w:val="000000"/>
                <w:szCs w:val="22"/>
                <w:lang w:eastAsia="en-AU"/>
              </w:rPr>
            </w:pPr>
            <w:r w:rsidRPr="00A94043">
              <w:rPr>
                <w:rFonts w:eastAsia="Times New Roman" w:cs="Calibri"/>
                <w:color w:val="000000"/>
                <w:szCs w:val="22"/>
                <w:lang w:eastAsia="en-AU"/>
              </w:rPr>
              <w:t>5</w:t>
            </w:r>
          </w:p>
        </w:tc>
      </w:tr>
    </w:tbl>
    <w:p w14:paraId="07CD494B" w14:textId="77777777" w:rsidR="00B7452B" w:rsidRPr="00A94043" w:rsidRDefault="00B7452B" w:rsidP="00B7452B">
      <w:pPr>
        <w:pStyle w:val="NoSpacing"/>
      </w:pPr>
    </w:p>
    <w:p w14:paraId="69817B90" w14:textId="77777777" w:rsidR="00B7452B" w:rsidRPr="00A94043" w:rsidRDefault="00B7452B" w:rsidP="00B7452B">
      <w:pPr>
        <w:pStyle w:val="NoSpacing"/>
        <w:rPr>
          <w:rFonts w:asciiTheme="minorHAnsi" w:hAnsiTheme="minorHAnsi" w:cstheme="minorHAnsi"/>
          <w:b/>
          <w:bCs/>
        </w:rPr>
      </w:pPr>
      <w:r w:rsidRPr="00A94043">
        <w:rPr>
          <w:rFonts w:asciiTheme="minorHAnsi" w:hAnsiTheme="minorHAnsi" w:cstheme="minorHAnsi"/>
          <w:b/>
          <w:bCs/>
        </w:rPr>
        <w:t>Test Data:</w:t>
      </w:r>
    </w:p>
    <w:tbl>
      <w:tblPr>
        <w:tblStyle w:val="TableGrid"/>
        <w:tblW w:w="0" w:type="auto"/>
        <w:tblLayout w:type="fixed"/>
        <w:tblLook w:val="04A0" w:firstRow="1" w:lastRow="0" w:firstColumn="1" w:lastColumn="0" w:noHBand="0" w:noVBand="1"/>
      </w:tblPr>
      <w:tblGrid>
        <w:gridCol w:w="840"/>
        <w:gridCol w:w="2080"/>
        <w:gridCol w:w="2080"/>
        <w:gridCol w:w="2080"/>
        <w:gridCol w:w="2080"/>
        <w:gridCol w:w="2080"/>
        <w:gridCol w:w="2080"/>
      </w:tblGrid>
      <w:tr w:rsidR="0059120D" w:rsidRPr="00A94043" w14:paraId="76858602" w14:textId="77777777" w:rsidTr="0059120D">
        <w:trPr>
          <w:trHeight w:val="1923"/>
        </w:trPr>
        <w:tc>
          <w:tcPr>
            <w:tcW w:w="840" w:type="dxa"/>
            <w:hideMark/>
          </w:tcPr>
          <w:p w14:paraId="05B6CFD0" w14:textId="3B97BE59" w:rsidR="0059120D" w:rsidRPr="00A94043" w:rsidRDefault="0059120D">
            <w:pPr>
              <w:rPr>
                <w:b/>
                <w:bCs/>
              </w:rPr>
            </w:pPr>
            <w:r w:rsidRPr="00A94043">
              <w:rPr>
                <w:b/>
                <w:bCs/>
              </w:rPr>
              <w:t>Heater Unit</w:t>
            </w:r>
          </w:p>
        </w:tc>
        <w:tc>
          <w:tcPr>
            <w:tcW w:w="2080" w:type="dxa"/>
            <w:tcMar>
              <w:left w:w="57" w:type="dxa"/>
              <w:right w:w="57" w:type="dxa"/>
            </w:tcMar>
            <w:hideMark/>
          </w:tcPr>
          <w:p w14:paraId="514F0440" w14:textId="7B8D23F4" w:rsidR="0059120D" w:rsidRPr="00A94043" w:rsidRDefault="0059120D" w:rsidP="00B7452B">
            <w:pPr>
              <w:jc w:val="center"/>
              <w:rPr>
                <w:b/>
                <w:bCs/>
              </w:rPr>
            </w:pPr>
            <w:r w:rsidRPr="00A94043">
              <w:rPr>
                <w:b/>
                <w:bCs/>
              </w:rPr>
              <w:t>High Burn Rate</w:t>
            </w:r>
            <w:r w:rsidR="00787042">
              <w:rPr>
                <w:b/>
                <w:bCs/>
              </w:rPr>
              <w:t>:</w:t>
            </w:r>
            <w:r>
              <w:rPr>
                <w:b/>
                <w:bCs/>
              </w:rPr>
              <w:t xml:space="preserve"> </w:t>
            </w:r>
            <w:r w:rsidRPr="00A94043">
              <w:rPr>
                <w:b/>
                <w:bCs/>
              </w:rPr>
              <w:t>Maximum Heat Output = Full</w:t>
            </w:r>
            <w:r w:rsidR="00071D34">
              <w:rPr>
                <w:b/>
                <w:bCs/>
              </w:rPr>
              <w:t> </w:t>
            </w:r>
            <w:r w:rsidRPr="00A94043">
              <w:rPr>
                <w:b/>
                <w:bCs/>
              </w:rPr>
              <w:t>Capacity (kW)</w:t>
            </w:r>
          </w:p>
        </w:tc>
        <w:tc>
          <w:tcPr>
            <w:tcW w:w="2080" w:type="dxa"/>
            <w:tcMar>
              <w:left w:w="57" w:type="dxa"/>
              <w:right w:w="57" w:type="dxa"/>
            </w:tcMar>
            <w:hideMark/>
          </w:tcPr>
          <w:p w14:paraId="5F62F319" w14:textId="79808009" w:rsidR="0059120D" w:rsidRPr="00A94043" w:rsidRDefault="0059120D" w:rsidP="00B7452B">
            <w:pPr>
              <w:jc w:val="center"/>
              <w:rPr>
                <w:b/>
                <w:bCs/>
              </w:rPr>
            </w:pPr>
            <w:r w:rsidRPr="00A94043">
              <w:rPr>
                <w:b/>
                <w:bCs/>
              </w:rPr>
              <w:t>High Burn Rate</w:t>
            </w:r>
            <w:r w:rsidR="00787042">
              <w:rPr>
                <w:b/>
                <w:bCs/>
              </w:rPr>
              <w:t>:</w:t>
            </w:r>
            <w:r>
              <w:rPr>
                <w:b/>
                <w:bCs/>
              </w:rPr>
              <w:t xml:space="preserve"> </w:t>
            </w:r>
            <w:r w:rsidRPr="00A94043">
              <w:rPr>
                <w:b/>
                <w:bCs/>
              </w:rPr>
              <w:t>Thermal Efficiency</w:t>
            </w:r>
          </w:p>
        </w:tc>
        <w:tc>
          <w:tcPr>
            <w:tcW w:w="2080" w:type="dxa"/>
            <w:tcMar>
              <w:left w:w="57" w:type="dxa"/>
              <w:right w:w="57" w:type="dxa"/>
            </w:tcMar>
            <w:hideMark/>
          </w:tcPr>
          <w:p w14:paraId="7214FCD7" w14:textId="0E1B48C2" w:rsidR="0059120D" w:rsidRPr="00A94043" w:rsidRDefault="0059120D" w:rsidP="00B7452B">
            <w:pPr>
              <w:jc w:val="center"/>
              <w:rPr>
                <w:b/>
                <w:bCs/>
              </w:rPr>
            </w:pPr>
            <w:r w:rsidRPr="00A94043">
              <w:rPr>
                <w:b/>
                <w:bCs/>
              </w:rPr>
              <w:t>High Burn Rate</w:t>
            </w:r>
            <w:r w:rsidR="00787042">
              <w:rPr>
                <w:b/>
                <w:bCs/>
              </w:rPr>
              <w:t>:</w:t>
            </w:r>
            <w:r>
              <w:rPr>
                <w:b/>
                <w:bCs/>
              </w:rPr>
              <w:t xml:space="preserve"> </w:t>
            </w:r>
            <w:r w:rsidRPr="00A94043">
              <w:rPr>
                <w:b/>
                <w:bCs/>
              </w:rPr>
              <w:t>Electrical Energy Consumption (kW)</w:t>
            </w:r>
          </w:p>
        </w:tc>
        <w:tc>
          <w:tcPr>
            <w:tcW w:w="2080" w:type="dxa"/>
            <w:tcMar>
              <w:left w:w="57" w:type="dxa"/>
              <w:right w:w="57" w:type="dxa"/>
            </w:tcMar>
            <w:hideMark/>
          </w:tcPr>
          <w:p w14:paraId="2A34C07D" w14:textId="4029BBB2" w:rsidR="0059120D" w:rsidRPr="00A94043" w:rsidRDefault="0059120D" w:rsidP="00B7452B">
            <w:pPr>
              <w:jc w:val="center"/>
              <w:rPr>
                <w:b/>
                <w:bCs/>
              </w:rPr>
            </w:pPr>
            <w:r w:rsidRPr="00A94043">
              <w:rPr>
                <w:b/>
                <w:bCs/>
              </w:rPr>
              <w:t>Medium Burn Rate</w:t>
            </w:r>
            <w:r w:rsidR="00787042">
              <w:rPr>
                <w:b/>
                <w:bCs/>
              </w:rPr>
              <w:t>:</w:t>
            </w:r>
            <w:r>
              <w:rPr>
                <w:b/>
                <w:bCs/>
              </w:rPr>
              <w:t xml:space="preserve"> </w:t>
            </w:r>
            <w:r w:rsidRPr="00A94043">
              <w:rPr>
                <w:b/>
                <w:bCs/>
              </w:rPr>
              <w:t>Heat Output = "Half"</w:t>
            </w:r>
            <w:r w:rsidR="00071D34">
              <w:rPr>
                <w:b/>
                <w:bCs/>
              </w:rPr>
              <w:t> </w:t>
            </w:r>
            <w:r w:rsidRPr="00A94043">
              <w:rPr>
                <w:b/>
                <w:bCs/>
              </w:rPr>
              <w:t>Capacity (kW)</w:t>
            </w:r>
          </w:p>
        </w:tc>
        <w:tc>
          <w:tcPr>
            <w:tcW w:w="2080" w:type="dxa"/>
            <w:tcMar>
              <w:left w:w="57" w:type="dxa"/>
              <w:right w:w="57" w:type="dxa"/>
            </w:tcMar>
            <w:hideMark/>
          </w:tcPr>
          <w:p w14:paraId="44C942F7" w14:textId="2D607873" w:rsidR="0059120D" w:rsidRPr="00A94043" w:rsidRDefault="0059120D" w:rsidP="00B7452B">
            <w:pPr>
              <w:jc w:val="center"/>
              <w:rPr>
                <w:b/>
                <w:bCs/>
              </w:rPr>
            </w:pPr>
            <w:r w:rsidRPr="00A94043">
              <w:rPr>
                <w:b/>
                <w:bCs/>
              </w:rPr>
              <w:t>Medium Burn Rate</w:t>
            </w:r>
            <w:r w:rsidR="00787042">
              <w:rPr>
                <w:b/>
                <w:bCs/>
              </w:rPr>
              <w:t>:</w:t>
            </w:r>
            <w:r>
              <w:rPr>
                <w:b/>
                <w:bCs/>
              </w:rPr>
              <w:t xml:space="preserve"> </w:t>
            </w:r>
            <w:r w:rsidRPr="00A94043">
              <w:rPr>
                <w:b/>
                <w:bCs/>
              </w:rPr>
              <w:t>Thermal Efficiency</w:t>
            </w:r>
          </w:p>
        </w:tc>
        <w:tc>
          <w:tcPr>
            <w:tcW w:w="2080" w:type="dxa"/>
            <w:tcMar>
              <w:left w:w="57" w:type="dxa"/>
              <w:right w:w="57" w:type="dxa"/>
            </w:tcMar>
            <w:hideMark/>
          </w:tcPr>
          <w:p w14:paraId="781AE979" w14:textId="024FF968" w:rsidR="0059120D" w:rsidRPr="00A94043" w:rsidRDefault="0059120D" w:rsidP="00B7452B">
            <w:pPr>
              <w:jc w:val="center"/>
              <w:rPr>
                <w:b/>
                <w:bCs/>
              </w:rPr>
            </w:pPr>
            <w:r w:rsidRPr="00A94043">
              <w:rPr>
                <w:b/>
                <w:bCs/>
              </w:rPr>
              <w:t>Medium Burn Rate</w:t>
            </w:r>
            <w:r w:rsidR="00787042">
              <w:rPr>
                <w:b/>
                <w:bCs/>
              </w:rPr>
              <w:t>:</w:t>
            </w:r>
            <w:r>
              <w:rPr>
                <w:b/>
                <w:bCs/>
              </w:rPr>
              <w:t xml:space="preserve"> </w:t>
            </w:r>
            <w:r w:rsidRPr="00A94043">
              <w:rPr>
                <w:b/>
                <w:bCs/>
              </w:rPr>
              <w:t>Electrical Energy Consumption (kW)</w:t>
            </w:r>
          </w:p>
        </w:tc>
      </w:tr>
      <w:tr w:rsidR="0059120D" w:rsidRPr="00A94043" w14:paraId="05323F21" w14:textId="77777777" w:rsidTr="0059120D">
        <w:trPr>
          <w:trHeight w:val="290"/>
        </w:trPr>
        <w:tc>
          <w:tcPr>
            <w:tcW w:w="840" w:type="dxa"/>
            <w:noWrap/>
            <w:hideMark/>
          </w:tcPr>
          <w:p w14:paraId="5AD80D9A" w14:textId="77777777" w:rsidR="0059120D" w:rsidRPr="00A94043" w:rsidRDefault="0059120D">
            <w:r w:rsidRPr="00A94043">
              <w:t>6</w:t>
            </w:r>
          </w:p>
        </w:tc>
        <w:tc>
          <w:tcPr>
            <w:tcW w:w="2080" w:type="dxa"/>
            <w:tcMar>
              <w:left w:w="57" w:type="dxa"/>
              <w:right w:w="57" w:type="dxa"/>
            </w:tcMar>
            <w:hideMark/>
          </w:tcPr>
          <w:p w14:paraId="2D8EAB82" w14:textId="77777777" w:rsidR="0059120D" w:rsidRPr="00A94043" w:rsidRDefault="0059120D" w:rsidP="00B7452B">
            <w:pPr>
              <w:jc w:val="center"/>
            </w:pPr>
            <w:r w:rsidRPr="00A94043">
              <w:t>2</w:t>
            </w:r>
          </w:p>
        </w:tc>
        <w:tc>
          <w:tcPr>
            <w:tcW w:w="2080" w:type="dxa"/>
            <w:tcMar>
              <w:left w:w="57" w:type="dxa"/>
              <w:right w:w="57" w:type="dxa"/>
            </w:tcMar>
            <w:hideMark/>
          </w:tcPr>
          <w:p w14:paraId="5556568B" w14:textId="77777777" w:rsidR="0059120D" w:rsidRPr="00A94043" w:rsidRDefault="0059120D" w:rsidP="00B7452B">
            <w:pPr>
              <w:jc w:val="center"/>
            </w:pPr>
            <w:r w:rsidRPr="00A94043">
              <w:t>67%</w:t>
            </w:r>
          </w:p>
        </w:tc>
        <w:tc>
          <w:tcPr>
            <w:tcW w:w="2080" w:type="dxa"/>
            <w:tcMar>
              <w:left w:w="57" w:type="dxa"/>
              <w:right w:w="57" w:type="dxa"/>
            </w:tcMar>
            <w:hideMark/>
          </w:tcPr>
          <w:p w14:paraId="6C42F4CD" w14:textId="77777777" w:rsidR="0059120D" w:rsidRPr="00A94043" w:rsidRDefault="0059120D" w:rsidP="00B7452B">
            <w:pPr>
              <w:jc w:val="center"/>
            </w:pPr>
            <w:r w:rsidRPr="00A94043">
              <w:t>0.04</w:t>
            </w:r>
          </w:p>
        </w:tc>
        <w:tc>
          <w:tcPr>
            <w:tcW w:w="2080" w:type="dxa"/>
            <w:tcMar>
              <w:left w:w="57" w:type="dxa"/>
              <w:right w:w="57" w:type="dxa"/>
            </w:tcMar>
            <w:hideMark/>
          </w:tcPr>
          <w:p w14:paraId="5FB6424C" w14:textId="77777777" w:rsidR="0059120D" w:rsidRPr="00A94043" w:rsidRDefault="0059120D" w:rsidP="00B7452B">
            <w:pPr>
              <w:jc w:val="center"/>
            </w:pPr>
            <w:r w:rsidRPr="00A94043">
              <w:t>1.6</w:t>
            </w:r>
          </w:p>
        </w:tc>
        <w:tc>
          <w:tcPr>
            <w:tcW w:w="2080" w:type="dxa"/>
            <w:tcMar>
              <w:left w:w="57" w:type="dxa"/>
              <w:right w:w="57" w:type="dxa"/>
            </w:tcMar>
            <w:hideMark/>
          </w:tcPr>
          <w:p w14:paraId="6E1A581D" w14:textId="77777777" w:rsidR="0059120D" w:rsidRPr="00A94043" w:rsidRDefault="0059120D" w:rsidP="00B7452B">
            <w:pPr>
              <w:jc w:val="center"/>
            </w:pPr>
            <w:r w:rsidRPr="00A94043">
              <w:t>63%</w:t>
            </w:r>
          </w:p>
        </w:tc>
        <w:tc>
          <w:tcPr>
            <w:tcW w:w="2080" w:type="dxa"/>
            <w:tcMar>
              <w:left w:w="57" w:type="dxa"/>
              <w:right w:w="57" w:type="dxa"/>
            </w:tcMar>
            <w:hideMark/>
          </w:tcPr>
          <w:p w14:paraId="03B35011" w14:textId="77777777" w:rsidR="0059120D" w:rsidRPr="00A94043" w:rsidRDefault="0059120D" w:rsidP="00B7452B">
            <w:pPr>
              <w:jc w:val="center"/>
            </w:pPr>
            <w:r w:rsidRPr="00A94043">
              <w:t>0.016</w:t>
            </w:r>
          </w:p>
        </w:tc>
      </w:tr>
      <w:tr w:rsidR="0059120D" w:rsidRPr="00A94043" w14:paraId="63EF4407" w14:textId="77777777" w:rsidTr="0059120D">
        <w:trPr>
          <w:trHeight w:val="290"/>
        </w:trPr>
        <w:tc>
          <w:tcPr>
            <w:tcW w:w="840" w:type="dxa"/>
            <w:noWrap/>
            <w:hideMark/>
          </w:tcPr>
          <w:p w14:paraId="73AC8BE8" w14:textId="77777777" w:rsidR="0059120D" w:rsidRPr="00A94043" w:rsidRDefault="0059120D">
            <w:r w:rsidRPr="00A94043">
              <w:t>14</w:t>
            </w:r>
          </w:p>
        </w:tc>
        <w:tc>
          <w:tcPr>
            <w:tcW w:w="2080" w:type="dxa"/>
            <w:tcMar>
              <w:left w:w="57" w:type="dxa"/>
              <w:right w:w="57" w:type="dxa"/>
            </w:tcMar>
            <w:hideMark/>
          </w:tcPr>
          <w:p w14:paraId="3D8048F4" w14:textId="77777777" w:rsidR="0059120D" w:rsidRPr="00A94043" w:rsidRDefault="0059120D" w:rsidP="00B7452B">
            <w:pPr>
              <w:jc w:val="center"/>
            </w:pPr>
            <w:r w:rsidRPr="00A94043">
              <w:t>7</w:t>
            </w:r>
          </w:p>
        </w:tc>
        <w:tc>
          <w:tcPr>
            <w:tcW w:w="2080" w:type="dxa"/>
            <w:tcMar>
              <w:left w:w="57" w:type="dxa"/>
              <w:right w:w="57" w:type="dxa"/>
            </w:tcMar>
            <w:hideMark/>
          </w:tcPr>
          <w:p w14:paraId="7D7B9446" w14:textId="77777777" w:rsidR="0059120D" w:rsidRPr="00A94043" w:rsidRDefault="0059120D" w:rsidP="00B7452B">
            <w:pPr>
              <w:jc w:val="center"/>
            </w:pPr>
            <w:r w:rsidRPr="00A94043">
              <w:t>67%</w:t>
            </w:r>
          </w:p>
        </w:tc>
        <w:tc>
          <w:tcPr>
            <w:tcW w:w="2080" w:type="dxa"/>
            <w:tcMar>
              <w:left w:w="57" w:type="dxa"/>
              <w:right w:w="57" w:type="dxa"/>
            </w:tcMar>
            <w:hideMark/>
          </w:tcPr>
          <w:p w14:paraId="08F44741" w14:textId="77777777" w:rsidR="0059120D" w:rsidRPr="00A94043" w:rsidRDefault="0059120D" w:rsidP="00B7452B">
            <w:pPr>
              <w:jc w:val="center"/>
            </w:pPr>
            <w:r w:rsidRPr="00A94043">
              <w:t>0.14</w:t>
            </w:r>
          </w:p>
        </w:tc>
        <w:tc>
          <w:tcPr>
            <w:tcW w:w="2080" w:type="dxa"/>
            <w:tcMar>
              <w:left w:w="57" w:type="dxa"/>
              <w:right w:w="57" w:type="dxa"/>
            </w:tcMar>
            <w:hideMark/>
          </w:tcPr>
          <w:p w14:paraId="1E5E4BFA" w14:textId="77777777" w:rsidR="0059120D" w:rsidRPr="00A94043" w:rsidRDefault="0059120D" w:rsidP="00B7452B">
            <w:pPr>
              <w:jc w:val="center"/>
            </w:pPr>
            <w:r w:rsidRPr="00A94043">
              <w:t>5.6</w:t>
            </w:r>
          </w:p>
        </w:tc>
        <w:tc>
          <w:tcPr>
            <w:tcW w:w="2080" w:type="dxa"/>
            <w:tcMar>
              <w:left w:w="57" w:type="dxa"/>
              <w:right w:w="57" w:type="dxa"/>
            </w:tcMar>
            <w:hideMark/>
          </w:tcPr>
          <w:p w14:paraId="2295749D" w14:textId="77777777" w:rsidR="0059120D" w:rsidRPr="00A94043" w:rsidRDefault="0059120D" w:rsidP="00B7452B">
            <w:pPr>
              <w:jc w:val="center"/>
            </w:pPr>
            <w:r w:rsidRPr="00A94043">
              <w:t>63%</w:t>
            </w:r>
          </w:p>
        </w:tc>
        <w:tc>
          <w:tcPr>
            <w:tcW w:w="2080" w:type="dxa"/>
            <w:tcMar>
              <w:left w:w="57" w:type="dxa"/>
              <w:right w:w="57" w:type="dxa"/>
            </w:tcMar>
            <w:hideMark/>
          </w:tcPr>
          <w:p w14:paraId="5AA766C0" w14:textId="77777777" w:rsidR="0059120D" w:rsidRPr="00A94043" w:rsidRDefault="0059120D" w:rsidP="00B7452B">
            <w:pPr>
              <w:jc w:val="center"/>
            </w:pPr>
            <w:r w:rsidRPr="00A94043">
              <w:t>0.056</w:t>
            </w:r>
          </w:p>
        </w:tc>
      </w:tr>
      <w:tr w:rsidR="0059120D" w:rsidRPr="00A94043" w14:paraId="188C499C" w14:textId="77777777" w:rsidTr="0059120D">
        <w:trPr>
          <w:trHeight w:val="290"/>
        </w:trPr>
        <w:tc>
          <w:tcPr>
            <w:tcW w:w="840" w:type="dxa"/>
            <w:noWrap/>
            <w:hideMark/>
          </w:tcPr>
          <w:p w14:paraId="6D11A8B1" w14:textId="77777777" w:rsidR="0059120D" w:rsidRPr="00A94043" w:rsidRDefault="0059120D">
            <w:r w:rsidRPr="00A94043">
              <w:t>20</w:t>
            </w:r>
          </w:p>
        </w:tc>
        <w:tc>
          <w:tcPr>
            <w:tcW w:w="2080" w:type="dxa"/>
            <w:tcMar>
              <w:left w:w="57" w:type="dxa"/>
              <w:right w:w="57" w:type="dxa"/>
            </w:tcMar>
            <w:hideMark/>
          </w:tcPr>
          <w:p w14:paraId="59817A92" w14:textId="77777777" w:rsidR="0059120D" w:rsidRPr="00A94043" w:rsidRDefault="0059120D" w:rsidP="00B7452B">
            <w:pPr>
              <w:jc w:val="center"/>
            </w:pPr>
            <w:r w:rsidRPr="00A94043">
              <w:t>12</w:t>
            </w:r>
          </w:p>
        </w:tc>
        <w:tc>
          <w:tcPr>
            <w:tcW w:w="2080" w:type="dxa"/>
            <w:tcMar>
              <w:left w:w="57" w:type="dxa"/>
              <w:right w:w="57" w:type="dxa"/>
            </w:tcMar>
            <w:hideMark/>
          </w:tcPr>
          <w:p w14:paraId="57481F02" w14:textId="77777777" w:rsidR="0059120D" w:rsidRPr="00A94043" w:rsidRDefault="0059120D" w:rsidP="00B7452B">
            <w:pPr>
              <w:jc w:val="center"/>
            </w:pPr>
            <w:r w:rsidRPr="00A94043">
              <w:t>65%</w:t>
            </w:r>
          </w:p>
        </w:tc>
        <w:tc>
          <w:tcPr>
            <w:tcW w:w="2080" w:type="dxa"/>
            <w:tcMar>
              <w:left w:w="57" w:type="dxa"/>
              <w:right w:w="57" w:type="dxa"/>
            </w:tcMar>
            <w:hideMark/>
          </w:tcPr>
          <w:p w14:paraId="04DA861E" w14:textId="77777777" w:rsidR="0059120D" w:rsidRPr="00A94043" w:rsidRDefault="0059120D" w:rsidP="00B7452B">
            <w:pPr>
              <w:jc w:val="center"/>
            </w:pPr>
            <w:r w:rsidRPr="00A94043">
              <w:t>0</w:t>
            </w:r>
          </w:p>
        </w:tc>
        <w:tc>
          <w:tcPr>
            <w:tcW w:w="2080" w:type="dxa"/>
            <w:tcMar>
              <w:left w:w="57" w:type="dxa"/>
              <w:right w:w="57" w:type="dxa"/>
            </w:tcMar>
            <w:hideMark/>
          </w:tcPr>
          <w:p w14:paraId="4E57E013" w14:textId="77777777" w:rsidR="0059120D" w:rsidRPr="00A94043" w:rsidRDefault="0059120D" w:rsidP="00B7452B">
            <w:pPr>
              <w:jc w:val="center"/>
            </w:pPr>
            <w:r w:rsidRPr="00A94043">
              <w:t>9.6</w:t>
            </w:r>
          </w:p>
        </w:tc>
        <w:tc>
          <w:tcPr>
            <w:tcW w:w="2080" w:type="dxa"/>
            <w:tcMar>
              <w:left w:w="57" w:type="dxa"/>
              <w:right w:w="57" w:type="dxa"/>
            </w:tcMar>
            <w:hideMark/>
          </w:tcPr>
          <w:p w14:paraId="1C3C1511" w14:textId="77777777" w:rsidR="0059120D" w:rsidRPr="00A94043" w:rsidRDefault="0059120D" w:rsidP="00B7452B">
            <w:pPr>
              <w:jc w:val="center"/>
            </w:pPr>
            <w:r w:rsidRPr="00A94043">
              <w:t>70%</w:t>
            </w:r>
          </w:p>
        </w:tc>
        <w:tc>
          <w:tcPr>
            <w:tcW w:w="2080" w:type="dxa"/>
            <w:tcMar>
              <w:left w:w="57" w:type="dxa"/>
              <w:right w:w="57" w:type="dxa"/>
            </w:tcMar>
            <w:hideMark/>
          </w:tcPr>
          <w:p w14:paraId="4800F0B0" w14:textId="77777777" w:rsidR="0059120D" w:rsidRPr="00A94043" w:rsidRDefault="0059120D" w:rsidP="00B7452B">
            <w:pPr>
              <w:jc w:val="center"/>
            </w:pPr>
            <w:r w:rsidRPr="00A94043">
              <w:t>0</w:t>
            </w:r>
          </w:p>
        </w:tc>
      </w:tr>
    </w:tbl>
    <w:p w14:paraId="65A09C7C" w14:textId="77777777" w:rsidR="002D7B2E" w:rsidRDefault="002D7B2E" w:rsidP="00DF51A4">
      <w:pPr>
        <w:pStyle w:val="NoSpacing"/>
        <w:rPr>
          <w:rFonts w:asciiTheme="minorHAnsi" w:hAnsiTheme="minorHAnsi" w:cstheme="minorHAnsi"/>
          <w:b/>
          <w:bCs/>
          <w:i/>
          <w:iCs/>
        </w:rPr>
      </w:pPr>
    </w:p>
    <w:p w14:paraId="30FFCC31" w14:textId="19802F3B" w:rsidR="00DF51A4" w:rsidRPr="00DF51A4" w:rsidRDefault="00DF51A4" w:rsidP="00DF51A4">
      <w:pPr>
        <w:pStyle w:val="NoSpacing"/>
        <w:rPr>
          <w:rFonts w:asciiTheme="minorHAnsi" w:hAnsiTheme="minorHAnsi" w:cstheme="minorHAnsi"/>
          <w:b/>
          <w:bCs/>
          <w:i/>
          <w:iCs/>
        </w:rPr>
      </w:pPr>
      <w:r w:rsidRPr="00DF51A4">
        <w:rPr>
          <w:rFonts w:asciiTheme="minorHAnsi" w:hAnsiTheme="minorHAnsi" w:cstheme="minorHAnsi"/>
          <w:b/>
          <w:bCs/>
          <w:i/>
          <w:iCs/>
        </w:rPr>
        <w:t>Test Data</w:t>
      </w:r>
      <w:r>
        <w:rPr>
          <w:rFonts w:asciiTheme="minorHAnsi" w:hAnsiTheme="minorHAnsi" w:cstheme="minorHAnsi"/>
          <w:b/>
          <w:bCs/>
          <w:i/>
          <w:iCs/>
        </w:rPr>
        <w:t>,</w:t>
      </w:r>
      <w:r w:rsidRPr="00DF51A4">
        <w:rPr>
          <w:rFonts w:asciiTheme="minorHAnsi" w:hAnsiTheme="minorHAnsi" w:cstheme="minorHAnsi"/>
          <w:b/>
          <w:bCs/>
          <w:i/>
          <w:iCs/>
        </w:rPr>
        <w:t xml:space="preserve"> continued</w:t>
      </w:r>
    </w:p>
    <w:tbl>
      <w:tblPr>
        <w:tblStyle w:val="TableGrid"/>
        <w:tblW w:w="9175" w:type="dxa"/>
        <w:tblLook w:val="04A0" w:firstRow="1" w:lastRow="0" w:firstColumn="1" w:lastColumn="0" w:noHBand="0" w:noVBand="1"/>
      </w:tblPr>
      <w:tblGrid>
        <w:gridCol w:w="842"/>
        <w:gridCol w:w="2061"/>
        <w:gridCol w:w="2132"/>
        <w:gridCol w:w="1980"/>
        <w:gridCol w:w="2160"/>
      </w:tblGrid>
      <w:tr w:rsidR="000C5E4A" w:rsidRPr="00A94043" w14:paraId="50FE16F4" w14:textId="77777777" w:rsidTr="000C5E4A">
        <w:trPr>
          <w:trHeight w:val="50"/>
        </w:trPr>
        <w:tc>
          <w:tcPr>
            <w:tcW w:w="842" w:type="dxa"/>
          </w:tcPr>
          <w:p w14:paraId="451A8320" w14:textId="1AC006DA" w:rsidR="0059120D" w:rsidRPr="00A94043" w:rsidRDefault="0059120D" w:rsidP="0059120D">
            <w:pPr>
              <w:jc w:val="center"/>
              <w:rPr>
                <w:b/>
                <w:bCs/>
              </w:rPr>
            </w:pPr>
            <w:r w:rsidRPr="00A94043">
              <w:rPr>
                <w:b/>
                <w:bCs/>
              </w:rPr>
              <w:t>Heater Unit</w:t>
            </w:r>
          </w:p>
        </w:tc>
        <w:tc>
          <w:tcPr>
            <w:tcW w:w="2061" w:type="dxa"/>
          </w:tcPr>
          <w:p w14:paraId="37B0484F" w14:textId="722F550B" w:rsidR="0059120D" w:rsidRPr="00A94043" w:rsidRDefault="0059120D" w:rsidP="0059120D">
            <w:pPr>
              <w:jc w:val="center"/>
              <w:rPr>
                <w:b/>
                <w:bCs/>
              </w:rPr>
            </w:pPr>
            <w:r w:rsidRPr="00A94043">
              <w:rPr>
                <w:b/>
                <w:bCs/>
              </w:rPr>
              <w:t>Low Burn Rate</w:t>
            </w:r>
            <w:r w:rsidR="00787042">
              <w:rPr>
                <w:b/>
                <w:bCs/>
              </w:rPr>
              <w:t>:</w:t>
            </w:r>
            <w:r>
              <w:rPr>
                <w:b/>
                <w:bCs/>
              </w:rPr>
              <w:t xml:space="preserve"> </w:t>
            </w:r>
            <w:r w:rsidRPr="00A94043">
              <w:rPr>
                <w:b/>
                <w:bCs/>
              </w:rPr>
              <w:t>Heat Output = Min</w:t>
            </w:r>
            <w:r w:rsidR="00361F7C">
              <w:rPr>
                <w:b/>
                <w:bCs/>
              </w:rPr>
              <w:t> </w:t>
            </w:r>
            <w:r w:rsidRPr="00A94043">
              <w:rPr>
                <w:b/>
                <w:bCs/>
              </w:rPr>
              <w:t>Capacity (kW)</w:t>
            </w:r>
          </w:p>
        </w:tc>
        <w:tc>
          <w:tcPr>
            <w:tcW w:w="2132" w:type="dxa"/>
          </w:tcPr>
          <w:p w14:paraId="00D2DBB0" w14:textId="1A765D0B" w:rsidR="0059120D" w:rsidRPr="00A94043" w:rsidRDefault="0059120D" w:rsidP="0059120D">
            <w:pPr>
              <w:jc w:val="center"/>
              <w:rPr>
                <w:b/>
                <w:bCs/>
              </w:rPr>
            </w:pPr>
            <w:r w:rsidRPr="00A94043">
              <w:rPr>
                <w:b/>
                <w:bCs/>
              </w:rPr>
              <w:t>Low Burn Rate</w:t>
            </w:r>
            <w:r w:rsidR="00787042">
              <w:rPr>
                <w:b/>
                <w:bCs/>
              </w:rPr>
              <w:t>:</w:t>
            </w:r>
            <w:r>
              <w:rPr>
                <w:b/>
                <w:bCs/>
              </w:rPr>
              <w:t xml:space="preserve"> </w:t>
            </w:r>
            <w:r w:rsidRPr="00A94043">
              <w:rPr>
                <w:b/>
                <w:bCs/>
              </w:rPr>
              <w:t>Thermal Efficiency</w:t>
            </w:r>
          </w:p>
        </w:tc>
        <w:tc>
          <w:tcPr>
            <w:tcW w:w="1980" w:type="dxa"/>
          </w:tcPr>
          <w:p w14:paraId="3442B260" w14:textId="7F8D3BA1" w:rsidR="0059120D" w:rsidRPr="00A94043" w:rsidRDefault="0059120D" w:rsidP="0059120D">
            <w:pPr>
              <w:jc w:val="center"/>
              <w:rPr>
                <w:b/>
                <w:bCs/>
              </w:rPr>
            </w:pPr>
            <w:r w:rsidRPr="00A94043">
              <w:rPr>
                <w:b/>
                <w:bCs/>
              </w:rPr>
              <w:t>Low Burn Rate</w:t>
            </w:r>
            <w:r w:rsidR="00787042">
              <w:rPr>
                <w:b/>
                <w:bCs/>
              </w:rPr>
              <w:t>:</w:t>
            </w:r>
            <w:r>
              <w:rPr>
                <w:b/>
                <w:bCs/>
              </w:rPr>
              <w:t xml:space="preserve"> </w:t>
            </w:r>
            <w:r w:rsidRPr="00A94043">
              <w:rPr>
                <w:b/>
                <w:bCs/>
              </w:rPr>
              <w:t>Electrical</w:t>
            </w:r>
            <w:r w:rsidR="000C5E4A">
              <w:rPr>
                <w:b/>
                <w:bCs/>
              </w:rPr>
              <w:t xml:space="preserve"> </w:t>
            </w:r>
            <w:r w:rsidRPr="00A94043">
              <w:rPr>
                <w:b/>
                <w:bCs/>
              </w:rPr>
              <w:t>Energy</w:t>
            </w:r>
            <w:r w:rsidR="000C5E4A">
              <w:rPr>
                <w:b/>
                <w:bCs/>
              </w:rPr>
              <w:t xml:space="preserve"> </w:t>
            </w:r>
            <w:r w:rsidRPr="00A94043">
              <w:rPr>
                <w:b/>
                <w:bCs/>
              </w:rPr>
              <w:t>Consumption (kW)</w:t>
            </w:r>
          </w:p>
        </w:tc>
        <w:tc>
          <w:tcPr>
            <w:tcW w:w="2160" w:type="dxa"/>
            <w:tcMar>
              <w:left w:w="57" w:type="dxa"/>
              <w:right w:w="57" w:type="dxa"/>
            </w:tcMar>
            <w:hideMark/>
          </w:tcPr>
          <w:p w14:paraId="1AF55657" w14:textId="5D47F30E" w:rsidR="0059120D" w:rsidRPr="00A94043" w:rsidRDefault="0059120D" w:rsidP="0059120D">
            <w:pPr>
              <w:jc w:val="center"/>
              <w:rPr>
                <w:b/>
                <w:bCs/>
              </w:rPr>
            </w:pPr>
            <w:r w:rsidRPr="00A94043">
              <w:rPr>
                <w:b/>
                <w:bCs/>
              </w:rPr>
              <w:t>Standby</w:t>
            </w:r>
            <w:r w:rsidR="00787042">
              <w:rPr>
                <w:b/>
                <w:bCs/>
              </w:rPr>
              <w:t>:</w:t>
            </w:r>
            <w:r>
              <w:rPr>
                <w:b/>
                <w:bCs/>
              </w:rPr>
              <w:t xml:space="preserve"> </w:t>
            </w:r>
            <w:r w:rsidRPr="00A94043">
              <w:rPr>
                <w:b/>
                <w:bCs/>
              </w:rPr>
              <w:t>Electrical</w:t>
            </w:r>
            <w:r w:rsidR="000C5E4A">
              <w:rPr>
                <w:b/>
                <w:bCs/>
              </w:rPr>
              <w:t xml:space="preserve"> </w:t>
            </w:r>
            <w:r w:rsidRPr="00A94043">
              <w:rPr>
                <w:b/>
                <w:bCs/>
              </w:rPr>
              <w:t>Energy</w:t>
            </w:r>
            <w:r w:rsidR="000C5E4A">
              <w:rPr>
                <w:b/>
                <w:bCs/>
              </w:rPr>
              <w:t xml:space="preserve"> </w:t>
            </w:r>
            <w:r w:rsidRPr="00A94043">
              <w:rPr>
                <w:b/>
                <w:bCs/>
              </w:rPr>
              <w:t>Consumption (W)</w:t>
            </w:r>
          </w:p>
        </w:tc>
      </w:tr>
      <w:tr w:rsidR="000C5E4A" w:rsidRPr="00A94043" w14:paraId="6B9A10B0" w14:textId="77777777" w:rsidTr="000C5E4A">
        <w:trPr>
          <w:trHeight w:val="247"/>
        </w:trPr>
        <w:tc>
          <w:tcPr>
            <w:tcW w:w="842" w:type="dxa"/>
          </w:tcPr>
          <w:p w14:paraId="4B81CE6C" w14:textId="53D3998F" w:rsidR="0059120D" w:rsidRPr="00A94043" w:rsidRDefault="0059120D" w:rsidP="0059120D">
            <w:pPr>
              <w:jc w:val="center"/>
            </w:pPr>
            <w:r w:rsidRPr="00A94043">
              <w:t>6</w:t>
            </w:r>
          </w:p>
        </w:tc>
        <w:tc>
          <w:tcPr>
            <w:tcW w:w="2061" w:type="dxa"/>
          </w:tcPr>
          <w:p w14:paraId="2F60ACFD" w14:textId="3FF854A8" w:rsidR="0059120D" w:rsidRPr="00A94043" w:rsidRDefault="0059120D" w:rsidP="0059120D">
            <w:pPr>
              <w:jc w:val="center"/>
            </w:pPr>
            <w:r w:rsidRPr="00A94043">
              <w:t>1.2</w:t>
            </w:r>
          </w:p>
        </w:tc>
        <w:tc>
          <w:tcPr>
            <w:tcW w:w="2132" w:type="dxa"/>
          </w:tcPr>
          <w:p w14:paraId="2AD92048" w14:textId="34D4895F" w:rsidR="0059120D" w:rsidRPr="00A94043" w:rsidRDefault="0059120D" w:rsidP="0059120D">
            <w:pPr>
              <w:jc w:val="center"/>
            </w:pPr>
            <w:r w:rsidRPr="00A94043">
              <w:t>60%</w:t>
            </w:r>
          </w:p>
        </w:tc>
        <w:tc>
          <w:tcPr>
            <w:tcW w:w="1980" w:type="dxa"/>
          </w:tcPr>
          <w:p w14:paraId="66B830BD" w14:textId="58A6E145" w:rsidR="0059120D" w:rsidRPr="00A94043" w:rsidRDefault="0059120D" w:rsidP="0059120D">
            <w:pPr>
              <w:jc w:val="center"/>
            </w:pPr>
            <w:r w:rsidRPr="00A94043">
              <w:t>0.008</w:t>
            </w:r>
          </w:p>
        </w:tc>
        <w:tc>
          <w:tcPr>
            <w:tcW w:w="2160" w:type="dxa"/>
            <w:tcMar>
              <w:left w:w="57" w:type="dxa"/>
              <w:right w:w="57" w:type="dxa"/>
            </w:tcMar>
            <w:hideMark/>
          </w:tcPr>
          <w:p w14:paraId="3EC37631" w14:textId="5BCD0E25" w:rsidR="0059120D" w:rsidRPr="00A94043" w:rsidRDefault="0059120D" w:rsidP="0059120D">
            <w:pPr>
              <w:jc w:val="center"/>
            </w:pPr>
            <w:r w:rsidRPr="00A94043">
              <w:t>0</w:t>
            </w:r>
          </w:p>
        </w:tc>
      </w:tr>
      <w:tr w:rsidR="000C5E4A" w:rsidRPr="00A94043" w14:paraId="768CB31B" w14:textId="77777777" w:rsidTr="000C5E4A">
        <w:trPr>
          <w:trHeight w:val="290"/>
        </w:trPr>
        <w:tc>
          <w:tcPr>
            <w:tcW w:w="842" w:type="dxa"/>
          </w:tcPr>
          <w:p w14:paraId="349949B3" w14:textId="77B6DDE9" w:rsidR="0059120D" w:rsidRPr="00A94043" w:rsidRDefault="0059120D" w:rsidP="0059120D">
            <w:pPr>
              <w:jc w:val="center"/>
            </w:pPr>
            <w:r w:rsidRPr="00A94043">
              <w:t>14</w:t>
            </w:r>
          </w:p>
        </w:tc>
        <w:tc>
          <w:tcPr>
            <w:tcW w:w="2061" w:type="dxa"/>
          </w:tcPr>
          <w:p w14:paraId="6007350C" w14:textId="151CF327" w:rsidR="0059120D" w:rsidRPr="00A94043" w:rsidRDefault="0059120D" w:rsidP="0059120D">
            <w:pPr>
              <w:jc w:val="center"/>
            </w:pPr>
            <w:r w:rsidRPr="00A94043">
              <w:t>4.2</w:t>
            </w:r>
          </w:p>
        </w:tc>
        <w:tc>
          <w:tcPr>
            <w:tcW w:w="2132" w:type="dxa"/>
          </w:tcPr>
          <w:p w14:paraId="0F8B0147" w14:textId="12A8E5E7" w:rsidR="0059120D" w:rsidRPr="00A94043" w:rsidRDefault="0059120D" w:rsidP="0059120D">
            <w:pPr>
              <w:jc w:val="center"/>
            </w:pPr>
            <w:r w:rsidRPr="00A94043">
              <w:t>60%</w:t>
            </w:r>
          </w:p>
        </w:tc>
        <w:tc>
          <w:tcPr>
            <w:tcW w:w="1980" w:type="dxa"/>
          </w:tcPr>
          <w:p w14:paraId="62BCB431" w14:textId="74889460" w:rsidR="0059120D" w:rsidRPr="00A94043" w:rsidRDefault="0059120D" w:rsidP="0059120D">
            <w:pPr>
              <w:jc w:val="center"/>
            </w:pPr>
            <w:r w:rsidRPr="00A94043">
              <w:t>0.028</w:t>
            </w:r>
          </w:p>
        </w:tc>
        <w:tc>
          <w:tcPr>
            <w:tcW w:w="2160" w:type="dxa"/>
            <w:tcMar>
              <w:left w:w="57" w:type="dxa"/>
              <w:right w:w="57" w:type="dxa"/>
            </w:tcMar>
            <w:hideMark/>
          </w:tcPr>
          <w:p w14:paraId="107F1671" w14:textId="3ACEC2CF" w:rsidR="0059120D" w:rsidRPr="00A94043" w:rsidRDefault="0059120D" w:rsidP="0059120D">
            <w:pPr>
              <w:jc w:val="center"/>
            </w:pPr>
            <w:r w:rsidRPr="00A94043">
              <w:t>5</w:t>
            </w:r>
          </w:p>
        </w:tc>
      </w:tr>
      <w:tr w:rsidR="000C5E4A" w:rsidRPr="00A94043" w14:paraId="78B1D6E7" w14:textId="77777777" w:rsidTr="000C5E4A">
        <w:trPr>
          <w:trHeight w:val="290"/>
        </w:trPr>
        <w:tc>
          <w:tcPr>
            <w:tcW w:w="842" w:type="dxa"/>
          </w:tcPr>
          <w:p w14:paraId="1E79C6F7" w14:textId="3D6C211E" w:rsidR="0059120D" w:rsidRPr="00A94043" w:rsidRDefault="0059120D" w:rsidP="0059120D">
            <w:pPr>
              <w:jc w:val="center"/>
            </w:pPr>
            <w:r w:rsidRPr="00A94043">
              <w:t>20</w:t>
            </w:r>
          </w:p>
        </w:tc>
        <w:tc>
          <w:tcPr>
            <w:tcW w:w="2061" w:type="dxa"/>
          </w:tcPr>
          <w:p w14:paraId="456A66A9" w14:textId="36B10F53" w:rsidR="0059120D" w:rsidRPr="00A94043" w:rsidRDefault="0059120D" w:rsidP="0059120D">
            <w:pPr>
              <w:jc w:val="center"/>
            </w:pPr>
            <w:r w:rsidRPr="00A94043">
              <w:t>8.4</w:t>
            </w:r>
          </w:p>
        </w:tc>
        <w:tc>
          <w:tcPr>
            <w:tcW w:w="2132" w:type="dxa"/>
          </w:tcPr>
          <w:p w14:paraId="1DF14221" w14:textId="41A5C515" w:rsidR="0059120D" w:rsidRPr="00A94043" w:rsidRDefault="0059120D" w:rsidP="0059120D">
            <w:pPr>
              <w:jc w:val="center"/>
            </w:pPr>
            <w:r w:rsidRPr="00A94043">
              <w:t>75%</w:t>
            </w:r>
          </w:p>
        </w:tc>
        <w:tc>
          <w:tcPr>
            <w:tcW w:w="1980" w:type="dxa"/>
          </w:tcPr>
          <w:p w14:paraId="4B82B292" w14:textId="0F869FFB" w:rsidR="0059120D" w:rsidRPr="00A94043" w:rsidRDefault="0059120D" w:rsidP="0059120D">
            <w:pPr>
              <w:jc w:val="center"/>
            </w:pPr>
            <w:r w:rsidRPr="00A94043">
              <w:t>0</w:t>
            </w:r>
          </w:p>
        </w:tc>
        <w:tc>
          <w:tcPr>
            <w:tcW w:w="2160" w:type="dxa"/>
            <w:tcMar>
              <w:left w:w="57" w:type="dxa"/>
              <w:right w:w="57" w:type="dxa"/>
            </w:tcMar>
            <w:hideMark/>
          </w:tcPr>
          <w:p w14:paraId="0EC00CA5" w14:textId="70F1D1B2" w:rsidR="0059120D" w:rsidRPr="00A94043" w:rsidRDefault="0059120D" w:rsidP="0059120D">
            <w:pPr>
              <w:jc w:val="center"/>
            </w:pPr>
            <w:r w:rsidRPr="00A94043">
              <w:t>0</w:t>
            </w:r>
          </w:p>
        </w:tc>
      </w:tr>
    </w:tbl>
    <w:p w14:paraId="6CB9C5A1" w14:textId="16E0ED27" w:rsidR="007627DD" w:rsidRDefault="007627DD">
      <w:pPr>
        <w:spacing w:after="0" w:line="240" w:lineRule="auto"/>
        <w:rPr>
          <w:rFonts w:eastAsiaTheme="majorEastAsia" w:cstheme="majorBidi"/>
          <w:bCs/>
          <w:color w:val="FF0000"/>
          <w:sz w:val="28"/>
        </w:rPr>
      </w:pPr>
      <w:r>
        <w:br w:type="page"/>
      </w:r>
    </w:p>
    <w:p w14:paraId="253632B8" w14:textId="7F1BE8AA" w:rsidR="00724156" w:rsidRPr="00A94043" w:rsidRDefault="00AF2B8C" w:rsidP="00B7452B">
      <w:pPr>
        <w:pStyle w:val="Heading3"/>
      </w:pPr>
      <w:bookmarkStart w:id="103" w:name="_Toc175311942"/>
      <w:r w:rsidRPr="00A94043">
        <w:lastRenderedPageBreak/>
        <w:t>Ducted gas heaters</w:t>
      </w:r>
      <w:bookmarkEnd w:id="103"/>
    </w:p>
    <w:p w14:paraId="6F4F79DA" w14:textId="77777777" w:rsidR="00B7452B" w:rsidRPr="00A94043" w:rsidRDefault="00B7452B" w:rsidP="00B7452B">
      <w:pPr>
        <w:rPr>
          <w:b/>
          <w:bCs/>
        </w:rPr>
      </w:pPr>
      <w:r w:rsidRPr="00A94043">
        <w:rPr>
          <w:b/>
          <w:bCs/>
        </w:rPr>
        <w:t>Product Type and HSEC Calculation Method:</w:t>
      </w:r>
    </w:p>
    <w:tbl>
      <w:tblPr>
        <w:tblStyle w:val="TableGrid"/>
        <w:tblW w:w="0" w:type="auto"/>
        <w:tblLook w:val="04A0" w:firstRow="1" w:lastRow="0" w:firstColumn="1" w:lastColumn="0" w:noHBand="0" w:noVBand="1"/>
      </w:tblPr>
      <w:tblGrid>
        <w:gridCol w:w="905"/>
        <w:gridCol w:w="2132"/>
        <w:gridCol w:w="3965"/>
        <w:gridCol w:w="2535"/>
      </w:tblGrid>
      <w:tr w:rsidR="00B7452B" w:rsidRPr="00A94043" w14:paraId="6DE67A49" w14:textId="77777777" w:rsidTr="005E7BA1">
        <w:trPr>
          <w:trHeight w:val="290"/>
        </w:trPr>
        <w:tc>
          <w:tcPr>
            <w:tcW w:w="905" w:type="dxa"/>
            <w:hideMark/>
          </w:tcPr>
          <w:p w14:paraId="57028606" w14:textId="77777777" w:rsidR="00B7452B" w:rsidRPr="00A94043" w:rsidRDefault="00B7452B">
            <w:pPr>
              <w:pStyle w:val="NoSpacing"/>
              <w:rPr>
                <w:b/>
                <w:bCs/>
              </w:rPr>
            </w:pPr>
            <w:r w:rsidRPr="00A94043">
              <w:rPr>
                <w:b/>
                <w:bCs/>
              </w:rPr>
              <w:t>Heater Unit</w:t>
            </w:r>
          </w:p>
        </w:tc>
        <w:tc>
          <w:tcPr>
            <w:tcW w:w="2132" w:type="dxa"/>
            <w:hideMark/>
          </w:tcPr>
          <w:p w14:paraId="16DC6854" w14:textId="77777777" w:rsidR="00B7452B" w:rsidRPr="00A94043" w:rsidRDefault="00B7452B">
            <w:pPr>
              <w:pStyle w:val="NoSpacing"/>
              <w:rPr>
                <w:b/>
                <w:bCs/>
              </w:rPr>
            </w:pPr>
            <w:r w:rsidRPr="00A94043">
              <w:rPr>
                <w:b/>
                <w:bCs/>
              </w:rPr>
              <w:t>Technology Type</w:t>
            </w:r>
          </w:p>
        </w:tc>
        <w:tc>
          <w:tcPr>
            <w:tcW w:w="0" w:type="auto"/>
            <w:hideMark/>
          </w:tcPr>
          <w:p w14:paraId="209B1152" w14:textId="77777777" w:rsidR="00B7452B" w:rsidRPr="00A94043" w:rsidRDefault="00B7452B">
            <w:pPr>
              <w:pStyle w:val="NoSpacing"/>
              <w:rPr>
                <w:b/>
                <w:bCs/>
              </w:rPr>
            </w:pPr>
            <w:r w:rsidRPr="00A94043">
              <w:rPr>
                <w:b/>
                <w:bCs/>
              </w:rPr>
              <w:t>Characteristics</w:t>
            </w:r>
          </w:p>
        </w:tc>
        <w:tc>
          <w:tcPr>
            <w:tcW w:w="0" w:type="auto"/>
            <w:hideMark/>
          </w:tcPr>
          <w:p w14:paraId="77F4301B" w14:textId="77777777" w:rsidR="00B7452B" w:rsidRPr="00A94043" w:rsidRDefault="00B7452B">
            <w:pPr>
              <w:pStyle w:val="NoSpacing"/>
              <w:jc w:val="center"/>
              <w:rPr>
                <w:b/>
                <w:bCs/>
              </w:rPr>
            </w:pPr>
            <w:r w:rsidRPr="00A94043">
              <w:rPr>
                <w:b/>
                <w:bCs/>
              </w:rPr>
              <w:t>HSEC Calculation Method</w:t>
            </w:r>
          </w:p>
        </w:tc>
      </w:tr>
      <w:tr w:rsidR="00B7452B" w:rsidRPr="00A94043" w14:paraId="6DFB04E0" w14:textId="77777777" w:rsidTr="005E7BA1">
        <w:trPr>
          <w:trHeight w:val="290"/>
        </w:trPr>
        <w:tc>
          <w:tcPr>
            <w:tcW w:w="905" w:type="dxa"/>
            <w:noWrap/>
            <w:hideMark/>
          </w:tcPr>
          <w:p w14:paraId="3DEE33BD" w14:textId="14CDB269" w:rsidR="00B7452B" w:rsidRPr="00A94043" w:rsidRDefault="00B7452B" w:rsidP="00B7452B">
            <w:pPr>
              <w:spacing w:after="0" w:line="240" w:lineRule="auto"/>
              <w:rPr>
                <w:rFonts w:eastAsia="Times New Roman" w:cs="Calibri"/>
                <w:color w:val="000000"/>
                <w:szCs w:val="22"/>
                <w:lang w:eastAsia="en-AU"/>
              </w:rPr>
            </w:pPr>
            <w:r w:rsidRPr="00A94043">
              <w:rPr>
                <w:rFonts w:cs="Calibri"/>
                <w:color w:val="000000"/>
                <w:szCs w:val="22"/>
              </w:rPr>
              <w:t>13</w:t>
            </w:r>
          </w:p>
        </w:tc>
        <w:tc>
          <w:tcPr>
            <w:tcW w:w="2132" w:type="dxa"/>
            <w:hideMark/>
          </w:tcPr>
          <w:p w14:paraId="76439ED1" w14:textId="2C314232" w:rsidR="00B7452B" w:rsidRPr="00A94043" w:rsidRDefault="00B7452B" w:rsidP="00B7452B">
            <w:pPr>
              <w:spacing w:after="0" w:line="240" w:lineRule="auto"/>
              <w:rPr>
                <w:rFonts w:eastAsia="Times New Roman" w:cs="Calibri"/>
                <w:color w:val="000000"/>
                <w:szCs w:val="22"/>
                <w:lang w:eastAsia="en-AU"/>
              </w:rPr>
            </w:pPr>
            <w:r w:rsidRPr="00A94043">
              <w:rPr>
                <w:rFonts w:cs="Calibri"/>
                <w:color w:val="000000"/>
                <w:szCs w:val="22"/>
              </w:rPr>
              <w:t>Ducted Gas</w:t>
            </w:r>
          </w:p>
        </w:tc>
        <w:tc>
          <w:tcPr>
            <w:tcW w:w="0" w:type="auto"/>
            <w:noWrap/>
            <w:hideMark/>
          </w:tcPr>
          <w:p w14:paraId="1B30AADE" w14:textId="41A6278A" w:rsidR="00B7452B" w:rsidRPr="00A94043" w:rsidRDefault="00B7452B" w:rsidP="00B7452B">
            <w:pPr>
              <w:spacing w:after="0" w:line="240" w:lineRule="auto"/>
              <w:rPr>
                <w:rFonts w:eastAsia="Times New Roman" w:cs="Calibri"/>
                <w:color w:val="000000"/>
                <w:szCs w:val="22"/>
                <w:lang w:eastAsia="en-AU"/>
              </w:rPr>
            </w:pPr>
            <w:r w:rsidRPr="00A94043">
              <w:rPr>
                <w:rFonts w:cs="Calibri"/>
                <w:color w:val="000000"/>
                <w:szCs w:val="22"/>
              </w:rPr>
              <w:t>Fixed, Thermostatic Control, 3 data points</w:t>
            </w:r>
          </w:p>
        </w:tc>
        <w:tc>
          <w:tcPr>
            <w:tcW w:w="0" w:type="auto"/>
            <w:noWrap/>
            <w:hideMark/>
          </w:tcPr>
          <w:p w14:paraId="3517D2B4" w14:textId="4078C2D1" w:rsidR="00B7452B" w:rsidRPr="00A94043" w:rsidRDefault="00B7452B" w:rsidP="00B7452B">
            <w:pPr>
              <w:spacing w:after="0" w:line="240" w:lineRule="auto"/>
              <w:jc w:val="center"/>
              <w:rPr>
                <w:rFonts w:eastAsia="Times New Roman" w:cs="Calibri"/>
                <w:color w:val="000000"/>
                <w:szCs w:val="22"/>
                <w:lang w:eastAsia="en-AU"/>
              </w:rPr>
            </w:pPr>
            <w:r w:rsidRPr="00A94043">
              <w:rPr>
                <w:rFonts w:cs="Calibri"/>
                <w:color w:val="000000"/>
                <w:szCs w:val="22"/>
              </w:rPr>
              <w:t>5</w:t>
            </w:r>
          </w:p>
        </w:tc>
      </w:tr>
      <w:tr w:rsidR="00B7452B" w:rsidRPr="00A94043" w14:paraId="0AE0B83D" w14:textId="77777777" w:rsidTr="005E7BA1">
        <w:trPr>
          <w:trHeight w:val="290"/>
        </w:trPr>
        <w:tc>
          <w:tcPr>
            <w:tcW w:w="905" w:type="dxa"/>
            <w:noWrap/>
            <w:hideMark/>
          </w:tcPr>
          <w:p w14:paraId="51F6FC23" w14:textId="0E17D111" w:rsidR="00B7452B" w:rsidRPr="00A94043" w:rsidRDefault="00B7452B" w:rsidP="00B7452B">
            <w:pPr>
              <w:spacing w:after="0" w:line="240" w:lineRule="auto"/>
              <w:rPr>
                <w:rFonts w:eastAsia="Times New Roman" w:cs="Calibri"/>
                <w:color w:val="000000"/>
                <w:szCs w:val="22"/>
                <w:lang w:eastAsia="en-AU"/>
              </w:rPr>
            </w:pPr>
            <w:r w:rsidRPr="00A94043">
              <w:rPr>
                <w:rFonts w:cs="Calibri"/>
                <w:color w:val="000000"/>
                <w:szCs w:val="22"/>
              </w:rPr>
              <w:t>19</w:t>
            </w:r>
          </w:p>
        </w:tc>
        <w:tc>
          <w:tcPr>
            <w:tcW w:w="2132" w:type="dxa"/>
            <w:vAlign w:val="bottom"/>
            <w:hideMark/>
          </w:tcPr>
          <w:p w14:paraId="0B33A0D0" w14:textId="482C52CA" w:rsidR="00B7452B" w:rsidRPr="00A94043" w:rsidRDefault="00B7452B" w:rsidP="00B7452B">
            <w:pPr>
              <w:spacing w:after="0" w:line="240" w:lineRule="auto"/>
              <w:rPr>
                <w:rFonts w:eastAsia="Times New Roman" w:cs="Calibri"/>
                <w:color w:val="000000"/>
                <w:szCs w:val="22"/>
                <w:lang w:eastAsia="en-AU"/>
              </w:rPr>
            </w:pPr>
            <w:r w:rsidRPr="00A94043">
              <w:rPr>
                <w:rFonts w:cs="Calibri"/>
                <w:color w:val="000000"/>
                <w:szCs w:val="22"/>
              </w:rPr>
              <w:t>Ducted Gas</w:t>
            </w:r>
          </w:p>
        </w:tc>
        <w:tc>
          <w:tcPr>
            <w:tcW w:w="0" w:type="auto"/>
            <w:noWrap/>
            <w:vAlign w:val="bottom"/>
            <w:hideMark/>
          </w:tcPr>
          <w:p w14:paraId="56ACF3B9" w14:textId="6FF5554B" w:rsidR="00B7452B" w:rsidRPr="00A94043" w:rsidRDefault="00B7452B" w:rsidP="00B7452B">
            <w:pPr>
              <w:spacing w:after="0" w:line="240" w:lineRule="auto"/>
              <w:rPr>
                <w:rFonts w:eastAsia="Times New Roman" w:cs="Calibri"/>
                <w:color w:val="000000"/>
                <w:szCs w:val="22"/>
                <w:lang w:eastAsia="en-AU"/>
              </w:rPr>
            </w:pPr>
            <w:r w:rsidRPr="00A94043">
              <w:rPr>
                <w:rFonts w:cs="Calibri"/>
                <w:color w:val="000000"/>
                <w:szCs w:val="22"/>
              </w:rPr>
              <w:t>Fixed, Thermostatic Control, 3 data points</w:t>
            </w:r>
          </w:p>
        </w:tc>
        <w:tc>
          <w:tcPr>
            <w:tcW w:w="0" w:type="auto"/>
            <w:noWrap/>
            <w:hideMark/>
          </w:tcPr>
          <w:p w14:paraId="440EE7D5" w14:textId="7BA9128F" w:rsidR="00B7452B" w:rsidRPr="00A94043" w:rsidRDefault="00B7452B" w:rsidP="00B7452B">
            <w:pPr>
              <w:spacing w:after="0" w:line="240" w:lineRule="auto"/>
              <w:jc w:val="center"/>
              <w:rPr>
                <w:rFonts w:eastAsia="Times New Roman" w:cs="Calibri"/>
                <w:color w:val="000000"/>
                <w:szCs w:val="22"/>
                <w:lang w:eastAsia="en-AU"/>
              </w:rPr>
            </w:pPr>
            <w:r w:rsidRPr="00A94043">
              <w:rPr>
                <w:rFonts w:cs="Calibri"/>
                <w:color w:val="000000"/>
                <w:szCs w:val="22"/>
              </w:rPr>
              <w:t>5</w:t>
            </w:r>
          </w:p>
        </w:tc>
      </w:tr>
    </w:tbl>
    <w:p w14:paraId="57FC7821" w14:textId="77777777" w:rsidR="00B7452B" w:rsidRPr="00A94043" w:rsidRDefault="00B7452B" w:rsidP="00B7452B">
      <w:pPr>
        <w:pStyle w:val="NoSpacing"/>
      </w:pPr>
    </w:p>
    <w:p w14:paraId="7D0C7295" w14:textId="681B060A" w:rsidR="00B7452B" w:rsidRPr="00A94043" w:rsidRDefault="00B7452B" w:rsidP="00B7452B">
      <w:pPr>
        <w:pStyle w:val="NoSpacing"/>
        <w:rPr>
          <w:rFonts w:asciiTheme="minorHAnsi" w:hAnsiTheme="minorHAnsi" w:cstheme="minorHAnsi"/>
          <w:b/>
          <w:bCs/>
        </w:rPr>
      </w:pPr>
      <w:r w:rsidRPr="00A94043">
        <w:rPr>
          <w:rFonts w:asciiTheme="minorHAnsi" w:hAnsiTheme="minorHAnsi" w:cstheme="minorHAnsi"/>
          <w:b/>
          <w:bCs/>
        </w:rPr>
        <w:t>Test Data:</w:t>
      </w:r>
    </w:p>
    <w:tbl>
      <w:tblPr>
        <w:tblStyle w:val="TableGrid"/>
        <w:tblW w:w="0" w:type="auto"/>
        <w:tblLayout w:type="fixed"/>
        <w:tblLook w:val="04A0" w:firstRow="1" w:lastRow="0" w:firstColumn="1" w:lastColumn="0" w:noHBand="0" w:noVBand="1"/>
      </w:tblPr>
      <w:tblGrid>
        <w:gridCol w:w="877"/>
        <w:gridCol w:w="1554"/>
        <w:gridCol w:w="1555"/>
        <w:gridCol w:w="1555"/>
        <w:gridCol w:w="1555"/>
        <w:gridCol w:w="1554"/>
        <w:gridCol w:w="1555"/>
        <w:gridCol w:w="1555"/>
        <w:gridCol w:w="1555"/>
      </w:tblGrid>
      <w:tr w:rsidR="004E3D27" w:rsidRPr="00A94043" w14:paraId="1C9CC1F7" w14:textId="77777777" w:rsidTr="004E3D27">
        <w:trPr>
          <w:trHeight w:val="1000"/>
        </w:trPr>
        <w:tc>
          <w:tcPr>
            <w:tcW w:w="877" w:type="dxa"/>
            <w:hideMark/>
          </w:tcPr>
          <w:p w14:paraId="38AA74E3" w14:textId="5AB973CB" w:rsidR="004E3D27" w:rsidRPr="00A94043" w:rsidRDefault="004E3D27" w:rsidP="00B7452B">
            <w:pPr>
              <w:pStyle w:val="NoSpacing"/>
              <w:rPr>
                <w:rFonts w:asciiTheme="minorHAnsi" w:hAnsiTheme="minorHAnsi" w:cstheme="minorHAnsi"/>
                <w:b/>
                <w:bCs/>
              </w:rPr>
            </w:pPr>
            <w:r w:rsidRPr="00A94043">
              <w:rPr>
                <w:rFonts w:asciiTheme="minorHAnsi" w:hAnsiTheme="minorHAnsi" w:cstheme="minorHAnsi"/>
                <w:b/>
                <w:bCs/>
              </w:rPr>
              <w:t>Heater Unit</w:t>
            </w:r>
          </w:p>
        </w:tc>
        <w:tc>
          <w:tcPr>
            <w:tcW w:w="1554" w:type="dxa"/>
            <w:hideMark/>
          </w:tcPr>
          <w:p w14:paraId="7E52FDBB" w14:textId="09CEC4BB"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6F6EA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Nominal Gas Consumption (MJ/h)</w:t>
            </w:r>
          </w:p>
        </w:tc>
        <w:tc>
          <w:tcPr>
            <w:tcW w:w="1555" w:type="dxa"/>
            <w:hideMark/>
          </w:tcPr>
          <w:p w14:paraId="50DCE3E5" w14:textId="18D463B5"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6F6EA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Electrical Energy Consumption (kW)</w:t>
            </w:r>
          </w:p>
        </w:tc>
        <w:tc>
          <w:tcPr>
            <w:tcW w:w="1555" w:type="dxa"/>
            <w:hideMark/>
          </w:tcPr>
          <w:p w14:paraId="451FB6DC" w14:textId="67C386A6"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Efficiency</w:t>
            </w:r>
          </w:p>
        </w:tc>
        <w:tc>
          <w:tcPr>
            <w:tcW w:w="1555" w:type="dxa"/>
            <w:hideMark/>
          </w:tcPr>
          <w:p w14:paraId="6CB6FAA0" w14:textId="1F799E3B"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Maximum Heat Output = Full Capacity (kW)</w:t>
            </w:r>
          </w:p>
        </w:tc>
        <w:tc>
          <w:tcPr>
            <w:tcW w:w="1554" w:type="dxa"/>
            <w:hideMark/>
          </w:tcPr>
          <w:p w14:paraId="42B9AAC2" w14:textId="4911A1C5"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High Load (70</w:t>
            </w:r>
            <w:r w:rsidR="00112F7C">
              <w:rPr>
                <w:rFonts w:asciiTheme="minorHAnsi" w:hAnsiTheme="minorHAnsi" w:cstheme="minorHAnsi"/>
                <w:b/>
                <w:bCs/>
              </w:rPr>
              <w:noBreakHyphen/>
            </w:r>
            <w:r w:rsidRPr="00A94043">
              <w:rPr>
                <w:rFonts w:asciiTheme="minorHAnsi" w:hAnsiTheme="minorHAnsi" w:cstheme="minorHAnsi"/>
                <w:b/>
                <w:bCs/>
              </w:rPr>
              <w:t>80%) Test</w:t>
            </w:r>
            <w:r w:rsidR="00112F7C">
              <w:rPr>
                <w:rFonts w:asciiTheme="minorHAnsi" w:hAnsiTheme="minorHAnsi" w:cstheme="minorHAnsi"/>
                <w:b/>
                <w:bCs/>
              </w:rPr>
              <w:t> </w:t>
            </w:r>
            <w:r w:rsidRPr="00A94043">
              <w:rPr>
                <w:rFonts w:asciiTheme="minorHAnsi" w:hAnsiTheme="minorHAnsi" w:cstheme="minorHAnsi"/>
                <w:b/>
                <w:bCs/>
              </w:rPr>
              <w:t>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High Gas Consumption Rate (MJ/h)</w:t>
            </w:r>
          </w:p>
        </w:tc>
        <w:tc>
          <w:tcPr>
            <w:tcW w:w="1555" w:type="dxa"/>
            <w:hideMark/>
          </w:tcPr>
          <w:p w14:paraId="67D8BE33" w14:textId="0E1AC5F7"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High Load (70</w:t>
            </w:r>
            <w:r w:rsidR="00112F7C">
              <w:rPr>
                <w:rFonts w:asciiTheme="minorHAnsi" w:hAnsiTheme="minorHAnsi" w:cstheme="minorHAnsi"/>
                <w:b/>
                <w:bCs/>
              </w:rPr>
              <w:noBreakHyphen/>
            </w:r>
            <w:r w:rsidRPr="00A94043">
              <w:rPr>
                <w:rFonts w:asciiTheme="minorHAnsi" w:hAnsiTheme="minorHAnsi" w:cstheme="minorHAnsi"/>
                <w:b/>
                <w:bCs/>
              </w:rPr>
              <w:t>80%) Test</w:t>
            </w:r>
            <w:r w:rsidR="00112F7C">
              <w:rPr>
                <w:rFonts w:asciiTheme="minorHAnsi" w:hAnsiTheme="minorHAnsi" w:cstheme="minorHAnsi"/>
                <w:b/>
                <w:bCs/>
              </w:rPr>
              <w:t> </w:t>
            </w:r>
            <w:r w:rsidRPr="00A94043">
              <w:rPr>
                <w:rFonts w:asciiTheme="minorHAnsi" w:hAnsiTheme="minorHAnsi" w:cstheme="minorHAnsi"/>
                <w:b/>
                <w:bCs/>
              </w:rPr>
              <w:t>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Electrical Energy Consumption (kW)</w:t>
            </w:r>
          </w:p>
        </w:tc>
        <w:tc>
          <w:tcPr>
            <w:tcW w:w="1555" w:type="dxa"/>
            <w:hideMark/>
          </w:tcPr>
          <w:p w14:paraId="01058FAF" w14:textId="52380557"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High Load (70</w:t>
            </w:r>
            <w:r w:rsidR="00112F7C">
              <w:rPr>
                <w:rFonts w:asciiTheme="minorHAnsi" w:hAnsiTheme="minorHAnsi" w:cstheme="minorHAnsi"/>
                <w:b/>
                <w:bCs/>
              </w:rPr>
              <w:t> </w:t>
            </w:r>
            <w:r w:rsidRPr="00A94043">
              <w:rPr>
                <w:rFonts w:asciiTheme="minorHAnsi" w:hAnsiTheme="minorHAnsi" w:cstheme="minorHAnsi"/>
                <w:b/>
                <w:bCs/>
              </w:rPr>
              <w:t>80%) Test</w:t>
            </w:r>
            <w:r w:rsidR="00112F7C">
              <w:rPr>
                <w:rFonts w:asciiTheme="minorHAnsi" w:hAnsiTheme="minorHAnsi" w:cstheme="minorHAnsi"/>
                <w:b/>
                <w:bCs/>
              </w:rPr>
              <w:t> </w:t>
            </w:r>
            <w:r w:rsidRPr="00A94043">
              <w:rPr>
                <w:rFonts w:asciiTheme="minorHAnsi" w:hAnsiTheme="minorHAnsi" w:cstheme="minorHAnsi"/>
                <w:b/>
                <w:bCs/>
              </w:rPr>
              <w:t>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Efficiency</w:t>
            </w:r>
          </w:p>
        </w:tc>
        <w:tc>
          <w:tcPr>
            <w:tcW w:w="1555" w:type="dxa"/>
            <w:hideMark/>
          </w:tcPr>
          <w:p w14:paraId="4D65E84B" w14:textId="32470FCD" w:rsidR="004E3D27" w:rsidRPr="00A94043" w:rsidRDefault="004E3D27" w:rsidP="00B7452B">
            <w:pPr>
              <w:pStyle w:val="NoSpacing"/>
              <w:jc w:val="center"/>
              <w:rPr>
                <w:rFonts w:asciiTheme="minorHAnsi" w:hAnsiTheme="minorHAnsi" w:cstheme="minorHAnsi"/>
                <w:b/>
                <w:bCs/>
              </w:rPr>
            </w:pPr>
            <w:r w:rsidRPr="00A94043">
              <w:rPr>
                <w:rFonts w:asciiTheme="minorHAnsi" w:hAnsiTheme="minorHAnsi" w:cstheme="minorHAnsi"/>
                <w:b/>
                <w:bCs/>
              </w:rPr>
              <w:t>High Load (70</w:t>
            </w:r>
            <w:r w:rsidR="00112F7C">
              <w:rPr>
                <w:rFonts w:asciiTheme="minorHAnsi" w:hAnsiTheme="minorHAnsi" w:cstheme="minorHAnsi"/>
                <w:b/>
                <w:bCs/>
              </w:rPr>
              <w:noBreakHyphen/>
            </w:r>
            <w:r w:rsidRPr="00A94043">
              <w:rPr>
                <w:rFonts w:asciiTheme="minorHAnsi" w:hAnsiTheme="minorHAnsi" w:cstheme="minorHAnsi"/>
                <w:b/>
                <w:bCs/>
              </w:rPr>
              <w:t>80%) Test</w:t>
            </w:r>
            <w:r w:rsidR="00112F7C">
              <w:rPr>
                <w:rFonts w:asciiTheme="minorHAnsi" w:hAnsiTheme="minorHAnsi" w:cstheme="minorHAnsi"/>
                <w:b/>
                <w:bCs/>
              </w:rPr>
              <w:t> </w:t>
            </w:r>
            <w:r w:rsidRPr="00A94043">
              <w:rPr>
                <w:rFonts w:asciiTheme="minorHAnsi" w:hAnsiTheme="minorHAnsi" w:cstheme="minorHAnsi"/>
                <w:b/>
                <w:bCs/>
              </w:rPr>
              <w:t>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Heat Output = "Half" Capacity (kW)</w:t>
            </w:r>
          </w:p>
        </w:tc>
      </w:tr>
      <w:tr w:rsidR="004E3D27" w:rsidRPr="00A94043" w14:paraId="34FB4B1F" w14:textId="77777777" w:rsidTr="004E3D27">
        <w:trPr>
          <w:trHeight w:val="290"/>
        </w:trPr>
        <w:tc>
          <w:tcPr>
            <w:tcW w:w="877" w:type="dxa"/>
            <w:noWrap/>
            <w:hideMark/>
          </w:tcPr>
          <w:p w14:paraId="44C9DBB3" w14:textId="77777777" w:rsidR="004E3D27" w:rsidRPr="00A94043" w:rsidRDefault="004E3D27" w:rsidP="00B7452B">
            <w:pPr>
              <w:pStyle w:val="NoSpacing"/>
              <w:rPr>
                <w:rFonts w:asciiTheme="minorHAnsi" w:hAnsiTheme="minorHAnsi" w:cstheme="minorHAnsi"/>
              </w:rPr>
            </w:pPr>
            <w:r w:rsidRPr="00A94043">
              <w:rPr>
                <w:rFonts w:asciiTheme="minorHAnsi" w:hAnsiTheme="minorHAnsi" w:cstheme="minorHAnsi"/>
              </w:rPr>
              <w:t>13</w:t>
            </w:r>
          </w:p>
        </w:tc>
        <w:tc>
          <w:tcPr>
            <w:tcW w:w="1554" w:type="dxa"/>
            <w:noWrap/>
            <w:hideMark/>
          </w:tcPr>
          <w:p w14:paraId="0EFE39FF"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32.82</w:t>
            </w:r>
          </w:p>
        </w:tc>
        <w:tc>
          <w:tcPr>
            <w:tcW w:w="1555" w:type="dxa"/>
            <w:hideMark/>
          </w:tcPr>
          <w:p w14:paraId="4A03A88E"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0.22</w:t>
            </w:r>
          </w:p>
        </w:tc>
        <w:tc>
          <w:tcPr>
            <w:tcW w:w="1555" w:type="dxa"/>
            <w:hideMark/>
          </w:tcPr>
          <w:p w14:paraId="09661CEA"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75%</w:t>
            </w:r>
          </w:p>
        </w:tc>
        <w:tc>
          <w:tcPr>
            <w:tcW w:w="1555" w:type="dxa"/>
            <w:hideMark/>
          </w:tcPr>
          <w:p w14:paraId="2D7001DE"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7</w:t>
            </w:r>
          </w:p>
        </w:tc>
        <w:tc>
          <w:tcPr>
            <w:tcW w:w="1554" w:type="dxa"/>
            <w:hideMark/>
          </w:tcPr>
          <w:p w14:paraId="3D0478B7"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24.61</w:t>
            </w:r>
          </w:p>
        </w:tc>
        <w:tc>
          <w:tcPr>
            <w:tcW w:w="1555" w:type="dxa"/>
            <w:hideMark/>
          </w:tcPr>
          <w:p w14:paraId="6F97E0DD"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0.22</w:t>
            </w:r>
          </w:p>
        </w:tc>
        <w:tc>
          <w:tcPr>
            <w:tcW w:w="1555" w:type="dxa"/>
            <w:hideMark/>
          </w:tcPr>
          <w:p w14:paraId="309A7D11"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75%</w:t>
            </w:r>
          </w:p>
        </w:tc>
        <w:tc>
          <w:tcPr>
            <w:tcW w:w="1555" w:type="dxa"/>
            <w:hideMark/>
          </w:tcPr>
          <w:p w14:paraId="31BCB58A"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5</w:t>
            </w:r>
          </w:p>
        </w:tc>
      </w:tr>
      <w:tr w:rsidR="004E3D27" w:rsidRPr="00A94043" w14:paraId="0A9DE61C" w14:textId="77777777" w:rsidTr="004E3D27">
        <w:trPr>
          <w:trHeight w:val="290"/>
        </w:trPr>
        <w:tc>
          <w:tcPr>
            <w:tcW w:w="877" w:type="dxa"/>
            <w:noWrap/>
            <w:hideMark/>
          </w:tcPr>
          <w:p w14:paraId="277DBAE1" w14:textId="77777777" w:rsidR="004E3D27" w:rsidRPr="00A94043" w:rsidRDefault="004E3D27" w:rsidP="00B7452B">
            <w:pPr>
              <w:pStyle w:val="NoSpacing"/>
              <w:rPr>
                <w:rFonts w:asciiTheme="minorHAnsi" w:hAnsiTheme="minorHAnsi" w:cstheme="minorHAnsi"/>
              </w:rPr>
            </w:pPr>
            <w:r w:rsidRPr="00A94043">
              <w:rPr>
                <w:rFonts w:asciiTheme="minorHAnsi" w:hAnsiTheme="minorHAnsi" w:cstheme="minorHAnsi"/>
              </w:rPr>
              <w:t>19</w:t>
            </w:r>
          </w:p>
        </w:tc>
        <w:tc>
          <w:tcPr>
            <w:tcW w:w="1554" w:type="dxa"/>
            <w:noWrap/>
            <w:hideMark/>
          </w:tcPr>
          <w:p w14:paraId="1D7722AE"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55.38</w:t>
            </w:r>
          </w:p>
        </w:tc>
        <w:tc>
          <w:tcPr>
            <w:tcW w:w="1555" w:type="dxa"/>
            <w:hideMark/>
          </w:tcPr>
          <w:p w14:paraId="7E7A37FC"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0.37</w:t>
            </w:r>
          </w:p>
        </w:tc>
        <w:tc>
          <w:tcPr>
            <w:tcW w:w="1555" w:type="dxa"/>
            <w:hideMark/>
          </w:tcPr>
          <w:p w14:paraId="31C2C964"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75%</w:t>
            </w:r>
          </w:p>
        </w:tc>
        <w:tc>
          <w:tcPr>
            <w:tcW w:w="1555" w:type="dxa"/>
            <w:hideMark/>
          </w:tcPr>
          <w:p w14:paraId="18B4CB23"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554" w:type="dxa"/>
            <w:hideMark/>
          </w:tcPr>
          <w:p w14:paraId="6AE1ADF7"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41.54</w:t>
            </w:r>
          </w:p>
        </w:tc>
        <w:tc>
          <w:tcPr>
            <w:tcW w:w="1555" w:type="dxa"/>
            <w:hideMark/>
          </w:tcPr>
          <w:p w14:paraId="6EDBDC08"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0.37</w:t>
            </w:r>
          </w:p>
        </w:tc>
        <w:tc>
          <w:tcPr>
            <w:tcW w:w="1555" w:type="dxa"/>
            <w:hideMark/>
          </w:tcPr>
          <w:p w14:paraId="03951020"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75%</w:t>
            </w:r>
          </w:p>
        </w:tc>
        <w:tc>
          <w:tcPr>
            <w:tcW w:w="1555" w:type="dxa"/>
            <w:hideMark/>
          </w:tcPr>
          <w:p w14:paraId="089860CA" w14:textId="77777777" w:rsidR="004E3D27" w:rsidRPr="00A94043" w:rsidRDefault="004E3D27" w:rsidP="00B7452B">
            <w:pPr>
              <w:pStyle w:val="NoSpacing"/>
              <w:jc w:val="center"/>
              <w:rPr>
                <w:rFonts w:asciiTheme="minorHAnsi" w:hAnsiTheme="minorHAnsi" w:cstheme="minorHAnsi"/>
              </w:rPr>
            </w:pPr>
            <w:r w:rsidRPr="00A94043">
              <w:rPr>
                <w:rFonts w:asciiTheme="minorHAnsi" w:hAnsiTheme="minorHAnsi" w:cstheme="minorHAnsi"/>
              </w:rPr>
              <w:t>9</w:t>
            </w:r>
          </w:p>
        </w:tc>
      </w:tr>
    </w:tbl>
    <w:p w14:paraId="69215755" w14:textId="77777777" w:rsidR="005E7BA1" w:rsidRDefault="005E7BA1">
      <w:pPr>
        <w:spacing w:after="0" w:line="240" w:lineRule="auto"/>
        <w:rPr>
          <w:rFonts w:asciiTheme="minorHAnsi" w:hAnsiTheme="minorHAnsi" w:cstheme="minorHAnsi"/>
          <w:b/>
          <w:bCs/>
        </w:rPr>
      </w:pPr>
    </w:p>
    <w:p w14:paraId="66C3E64B" w14:textId="3113CCDD" w:rsidR="005E7BA1" w:rsidRPr="005E7BA1" w:rsidRDefault="005E7BA1" w:rsidP="005E7BA1">
      <w:pPr>
        <w:pStyle w:val="NoSpacing"/>
        <w:rPr>
          <w:rFonts w:asciiTheme="minorHAnsi" w:hAnsiTheme="minorHAnsi" w:cstheme="minorHAnsi"/>
          <w:b/>
          <w:bCs/>
          <w:i/>
          <w:iCs/>
        </w:rPr>
      </w:pPr>
      <w:r w:rsidRPr="00DF51A4">
        <w:rPr>
          <w:rFonts w:asciiTheme="minorHAnsi" w:hAnsiTheme="minorHAnsi" w:cstheme="minorHAnsi"/>
          <w:b/>
          <w:bCs/>
          <w:i/>
          <w:iCs/>
        </w:rPr>
        <w:t>Test Data</w:t>
      </w:r>
      <w:r>
        <w:rPr>
          <w:rFonts w:asciiTheme="minorHAnsi" w:hAnsiTheme="minorHAnsi" w:cstheme="minorHAnsi"/>
          <w:b/>
          <w:bCs/>
          <w:i/>
          <w:iCs/>
        </w:rPr>
        <w:t>,</w:t>
      </w:r>
      <w:r w:rsidRPr="00DF51A4">
        <w:rPr>
          <w:rFonts w:asciiTheme="minorHAnsi" w:hAnsiTheme="minorHAnsi" w:cstheme="minorHAnsi"/>
          <w:b/>
          <w:bCs/>
          <w:i/>
          <w:iCs/>
        </w:rPr>
        <w:t xml:space="preserve"> continued</w:t>
      </w:r>
    </w:p>
    <w:tbl>
      <w:tblPr>
        <w:tblStyle w:val="TableGrid"/>
        <w:tblW w:w="10627" w:type="dxa"/>
        <w:tblLayout w:type="fixed"/>
        <w:tblLook w:val="04A0" w:firstRow="1" w:lastRow="0" w:firstColumn="1" w:lastColumn="0" w:noHBand="0" w:noVBand="1"/>
      </w:tblPr>
      <w:tblGrid>
        <w:gridCol w:w="891"/>
        <w:gridCol w:w="2081"/>
        <w:gridCol w:w="1985"/>
        <w:gridCol w:w="1984"/>
        <w:gridCol w:w="1985"/>
        <w:gridCol w:w="1701"/>
      </w:tblGrid>
      <w:tr w:rsidR="004E3D27" w:rsidRPr="00A94043" w14:paraId="5C26747E" w14:textId="77777777" w:rsidTr="009F6ED7">
        <w:trPr>
          <w:trHeight w:val="1000"/>
        </w:trPr>
        <w:tc>
          <w:tcPr>
            <w:tcW w:w="891" w:type="dxa"/>
          </w:tcPr>
          <w:p w14:paraId="7368D9E2" w14:textId="1B505CEA" w:rsidR="004E3D27" w:rsidRPr="00A94043" w:rsidRDefault="004E3D27" w:rsidP="004E3D27">
            <w:pPr>
              <w:pStyle w:val="NoSpacing"/>
              <w:jc w:val="center"/>
              <w:rPr>
                <w:rFonts w:asciiTheme="minorHAnsi" w:hAnsiTheme="minorHAnsi" w:cstheme="minorHAnsi"/>
                <w:b/>
                <w:bCs/>
              </w:rPr>
            </w:pPr>
            <w:r w:rsidRPr="00A94043">
              <w:rPr>
                <w:rFonts w:asciiTheme="minorHAnsi" w:hAnsiTheme="minorHAnsi" w:cstheme="minorHAnsi"/>
                <w:b/>
                <w:bCs/>
              </w:rPr>
              <w:t>Heater Unit</w:t>
            </w:r>
          </w:p>
        </w:tc>
        <w:tc>
          <w:tcPr>
            <w:tcW w:w="2081" w:type="dxa"/>
          </w:tcPr>
          <w:p w14:paraId="5DCC57C1" w14:textId="79267CA3" w:rsidR="004E3D27" w:rsidRDefault="004E3D27" w:rsidP="004E3D27">
            <w:pPr>
              <w:pStyle w:val="NoSpacing"/>
              <w:jc w:val="center"/>
              <w:rPr>
                <w:rFonts w:asciiTheme="minorHAnsi" w:hAnsiTheme="minorHAnsi" w:cstheme="minorHAnsi"/>
                <w:b/>
                <w:bCs/>
              </w:rPr>
            </w:pPr>
            <w:r w:rsidRPr="00A94043">
              <w:rPr>
                <w:rFonts w:asciiTheme="minorHAnsi" w:hAnsiTheme="minorHAnsi" w:cstheme="minorHAnsi"/>
                <w:b/>
                <w:bCs/>
              </w:rPr>
              <w:t>Low Load (20-30%) Test 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Low Gas Consumption Rate (MJ/h)</w:t>
            </w:r>
          </w:p>
        </w:tc>
        <w:tc>
          <w:tcPr>
            <w:tcW w:w="1985" w:type="dxa"/>
          </w:tcPr>
          <w:p w14:paraId="034F6FA4" w14:textId="449F29D8" w:rsidR="004E3D27" w:rsidRDefault="004E3D27" w:rsidP="004E3D27">
            <w:pPr>
              <w:pStyle w:val="NoSpacing"/>
              <w:jc w:val="center"/>
              <w:rPr>
                <w:rFonts w:asciiTheme="minorHAnsi" w:hAnsiTheme="minorHAnsi" w:cstheme="minorHAnsi"/>
                <w:b/>
                <w:bCs/>
              </w:rPr>
            </w:pPr>
            <w:r w:rsidRPr="00A94043">
              <w:rPr>
                <w:rFonts w:asciiTheme="minorHAnsi" w:hAnsiTheme="minorHAnsi" w:cstheme="minorHAnsi"/>
                <w:b/>
                <w:bCs/>
              </w:rPr>
              <w:t>Low Load (20-30%) Test 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Electrical Energy Consumption (kW)</w:t>
            </w:r>
          </w:p>
        </w:tc>
        <w:tc>
          <w:tcPr>
            <w:tcW w:w="1984" w:type="dxa"/>
          </w:tcPr>
          <w:p w14:paraId="197AA8F8" w14:textId="2888867B" w:rsidR="004E3D27" w:rsidRDefault="004E3D27" w:rsidP="004E3D27">
            <w:pPr>
              <w:pStyle w:val="NoSpacing"/>
              <w:jc w:val="center"/>
              <w:rPr>
                <w:rFonts w:asciiTheme="minorHAnsi" w:hAnsiTheme="minorHAnsi" w:cstheme="minorHAnsi"/>
                <w:b/>
                <w:bCs/>
              </w:rPr>
            </w:pPr>
            <w:r w:rsidRPr="00A94043">
              <w:rPr>
                <w:rFonts w:asciiTheme="minorHAnsi" w:hAnsiTheme="minorHAnsi" w:cstheme="minorHAnsi"/>
                <w:b/>
                <w:bCs/>
              </w:rPr>
              <w:t>Low Load (20-30%) Test 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Efficiency</w:t>
            </w:r>
          </w:p>
        </w:tc>
        <w:tc>
          <w:tcPr>
            <w:tcW w:w="1985" w:type="dxa"/>
          </w:tcPr>
          <w:p w14:paraId="11B0E307" w14:textId="42882D7B" w:rsidR="004E3D27" w:rsidRDefault="004E3D27" w:rsidP="004E3D27">
            <w:pPr>
              <w:pStyle w:val="NoSpacing"/>
              <w:jc w:val="center"/>
              <w:rPr>
                <w:rFonts w:asciiTheme="minorHAnsi" w:hAnsiTheme="minorHAnsi" w:cstheme="minorHAnsi"/>
                <w:b/>
                <w:bCs/>
              </w:rPr>
            </w:pPr>
            <w:r w:rsidRPr="00A94043">
              <w:rPr>
                <w:rFonts w:asciiTheme="minorHAnsi" w:hAnsiTheme="minorHAnsi" w:cstheme="minorHAnsi"/>
                <w:b/>
                <w:bCs/>
              </w:rPr>
              <w:t>Low Load (20-30%) Test Results</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Heat Output = Min Capacity (kW)</w:t>
            </w:r>
          </w:p>
        </w:tc>
        <w:tc>
          <w:tcPr>
            <w:tcW w:w="1701" w:type="dxa"/>
            <w:hideMark/>
          </w:tcPr>
          <w:p w14:paraId="04A229B3" w14:textId="7B92311A" w:rsidR="004E3D27" w:rsidRPr="00A94043" w:rsidRDefault="004E3D27" w:rsidP="004E3D27">
            <w:pPr>
              <w:pStyle w:val="NoSpacing"/>
              <w:jc w:val="center"/>
              <w:rPr>
                <w:rFonts w:asciiTheme="minorHAnsi" w:hAnsiTheme="minorHAnsi" w:cstheme="minorHAnsi"/>
                <w:b/>
                <w:bCs/>
              </w:rPr>
            </w:pPr>
            <w:r>
              <w:rPr>
                <w:rFonts w:asciiTheme="minorHAnsi" w:hAnsiTheme="minorHAnsi" w:cstheme="minorHAnsi"/>
                <w:b/>
                <w:bCs/>
              </w:rPr>
              <w:t>Standby</w:t>
            </w:r>
            <w:r w:rsidR="00F82FC4">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Standby Energy Consumption (kW)</w:t>
            </w:r>
          </w:p>
        </w:tc>
      </w:tr>
      <w:tr w:rsidR="004E3D27" w:rsidRPr="00A94043" w14:paraId="789DD509" w14:textId="77777777" w:rsidTr="009F6ED7">
        <w:trPr>
          <w:trHeight w:val="290"/>
        </w:trPr>
        <w:tc>
          <w:tcPr>
            <w:tcW w:w="891" w:type="dxa"/>
          </w:tcPr>
          <w:p w14:paraId="7E4D4D5B" w14:textId="75095040"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13</w:t>
            </w:r>
          </w:p>
        </w:tc>
        <w:tc>
          <w:tcPr>
            <w:tcW w:w="2081" w:type="dxa"/>
          </w:tcPr>
          <w:p w14:paraId="7C850C98" w14:textId="6284168D"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8.20</w:t>
            </w:r>
          </w:p>
        </w:tc>
        <w:tc>
          <w:tcPr>
            <w:tcW w:w="1985" w:type="dxa"/>
          </w:tcPr>
          <w:p w14:paraId="174118A2" w14:textId="0061FDA3"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0.05</w:t>
            </w:r>
          </w:p>
        </w:tc>
        <w:tc>
          <w:tcPr>
            <w:tcW w:w="1984" w:type="dxa"/>
          </w:tcPr>
          <w:p w14:paraId="375ACA9B" w14:textId="4A4C0498"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80%</w:t>
            </w:r>
          </w:p>
        </w:tc>
        <w:tc>
          <w:tcPr>
            <w:tcW w:w="1985" w:type="dxa"/>
          </w:tcPr>
          <w:p w14:paraId="311B684A" w14:textId="615925C4"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2</w:t>
            </w:r>
          </w:p>
        </w:tc>
        <w:tc>
          <w:tcPr>
            <w:tcW w:w="1701" w:type="dxa"/>
            <w:hideMark/>
          </w:tcPr>
          <w:p w14:paraId="4A4FF604" w14:textId="3FA01CFE"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0.005</w:t>
            </w:r>
          </w:p>
        </w:tc>
      </w:tr>
      <w:tr w:rsidR="004E3D27" w:rsidRPr="00A94043" w14:paraId="34F7EE4B" w14:textId="77777777" w:rsidTr="009F6ED7">
        <w:trPr>
          <w:trHeight w:val="290"/>
        </w:trPr>
        <w:tc>
          <w:tcPr>
            <w:tcW w:w="891" w:type="dxa"/>
          </w:tcPr>
          <w:p w14:paraId="19A23F24" w14:textId="01589FE4"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19</w:t>
            </w:r>
          </w:p>
        </w:tc>
        <w:tc>
          <w:tcPr>
            <w:tcW w:w="2081" w:type="dxa"/>
          </w:tcPr>
          <w:p w14:paraId="61CD6A75" w14:textId="340AC3AB"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13.85</w:t>
            </w:r>
          </w:p>
        </w:tc>
        <w:tc>
          <w:tcPr>
            <w:tcW w:w="1985" w:type="dxa"/>
          </w:tcPr>
          <w:p w14:paraId="2079E47F" w14:textId="1C014D71"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0.09</w:t>
            </w:r>
          </w:p>
        </w:tc>
        <w:tc>
          <w:tcPr>
            <w:tcW w:w="1984" w:type="dxa"/>
          </w:tcPr>
          <w:p w14:paraId="7F3F9561" w14:textId="7904A51D"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80%</w:t>
            </w:r>
          </w:p>
        </w:tc>
        <w:tc>
          <w:tcPr>
            <w:tcW w:w="1985" w:type="dxa"/>
          </w:tcPr>
          <w:p w14:paraId="4552A1C0" w14:textId="423F4B29"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3</w:t>
            </w:r>
          </w:p>
        </w:tc>
        <w:tc>
          <w:tcPr>
            <w:tcW w:w="1701" w:type="dxa"/>
            <w:hideMark/>
          </w:tcPr>
          <w:p w14:paraId="5A02B573" w14:textId="073044D6" w:rsidR="004E3D27" w:rsidRPr="00A94043" w:rsidRDefault="004E3D27" w:rsidP="004E3D27">
            <w:pPr>
              <w:pStyle w:val="NoSpacing"/>
              <w:jc w:val="center"/>
              <w:rPr>
                <w:rFonts w:asciiTheme="minorHAnsi" w:hAnsiTheme="minorHAnsi" w:cstheme="minorHAnsi"/>
              </w:rPr>
            </w:pPr>
            <w:r w:rsidRPr="00A94043">
              <w:rPr>
                <w:rFonts w:asciiTheme="minorHAnsi" w:hAnsiTheme="minorHAnsi" w:cstheme="minorHAnsi"/>
              </w:rPr>
              <w:t>0.005</w:t>
            </w:r>
          </w:p>
        </w:tc>
      </w:tr>
    </w:tbl>
    <w:p w14:paraId="0D5AAEC2" w14:textId="194437E7" w:rsidR="00B7452B" w:rsidRPr="00A94043" w:rsidRDefault="00B7452B">
      <w:pPr>
        <w:spacing w:after="0" w:line="240" w:lineRule="auto"/>
        <w:rPr>
          <w:rFonts w:asciiTheme="minorHAnsi" w:hAnsiTheme="minorHAnsi" w:cstheme="minorHAnsi"/>
          <w:b/>
          <w:bCs/>
        </w:rPr>
      </w:pPr>
      <w:r w:rsidRPr="00A94043">
        <w:rPr>
          <w:rFonts w:asciiTheme="minorHAnsi" w:hAnsiTheme="minorHAnsi" w:cstheme="minorHAnsi"/>
          <w:b/>
          <w:bCs/>
        </w:rPr>
        <w:br w:type="page"/>
      </w:r>
    </w:p>
    <w:p w14:paraId="5BDF2C36" w14:textId="583537FC" w:rsidR="00B7452B" w:rsidRPr="00A94043" w:rsidRDefault="00B7452B" w:rsidP="00B7452B">
      <w:pPr>
        <w:pStyle w:val="NoSpacing"/>
        <w:rPr>
          <w:rFonts w:asciiTheme="minorHAnsi" w:hAnsiTheme="minorHAnsi" w:cstheme="minorHAnsi"/>
          <w:b/>
          <w:bCs/>
        </w:rPr>
      </w:pPr>
      <w:r w:rsidRPr="00A94043">
        <w:rPr>
          <w:rFonts w:asciiTheme="minorHAnsi" w:hAnsiTheme="minorHAnsi" w:cstheme="minorHAnsi"/>
          <w:b/>
          <w:bCs/>
        </w:rPr>
        <w:lastRenderedPageBreak/>
        <w:t>Calculation Results:</w:t>
      </w:r>
    </w:p>
    <w:tbl>
      <w:tblPr>
        <w:tblStyle w:val="TableGrid"/>
        <w:tblW w:w="0" w:type="auto"/>
        <w:tblLayout w:type="fixed"/>
        <w:tblLook w:val="04A0" w:firstRow="1" w:lastRow="0" w:firstColumn="1" w:lastColumn="0" w:noHBand="0" w:noVBand="1"/>
      </w:tblPr>
      <w:tblGrid>
        <w:gridCol w:w="840"/>
        <w:gridCol w:w="2132"/>
        <w:gridCol w:w="1292"/>
        <w:gridCol w:w="1293"/>
        <w:gridCol w:w="1293"/>
        <w:gridCol w:w="1293"/>
        <w:gridCol w:w="1293"/>
        <w:gridCol w:w="1293"/>
        <w:gridCol w:w="1293"/>
        <w:gridCol w:w="1293"/>
      </w:tblGrid>
      <w:tr w:rsidR="00B7452B" w:rsidRPr="00A94043" w14:paraId="5AEE9A15" w14:textId="77777777" w:rsidTr="00580D45">
        <w:trPr>
          <w:trHeight w:val="900"/>
        </w:trPr>
        <w:tc>
          <w:tcPr>
            <w:tcW w:w="840" w:type="dxa"/>
            <w:hideMark/>
          </w:tcPr>
          <w:p w14:paraId="7211D1DB" w14:textId="60D42BB4" w:rsidR="00B7452B" w:rsidRPr="00A94043" w:rsidRDefault="00B86AAE" w:rsidP="00B7452B">
            <w:pPr>
              <w:pStyle w:val="NoSpacing"/>
              <w:rPr>
                <w:rFonts w:asciiTheme="minorHAnsi" w:hAnsiTheme="minorHAnsi" w:cstheme="minorHAnsi"/>
                <w:b/>
                <w:bCs/>
              </w:rPr>
            </w:pPr>
            <w:r w:rsidRPr="00A94043">
              <w:rPr>
                <w:rFonts w:asciiTheme="minorHAnsi" w:hAnsiTheme="minorHAnsi" w:cstheme="minorHAnsi"/>
                <w:b/>
                <w:bCs/>
              </w:rPr>
              <w:t>Heater Unit</w:t>
            </w:r>
          </w:p>
        </w:tc>
        <w:tc>
          <w:tcPr>
            <w:tcW w:w="2132" w:type="dxa"/>
          </w:tcPr>
          <w:p w14:paraId="576773A8" w14:textId="3951755F" w:rsidR="00B7452B" w:rsidRPr="00A94043" w:rsidRDefault="00B86AAE" w:rsidP="00B7452B">
            <w:pPr>
              <w:pStyle w:val="NoSpacing"/>
              <w:rPr>
                <w:rFonts w:asciiTheme="minorHAnsi" w:hAnsiTheme="minorHAnsi" w:cstheme="minorHAnsi"/>
                <w:b/>
                <w:bCs/>
              </w:rPr>
            </w:pPr>
            <w:r w:rsidRPr="00A94043">
              <w:rPr>
                <w:rFonts w:asciiTheme="minorHAnsi" w:hAnsiTheme="minorHAnsi" w:cstheme="minorHAnsi"/>
                <w:b/>
                <w:bCs/>
              </w:rPr>
              <w:t>Technology Type</w:t>
            </w:r>
          </w:p>
        </w:tc>
        <w:tc>
          <w:tcPr>
            <w:tcW w:w="1292" w:type="dxa"/>
            <w:hideMark/>
          </w:tcPr>
          <w:p w14:paraId="30ACBF10" w14:textId="24845803"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F82FC4">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Rated Capacity (kW)</w:t>
            </w:r>
          </w:p>
        </w:tc>
        <w:tc>
          <w:tcPr>
            <w:tcW w:w="1293" w:type="dxa"/>
            <w:hideMark/>
          </w:tcPr>
          <w:p w14:paraId="6E2A9011" w14:textId="671FB360"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F82FC4">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Rated Capacity at 2degC (kW)</w:t>
            </w:r>
          </w:p>
        </w:tc>
        <w:tc>
          <w:tcPr>
            <w:tcW w:w="1293" w:type="dxa"/>
            <w:hideMark/>
          </w:tcPr>
          <w:p w14:paraId="71E5D269" w14:textId="26F8D644"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F82FC4">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Rated Input Power (kW)</w:t>
            </w:r>
          </w:p>
        </w:tc>
        <w:tc>
          <w:tcPr>
            <w:tcW w:w="1293" w:type="dxa"/>
            <w:hideMark/>
          </w:tcPr>
          <w:p w14:paraId="18C5F843" w14:textId="2F1D7EBD"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Full Capacity</w:t>
            </w:r>
            <w:r w:rsidR="00F82FC4">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Rated Efficiency</w:t>
            </w:r>
          </w:p>
        </w:tc>
        <w:tc>
          <w:tcPr>
            <w:tcW w:w="1293" w:type="dxa"/>
            <w:hideMark/>
          </w:tcPr>
          <w:p w14:paraId="7DD1EE63" w14:textId="43B82544" w:rsidR="00B7452B" w:rsidRPr="00A94043" w:rsidRDefault="00B7452B" w:rsidP="00B7452B">
            <w:pPr>
              <w:pStyle w:val="NoSpacing"/>
              <w:rPr>
                <w:rFonts w:asciiTheme="minorHAnsi" w:hAnsiTheme="minorHAnsi" w:cstheme="minorHAnsi"/>
                <w:b/>
                <w:bCs/>
              </w:rPr>
            </w:pPr>
            <w:r w:rsidRPr="00A94043">
              <w:rPr>
                <w:rFonts w:asciiTheme="minorHAnsi" w:hAnsiTheme="minorHAnsi" w:cstheme="minorHAnsi"/>
                <w:b/>
                <w:bCs/>
              </w:rPr>
              <w:t>Standby, Pia (W)</w:t>
            </w:r>
          </w:p>
        </w:tc>
        <w:tc>
          <w:tcPr>
            <w:tcW w:w="1293" w:type="dxa"/>
            <w:hideMark/>
          </w:tcPr>
          <w:p w14:paraId="79B35A2D" w14:textId="454B9F1E"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sidR="001D4259">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HSTL_hot (kWh/y)</w:t>
            </w:r>
          </w:p>
        </w:tc>
        <w:tc>
          <w:tcPr>
            <w:tcW w:w="1293" w:type="dxa"/>
            <w:hideMark/>
          </w:tcPr>
          <w:p w14:paraId="70976742" w14:textId="104E5F53"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sidR="001D4259">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HSTL_avg (kWh/y)</w:t>
            </w:r>
          </w:p>
        </w:tc>
        <w:tc>
          <w:tcPr>
            <w:tcW w:w="1293" w:type="dxa"/>
            <w:hideMark/>
          </w:tcPr>
          <w:p w14:paraId="7B613301" w14:textId="169C57D3" w:rsidR="00B7452B" w:rsidRPr="00A94043" w:rsidRDefault="00B86AAE" w:rsidP="00B7452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sidR="001D4259">
              <w:rPr>
                <w:rFonts w:asciiTheme="minorHAnsi" w:hAnsiTheme="minorHAnsi" w:cstheme="minorHAnsi"/>
                <w:b/>
                <w:bCs/>
              </w:rPr>
              <w:t>:</w:t>
            </w:r>
            <w:r>
              <w:rPr>
                <w:rFonts w:asciiTheme="minorHAnsi" w:hAnsiTheme="minorHAnsi" w:cstheme="minorHAnsi"/>
                <w:b/>
                <w:bCs/>
              </w:rPr>
              <w:t xml:space="preserve"> </w:t>
            </w:r>
            <w:r w:rsidR="00B7452B" w:rsidRPr="00A94043">
              <w:rPr>
                <w:rFonts w:asciiTheme="minorHAnsi" w:hAnsiTheme="minorHAnsi" w:cstheme="minorHAnsi"/>
                <w:b/>
                <w:bCs/>
              </w:rPr>
              <w:t>HSTL_cold (kWh/y)</w:t>
            </w:r>
          </w:p>
        </w:tc>
      </w:tr>
      <w:tr w:rsidR="00B7452B" w:rsidRPr="00A94043" w14:paraId="1EE37470" w14:textId="77777777" w:rsidTr="00580D45">
        <w:trPr>
          <w:trHeight w:val="270"/>
        </w:trPr>
        <w:tc>
          <w:tcPr>
            <w:tcW w:w="840" w:type="dxa"/>
            <w:noWrap/>
            <w:hideMark/>
          </w:tcPr>
          <w:p w14:paraId="03B7DC9C"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9AF596F" w14:textId="2569B552" w:rsidR="00B7452B" w:rsidRPr="00A94043" w:rsidRDefault="00292A9F" w:rsidP="00B7452B">
            <w:pPr>
              <w:pStyle w:val="NoSpacing"/>
              <w:rPr>
                <w:rFonts w:asciiTheme="minorHAnsi" w:hAnsiTheme="minorHAnsi" w:cstheme="minorHAnsi"/>
              </w:rPr>
            </w:pPr>
            <w:bookmarkStart w:id="104" w:name="_Ref171944496"/>
            <w:r>
              <w:rPr>
                <w:rFonts w:cs="Calibri"/>
                <w:color w:val="000000"/>
                <w:szCs w:val="22"/>
              </w:rPr>
              <w:t>AC</w:t>
            </w:r>
            <w:bookmarkStart w:id="105" w:name="_Ref171947054"/>
            <w:r w:rsidR="00F367F9">
              <w:rPr>
                <w:rStyle w:val="FootnoteReference"/>
                <w:rFonts w:cs="Calibri"/>
                <w:color w:val="000000"/>
                <w:szCs w:val="22"/>
              </w:rPr>
              <w:footnoteReference w:customMarkFollows="1" w:id="10"/>
              <w:t>◊</w:t>
            </w:r>
            <w:bookmarkEnd w:id="104"/>
            <w:bookmarkEnd w:id="105"/>
            <w:r w:rsidR="00B7452B" w:rsidRPr="00A94043">
              <w:rPr>
                <w:rFonts w:cs="Calibri"/>
                <w:color w:val="000000"/>
                <w:szCs w:val="22"/>
              </w:rPr>
              <w:t xml:space="preserve"> (Non-ducted)</w:t>
            </w:r>
          </w:p>
        </w:tc>
        <w:tc>
          <w:tcPr>
            <w:tcW w:w="1292" w:type="dxa"/>
            <w:noWrap/>
            <w:hideMark/>
          </w:tcPr>
          <w:p w14:paraId="3F96ED57" w14:textId="36CCCBB3"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hideMark/>
          </w:tcPr>
          <w:p w14:paraId="1C1C03F1" w14:textId="5BB35479"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1.6, 2.5</w:t>
            </w:r>
          </w:p>
        </w:tc>
        <w:tc>
          <w:tcPr>
            <w:tcW w:w="1293" w:type="dxa"/>
            <w:noWrap/>
            <w:hideMark/>
          </w:tcPr>
          <w:p w14:paraId="79CFE62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0.5</w:t>
            </w:r>
          </w:p>
        </w:tc>
        <w:tc>
          <w:tcPr>
            <w:tcW w:w="1293" w:type="dxa"/>
            <w:noWrap/>
            <w:hideMark/>
          </w:tcPr>
          <w:p w14:paraId="37BD4973" w14:textId="0A2CF7AB" w:rsidR="00B7452B" w:rsidRPr="00A94043" w:rsidRDefault="00AC2179" w:rsidP="00B7452B">
            <w:pPr>
              <w:pStyle w:val="NoSpacing"/>
              <w:jc w:val="center"/>
              <w:rPr>
                <w:rFonts w:asciiTheme="minorHAnsi" w:hAnsiTheme="minorHAnsi" w:cstheme="minorHAnsi"/>
              </w:rPr>
            </w:pPr>
            <w:r w:rsidRPr="00A94043">
              <w:rPr>
                <w:rFonts w:asciiTheme="minorHAnsi" w:hAnsiTheme="minorHAnsi" w:cstheme="minorHAnsi"/>
              </w:rPr>
              <w:t>4</w:t>
            </w:r>
            <w:r>
              <w:rPr>
                <w:rFonts w:asciiTheme="minorHAnsi" w:hAnsiTheme="minorHAnsi" w:cstheme="minorHAnsi"/>
              </w:rPr>
              <w:t>26</w:t>
            </w:r>
            <w:r w:rsidR="00B7452B" w:rsidRPr="00A94043">
              <w:rPr>
                <w:rFonts w:asciiTheme="minorHAnsi" w:hAnsiTheme="minorHAnsi" w:cstheme="minorHAnsi"/>
              </w:rPr>
              <w:t>%</w:t>
            </w:r>
          </w:p>
        </w:tc>
        <w:tc>
          <w:tcPr>
            <w:tcW w:w="1293" w:type="dxa"/>
            <w:noWrap/>
            <w:hideMark/>
          </w:tcPr>
          <w:p w14:paraId="73B78E2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2.4</w:t>
            </w:r>
          </w:p>
        </w:tc>
        <w:tc>
          <w:tcPr>
            <w:tcW w:w="1293" w:type="dxa"/>
            <w:noWrap/>
            <w:hideMark/>
          </w:tcPr>
          <w:p w14:paraId="63D6468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2E5CEF14"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3E4CAF07"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2FC7D46D" w14:textId="77777777" w:rsidTr="00580D45">
        <w:trPr>
          <w:trHeight w:val="290"/>
        </w:trPr>
        <w:tc>
          <w:tcPr>
            <w:tcW w:w="840" w:type="dxa"/>
            <w:noWrap/>
            <w:hideMark/>
          </w:tcPr>
          <w:p w14:paraId="16F6BED0"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2</w:t>
            </w:r>
          </w:p>
        </w:tc>
        <w:tc>
          <w:tcPr>
            <w:tcW w:w="2132" w:type="dxa"/>
            <w:tcBorders>
              <w:top w:val="nil"/>
              <w:left w:val="single" w:sz="4" w:space="0" w:color="auto"/>
              <w:bottom w:val="single" w:sz="4" w:space="0" w:color="auto"/>
              <w:right w:val="single" w:sz="4" w:space="0" w:color="auto"/>
            </w:tcBorders>
            <w:shd w:val="clear" w:color="auto" w:fill="auto"/>
          </w:tcPr>
          <w:p w14:paraId="2C2B6314" w14:textId="1F6EF42F" w:rsidR="00B7452B" w:rsidRPr="00A94043" w:rsidRDefault="00B7452B" w:rsidP="00B7452B">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1302E80A" w14:textId="0706D523"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718C7D2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35A94F5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3B560CF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6F3CD87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0C4A356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15EFDCA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2DF1C964"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374A3661" w14:textId="77777777" w:rsidTr="00580D45">
        <w:trPr>
          <w:trHeight w:val="290"/>
        </w:trPr>
        <w:tc>
          <w:tcPr>
            <w:tcW w:w="840" w:type="dxa"/>
            <w:noWrap/>
            <w:hideMark/>
          </w:tcPr>
          <w:p w14:paraId="202D1DEF"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3</w:t>
            </w:r>
          </w:p>
        </w:tc>
        <w:tc>
          <w:tcPr>
            <w:tcW w:w="2132" w:type="dxa"/>
            <w:tcBorders>
              <w:top w:val="nil"/>
              <w:left w:val="single" w:sz="4" w:space="0" w:color="auto"/>
              <w:bottom w:val="single" w:sz="4" w:space="0" w:color="auto"/>
              <w:right w:val="single" w:sz="4" w:space="0" w:color="auto"/>
            </w:tcBorders>
            <w:shd w:val="clear" w:color="auto" w:fill="auto"/>
          </w:tcPr>
          <w:p w14:paraId="5922BC2A" w14:textId="7E9A7222" w:rsidR="00B7452B" w:rsidRPr="00A94043" w:rsidRDefault="00B7452B" w:rsidP="00B7452B">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7DE22679" w14:textId="1784B50F"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67EAE93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3A00D2B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CA1A9F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7102A55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0D8D424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7F33C76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007583B4"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243D7435" w14:textId="77777777" w:rsidTr="00580D45">
        <w:trPr>
          <w:trHeight w:val="290"/>
        </w:trPr>
        <w:tc>
          <w:tcPr>
            <w:tcW w:w="840" w:type="dxa"/>
            <w:noWrap/>
            <w:hideMark/>
          </w:tcPr>
          <w:p w14:paraId="3515049A"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4</w:t>
            </w:r>
          </w:p>
        </w:tc>
        <w:tc>
          <w:tcPr>
            <w:tcW w:w="2132" w:type="dxa"/>
            <w:tcBorders>
              <w:top w:val="nil"/>
              <w:left w:val="single" w:sz="4" w:space="0" w:color="auto"/>
              <w:bottom w:val="single" w:sz="4" w:space="0" w:color="auto"/>
              <w:right w:val="single" w:sz="4" w:space="0" w:color="auto"/>
            </w:tcBorders>
            <w:shd w:val="clear" w:color="auto" w:fill="auto"/>
          </w:tcPr>
          <w:p w14:paraId="31FE4AEE" w14:textId="06197200" w:rsidR="00B7452B" w:rsidRPr="00A94043" w:rsidRDefault="00B7452B" w:rsidP="00B7452B">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025E5354" w14:textId="24998E8C"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77AF66A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1F01E3CC"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268CCC7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028CFCC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75C90D77"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3D16858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240D1077"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748611C2" w14:textId="77777777" w:rsidTr="00580D45">
        <w:trPr>
          <w:trHeight w:val="290"/>
        </w:trPr>
        <w:tc>
          <w:tcPr>
            <w:tcW w:w="840" w:type="dxa"/>
            <w:noWrap/>
            <w:hideMark/>
          </w:tcPr>
          <w:p w14:paraId="649FD9F6"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5</w:t>
            </w:r>
          </w:p>
        </w:tc>
        <w:tc>
          <w:tcPr>
            <w:tcW w:w="2132" w:type="dxa"/>
            <w:tcBorders>
              <w:top w:val="nil"/>
              <w:left w:val="single" w:sz="4" w:space="0" w:color="auto"/>
              <w:bottom w:val="single" w:sz="4" w:space="0" w:color="auto"/>
              <w:right w:val="single" w:sz="4" w:space="0" w:color="auto"/>
            </w:tcBorders>
            <w:shd w:val="clear" w:color="auto" w:fill="auto"/>
          </w:tcPr>
          <w:p w14:paraId="614A18C6" w14:textId="19370FFE" w:rsidR="00B7452B" w:rsidRPr="00A94043" w:rsidRDefault="00B7452B" w:rsidP="00B7452B">
            <w:pPr>
              <w:pStyle w:val="NoSpacing"/>
              <w:rPr>
                <w:rFonts w:asciiTheme="minorHAnsi" w:hAnsiTheme="minorHAnsi" w:cstheme="minorHAnsi"/>
              </w:rPr>
            </w:pPr>
            <w:r w:rsidRPr="00A94043">
              <w:rPr>
                <w:rFonts w:cs="Calibri"/>
                <w:color w:val="000000"/>
                <w:szCs w:val="22"/>
              </w:rPr>
              <w:t>Gas Space Heater</w:t>
            </w:r>
          </w:p>
        </w:tc>
        <w:tc>
          <w:tcPr>
            <w:tcW w:w="1292" w:type="dxa"/>
            <w:noWrap/>
            <w:hideMark/>
          </w:tcPr>
          <w:p w14:paraId="6379A1DC" w14:textId="038D5D8A"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C43598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ECF4DE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2.5</w:t>
            </w:r>
          </w:p>
        </w:tc>
        <w:tc>
          <w:tcPr>
            <w:tcW w:w="1293" w:type="dxa"/>
            <w:noWrap/>
            <w:hideMark/>
          </w:tcPr>
          <w:p w14:paraId="01EBEB3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80.6%</w:t>
            </w:r>
          </w:p>
        </w:tc>
        <w:tc>
          <w:tcPr>
            <w:tcW w:w="1293" w:type="dxa"/>
            <w:noWrap/>
            <w:hideMark/>
          </w:tcPr>
          <w:p w14:paraId="52AC3A9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0.4</w:t>
            </w:r>
          </w:p>
        </w:tc>
        <w:tc>
          <w:tcPr>
            <w:tcW w:w="1293" w:type="dxa"/>
            <w:noWrap/>
            <w:hideMark/>
          </w:tcPr>
          <w:p w14:paraId="3451360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2A92CD1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5CD1B7D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00470599" w14:textId="77777777" w:rsidTr="00580D45">
        <w:trPr>
          <w:trHeight w:val="290"/>
        </w:trPr>
        <w:tc>
          <w:tcPr>
            <w:tcW w:w="840" w:type="dxa"/>
            <w:noWrap/>
            <w:hideMark/>
          </w:tcPr>
          <w:p w14:paraId="56644632"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6</w:t>
            </w:r>
          </w:p>
        </w:tc>
        <w:tc>
          <w:tcPr>
            <w:tcW w:w="2132" w:type="dxa"/>
            <w:tcBorders>
              <w:top w:val="nil"/>
              <w:left w:val="single" w:sz="4" w:space="0" w:color="auto"/>
              <w:bottom w:val="single" w:sz="4" w:space="0" w:color="auto"/>
              <w:right w:val="single" w:sz="4" w:space="0" w:color="auto"/>
            </w:tcBorders>
            <w:shd w:val="clear" w:color="auto" w:fill="auto"/>
          </w:tcPr>
          <w:p w14:paraId="4B72BB61" w14:textId="706D3A45" w:rsidR="00B7452B" w:rsidRPr="00A94043" w:rsidRDefault="00B7452B" w:rsidP="00B7452B">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5FE5DCC8" w14:textId="72A5531F"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1053BEB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77C87F6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3.03</w:t>
            </w:r>
          </w:p>
        </w:tc>
        <w:tc>
          <w:tcPr>
            <w:tcW w:w="1293" w:type="dxa"/>
            <w:noWrap/>
            <w:hideMark/>
          </w:tcPr>
          <w:p w14:paraId="61CD1F42"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66.1%</w:t>
            </w:r>
          </w:p>
        </w:tc>
        <w:tc>
          <w:tcPr>
            <w:tcW w:w="1293" w:type="dxa"/>
            <w:noWrap/>
            <w:hideMark/>
          </w:tcPr>
          <w:p w14:paraId="15351CB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w:t>
            </w:r>
          </w:p>
        </w:tc>
        <w:tc>
          <w:tcPr>
            <w:tcW w:w="1293" w:type="dxa"/>
            <w:noWrap/>
            <w:hideMark/>
          </w:tcPr>
          <w:p w14:paraId="319A737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0D4D5D4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6C01131C"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0A3B1D23" w14:textId="77777777" w:rsidTr="00580D45">
        <w:trPr>
          <w:trHeight w:val="290"/>
        </w:trPr>
        <w:tc>
          <w:tcPr>
            <w:tcW w:w="840" w:type="dxa"/>
            <w:noWrap/>
            <w:hideMark/>
          </w:tcPr>
          <w:p w14:paraId="3FAE6BC4"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7</w:t>
            </w:r>
          </w:p>
        </w:tc>
        <w:tc>
          <w:tcPr>
            <w:tcW w:w="2132" w:type="dxa"/>
            <w:tcBorders>
              <w:top w:val="nil"/>
              <w:left w:val="single" w:sz="4" w:space="0" w:color="auto"/>
              <w:bottom w:val="single" w:sz="4" w:space="0" w:color="auto"/>
              <w:right w:val="single" w:sz="4" w:space="0" w:color="auto"/>
            </w:tcBorders>
            <w:shd w:val="clear" w:color="auto" w:fill="auto"/>
          </w:tcPr>
          <w:p w14:paraId="7D00821A" w14:textId="5CF47002" w:rsidR="00B7452B" w:rsidRPr="00A94043" w:rsidRDefault="004F1D54" w:rsidP="00B7452B">
            <w:pPr>
              <w:pStyle w:val="NoSpacing"/>
              <w:rPr>
                <w:rFonts w:asciiTheme="minorHAnsi" w:hAnsiTheme="minorHAnsi" w:cstheme="minorHAnsi"/>
              </w:rPr>
            </w:pPr>
            <w:r>
              <w:rPr>
                <w:rFonts w:cs="Calibri"/>
                <w:color w:val="000000"/>
                <w:szCs w:val="22"/>
              </w:rPr>
              <w:t xml:space="preserve">Gas </w:t>
            </w:r>
            <w:r w:rsidR="00B7452B" w:rsidRPr="00A94043">
              <w:rPr>
                <w:rFonts w:cs="Calibri"/>
                <w:color w:val="000000"/>
                <w:szCs w:val="22"/>
              </w:rPr>
              <w:t>Decorative App.</w:t>
            </w:r>
          </w:p>
        </w:tc>
        <w:tc>
          <w:tcPr>
            <w:tcW w:w="1292" w:type="dxa"/>
            <w:noWrap/>
            <w:hideMark/>
          </w:tcPr>
          <w:p w14:paraId="216905FD" w14:textId="0B8B6078"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55177D3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012BC40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4.4</w:t>
            </w:r>
          </w:p>
        </w:tc>
        <w:tc>
          <w:tcPr>
            <w:tcW w:w="1293" w:type="dxa"/>
            <w:noWrap/>
            <w:hideMark/>
          </w:tcPr>
          <w:p w14:paraId="070C35F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45.8%</w:t>
            </w:r>
          </w:p>
        </w:tc>
        <w:tc>
          <w:tcPr>
            <w:tcW w:w="1293" w:type="dxa"/>
            <w:noWrap/>
            <w:hideMark/>
          </w:tcPr>
          <w:p w14:paraId="7A7EC3A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0.4</w:t>
            </w:r>
          </w:p>
        </w:tc>
        <w:tc>
          <w:tcPr>
            <w:tcW w:w="1293" w:type="dxa"/>
            <w:noWrap/>
            <w:hideMark/>
          </w:tcPr>
          <w:p w14:paraId="6C25E11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0438D66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1385AC9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2612</w:t>
            </w:r>
          </w:p>
        </w:tc>
      </w:tr>
      <w:tr w:rsidR="00B7452B" w:rsidRPr="00A94043" w14:paraId="03941F5C" w14:textId="77777777" w:rsidTr="00292A9F">
        <w:trPr>
          <w:trHeight w:val="234"/>
        </w:trPr>
        <w:tc>
          <w:tcPr>
            <w:tcW w:w="840" w:type="dxa"/>
            <w:noWrap/>
            <w:hideMark/>
          </w:tcPr>
          <w:p w14:paraId="62B1D518"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8</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7BD9CFE" w14:textId="1A52CD4D" w:rsidR="00B7452B" w:rsidRPr="00A94043" w:rsidRDefault="00292A9F" w:rsidP="00B7452B">
            <w:pPr>
              <w:pStyle w:val="NoSpacing"/>
              <w:rPr>
                <w:rFonts w:asciiTheme="minorHAnsi" w:hAnsiTheme="minorHAnsi" w:cstheme="minorHAnsi"/>
              </w:rPr>
            </w:pPr>
            <w:r>
              <w:rPr>
                <w:rFonts w:cs="Calibri"/>
                <w:color w:val="000000"/>
                <w:szCs w:val="22"/>
              </w:rPr>
              <w:t>AC</w:t>
            </w:r>
            <w:r w:rsidR="00F367F9">
              <w:rPr>
                <w:rFonts w:cs="Calibri"/>
                <w:color w:val="000000"/>
                <w:szCs w:val="22"/>
              </w:rPr>
              <w:fldChar w:fldCharType="begin"/>
            </w:r>
            <w:r w:rsidR="00F367F9">
              <w:rPr>
                <w:rFonts w:cs="Calibri"/>
                <w:color w:val="000000"/>
                <w:szCs w:val="22"/>
              </w:rPr>
              <w:instrText xml:space="preserve"> NOTEREF _Ref171947054 \h </w:instrText>
            </w:r>
            <w:r w:rsidR="00F367F9">
              <w:rPr>
                <w:rFonts w:cs="Calibri"/>
                <w:color w:val="000000"/>
                <w:szCs w:val="22"/>
              </w:rPr>
            </w:r>
            <w:r w:rsidR="00F367F9">
              <w:rPr>
                <w:rFonts w:cs="Calibri"/>
                <w:color w:val="000000"/>
                <w:szCs w:val="22"/>
              </w:rPr>
              <w:fldChar w:fldCharType="separate"/>
            </w:r>
            <w:r w:rsidR="007068DD" w:rsidRPr="007068DD">
              <w:t>◊</w:t>
            </w:r>
            <w:r w:rsidR="00F367F9">
              <w:rPr>
                <w:rFonts w:cs="Calibri"/>
                <w:color w:val="000000"/>
                <w:szCs w:val="22"/>
              </w:rPr>
              <w:fldChar w:fldCharType="end"/>
            </w:r>
            <w:r w:rsidR="00B7452B" w:rsidRPr="006C493E">
              <w:rPr>
                <w:rFonts w:cs="Calibri"/>
                <w:color w:val="000000"/>
                <w:szCs w:val="22"/>
                <w:vertAlign w:val="superscript"/>
              </w:rPr>
              <w:t xml:space="preserve"> </w:t>
            </w:r>
            <w:r w:rsidR="00B7452B" w:rsidRPr="00A94043">
              <w:rPr>
                <w:rFonts w:cs="Calibri"/>
                <w:color w:val="000000"/>
                <w:szCs w:val="22"/>
              </w:rPr>
              <w:t>(Non-ducted)</w:t>
            </w:r>
          </w:p>
        </w:tc>
        <w:tc>
          <w:tcPr>
            <w:tcW w:w="1292" w:type="dxa"/>
            <w:noWrap/>
            <w:hideMark/>
          </w:tcPr>
          <w:p w14:paraId="5B48E850" w14:textId="178C2D96"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hideMark/>
          </w:tcPr>
          <w:p w14:paraId="170522CD" w14:textId="342CE296"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5.7, 6.5</w:t>
            </w:r>
          </w:p>
        </w:tc>
        <w:tc>
          <w:tcPr>
            <w:tcW w:w="1293" w:type="dxa"/>
            <w:noWrap/>
            <w:hideMark/>
          </w:tcPr>
          <w:p w14:paraId="3B14CED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1.8</w:t>
            </w:r>
          </w:p>
        </w:tc>
        <w:tc>
          <w:tcPr>
            <w:tcW w:w="1293" w:type="dxa"/>
            <w:noWrap/>
            <w:hideMark/>
          </w:tcPr>
          <w:p w14:paraId="2850DD90" w14:textId="2A0F84EB" w:rsidR="00B7452B" w:rsidRPr="00A94043" w:rsidRDefault="00AC2179" w:rsidP="00B7452B">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90</w:t>
            </w:r>
            <w:r w:rsidR="00B7452B" w:rsidRPr="00A94043">
              <w:rPr>
                <w:rFonts w:asciiTheme="minorHAnsi" w:hAnsiTheme="minorHAnsi" w:cstheme="minorHAnsi"/>
              </w:rPr>
              <w:t>%</w:t>
            </w:r>
          </w:p>
        </w:tc>
        <w:tc>
          <w:tcPr>
            <w:tcW w:w="1293" w:type="dxa"/>
            <w:noWrap/>
            <w:hideMark/>
          </w:tcPr>
          <w:p w14:paraId="415098A8"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4.9</w:t>
            </w:r>
          </w:p>
        </w:tc>
        <w:tc>
          <w:tcPr>
            <w:tcW w:w="1293" w:type="dxa"/>
            <w:noWrap/>
            <w:hideMark/>
          </w:tcPr>
          <w:p w14:paraId="4BFD397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4C92CBF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36A8C4D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9141</w:t>
            </w:r>
          </w:p>
        </w:tc>
      </w:tr>
      <w:tr w:rsidR="00B7452B" w:rsidRPr="00A94043" w14:paraId="3C3CA2EF" w14:textId="77777777" w:rsidTr="00292A9F">
        <w:trPr>
          <w:trHeight w:val="268"/>
        </w:trPr>
        <w:tc>
          <w:tcPr>
            <w:tcW w:w="840" w:type="dxa"/>
            <w:noWrap/>
            <w:hideMark/>
          </w:tcPr>
          <w:p w14:paraId="6483C930"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9</w:t>
            </w:r>
          </w:p>
        </w:tc>
        <w:tc>
          <w:tcPr>
            <w:tcW w:w="2132" w:type="dxa"/>
            <w:tcBorders>
              <w:top w:val="nil"/>
              <w:left w:val="single" w:sz="4" w:space="0" w:color="auto"/>
              <w:bottom w:val="single" w:sz="4" w:space="0" w:color="auto"/>
              <w:right w:val="single" w:sz="4" w:space="0" w:color="auto"/>
            </w:tcBorders>
            <w:shd w:val="clear" w:color="auto" w:fill="auto"/>
          </w:tcPr>
          <w:p w14:paraId="762E3972" w14:textId="52BC9CDA" w:rsidR="00B7452B" w:rsidRPr="00A94043" w:rsidRDefault="00B7452B" w:rsidP="00B7452B">
            <w:pPr>
              <w:pStyle w:val="NoSpacing"/>
              <w:rPr>
                <w:rFonts w:asciiTheme="minorHAnsi" w:hAnsiTheme="minorHAnsi" w:cstheme="minorHAnsi"/>
              </w:rPr>
            </w:pPr>
            <w:r w:rsidRPr="00A94043">
              <w:rPr>
                <w:rFonts w:cs="Calibri"/>
                <w:color w:val="000000"/>
                <w:szCs w:val="22"/>
              </w:rPr>
              <w:t xml:space="preserve">Ducted </w:t>
            </w:r>
            <w:r w:rsidR="00292A9F">
              <w:rPr>
                <w:rFonts w:cs="Calibri"/>
                <w:color w:val="000000"/>
                <w:szCs w:val="22"/>
              </w:rPr>
              <w:t>AC</w:t>
            </w:r>
            <w:r w:rsidR="00F367F9" w:rsidRPr="00AC7AEC">
              <w:rPr>
                <w:rFonts w:cs="Calibri"/>
                <w:color w:val="000000"/>
                <w:szCs w:val="22"/>
                <w:vertAlign w:val="superscript"/>
              </w:rPr>
              <w:fldChar w:fldCharType="begin"/>
            </w:r>
            <w:r w:rsidR="00F367F9" w:rsidRPr="00AC7AEC">
              <w:rPr>
                <w:rFonts w:cs="Calibri"/>
                <w:color w:val="000000"/>
                <w:szCs w:val="22"/>
                <w:vertAlign w:val="superscript"/>
              </w:rPr>
              <w:instrText xml:space="preserve"> NOTEREF _Ref171947054 \h </w:instrText>
            </w:r>
            <w:r w:rsidR="00F367F9" w:rsidRPr="00AC7AEC">
              <w:rPr>
                <w:rFonts w:cs="Calibri"/>
                <w:color w:val="000000"/>
                <w:szCs w:val="22"/>
                <w:vertAlign w:val="superscript"/>
              </w:rPr>
            </w:r>
            <w:r w:rsidR="00F367F9" w:rsidRPr="00AC7AEC">
              <w:rPr>
                <w:rFonts w:cs="Calibri"/>
                <w:color w:val="000000"/>
                <w:szCs w:val="22"/>
                <w:vertAlign w:val="superscript"/>
              </w:rPr>
              <w:fldChar w:fldCharType="separate"/>
            </w:r>
            <w:r w:rsidR="007068DD" w:rsidRPr="007068DD">
              <w:t>◊</w:t>
            </w:r>
            <w:r w:rsidR="00F367F9" w:rsidRPr="00AC7AEC">
              <w:rPr>
                <w:rFonts w:cs="Calibri"/>
                <w:color w:val="000000"/>
                <w:szCs w:val="22"/>
                <w:vertAlign w:val="superscript"/>
              </w:rPr>
              <w:fldChar w:fldCharType="end"/>
            </w:r>
          </w:p>
        </w:tc>
        <w:tc>
          <w:tcPr>
            <w:tcW w:w="1292" w:type="dxa"/>
            <w:noWrap/>
            <w:hideMark/>
          </w:tcPr>
          <w:p w14:paraId="2ECA1C31" w14:textId="403CC3BE"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hideMark/>
          </w:tcPr>
          <w:p w14:paraId="1AA850E8" w14:textId="0614F4B3"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5.7, 6.5</w:t>
            </w:r>
          </w:p>
        </w:tc>
        <w:tc>
          <w:tcPr>
            <w:tcW w:w="1293" w:type="dxa"/>
            <w:noWrap/>
            <w:hideMark/>
          </w:tcPr>
          <w:p w14:paraId="4634843C"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1.8</w:t>
            </w:r>
          </w:p>
        </w:tc>
        <w:tc>
          <w:tcPr>
            <w:tcW w:w="1293" w:type="dxa"/>
            <w:noWrap/>
            <w:hideMark/>
          </w:tcPr>
          <w:p w14:paraId="67C1D53A" w14:textId="50DC0481" w:rsidR="00B7452B" w:rsidRPr="00A94043" w:rsidRDefault="00AC2179" w:rsidP="00B7452B">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88</w:t>
            </w:r>
            <w:r w:rsidR="00B7452B" w:rsidRPr="00A94043">
              <w:rPr>
                <w:rFonts w:asciiTheme="minorHAnsi" w:hAnsiTheme="minorHAnsi" w:cstheme="minorHAnsi"/>
              </w:rPr>
              <w:t>%</w:t>
            </w:r>
          </w:p>
        </w:tc>
        <w:tc>
          <w:tcPr>
            <w:tcW w:w="1293" w:type="dxa"/>
            <w:noWrap/>
            <w:hideMark/>
          </w:tcPr>
          <w:p w14:paraId="121DED5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12.1</w:t>
            </w:r>
          </w:p>
        </w:tc>
        <w:tc>
          <w:tcPr>
            <w:tcW w:w="1293" w:type="dxa"/>
            <w:noWrap/>
            <w:hideMark/>
          </w:tcPr>
          <w:p w14:paraId="2126B8D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658EA7BC"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2CC5D30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9141</w:t>
            </w:r>
          </w:p>
        </w:tc>
      </w:tr>
      <w:tr w:rsidR="00B7452B" w:rsidRPr="00A94043" w14:paraId="5CAB69E3" w14:textId="77777777" w:rsidTr="00580D45">
        <w:trPr>
          <w:trHeight w:val="290"/>
        </w:trPr>
        <w:tc>
          <w:tcPr>
            <w:tcW w:w="840" w:type="dxa"/>
            <w:noWrap/>
            <w:hideMark/>
          </w:tcPr>
          <w:p w14:paraId="7D436EEE"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10</w:t>
            </w:r>
          </w:p>
        </w:tc>
        <w:tc>
          <w:tcPr>
            <w:tcW w:w="2132" w:type="dxa"/>
            <w:tcBorders>
              <w:top w:val="nil"/>
              <w:left w:val="single" w:sz="4" w:space="0" w:color="auto"/>
              <w:bottom w:val="single" w:sz="4" w:space="0" w:color="auto"/>
              <w:right w:val="single" w:sz="4" w:space="0" w:color="auto"/>
            </w:tcBorders>
            <w:shd w:val="clear" w:color="auto" w:fill="auto"/>
          </w:tcPr>
          <w:p w14:paraId="5B149DCD" w14:textId="190C0929" w:rsidR="00B7452B" w:rsidRPr="00A94043" w:rsidRDefault="00B7452B" w:rsidP="00B7452B">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1F03A4F0" w14:textId="665EBA0E"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69DB440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1BCEC81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66E00A7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3BFED38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w:t>
            </w:r>
          </w:p>
        </w:tc>
        <w:tc>
          <w:tcPr>
            <w:tcW w:w="1293" w:type="dxa"/>
            <w:noWrap/>
            <w:hideMark/>
          </w:tcPr>
          <w:p w14:paraId="3A05700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7DA8A1A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494E51F8"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9141</w:t>
            </w:r>
          </w:p>
        </w:tc>
      </w:tr>
      <w:tr w:rsidR="00B7452B" w:rsidRPr="00A94043" w14:paraId="0EC78562" w14:textId="77777777" w:rsidTr="00580D45">
        <w:trPr>
          <w:trHeight w:val="290"/>
        </w:trPr>
        <w:tc>
          <w:tcPr>
            <w:tcW w:w="840" w:type="dxa"/>
            <w:noWrap/>
            <w:hideMark/>
          </w:tcPr>
          <w:p w14:paraId="370A1EA7"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11</w:t>
            </w:r>
          </w:p>
        </w:tc>
        <w:tc>
          <w:tcPr>
            <w:tcW w:w="2132" w:type="dxa"/>
            <w:tcBorders>
              <w:top w:val="nil"/>
              <w:left w:val="single" w:sz="4" w:space="0" w:color="auto"/>
              <w:bottom w:val="single" w:sz="4" w:space="0" w:color="auto"/>
              <w:right w:val="single" w:sz="4" w:space="0" w:color="auto"/>
            </w:tcBorders>
            <w:shd w:val="clear" w:color="auto" w:fill="auto"/>
          </w:tcPr>
          <w:p w14:paraId="503837A8" w14:textId="7DC82862" w:rsidR="00B7452B" w:rsidRPr="00A94043" w:rsidRDefault="00B7452B" w:rsidP="00B7452B">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1A46C9CE" w14:textId="40F69ED5"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28B8B53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510C9622"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6AE8750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72DFB11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w:t>
            </w:r>
          </w:p>
        </w:tc>
        <w:tc>
          <w:tcPr>
            <w:tcW w:w="1293" w:type="dxa"/>
            <w:noWrap/>
            <w:hideMark/>
          </w:tcPr>
          <w:p w14:paraId="0A98B35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1F23F1A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40FB967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9141</w:t>
            </w:r>
          </w:p>
        </w:tc>
      </w:tr>
      <w:tr w:rsidR="00B7452B" w:rsidRPr="00A94043" w14:paraId="5D51C179" w14:textId="77777777" w:rsidTr="00580D45">
        <w:trPr>
          <w:trHeight w:val="290"/>
        </w:trPr>
        <w:tc>
          <w:tcPr>
            <w:tcW w:w="840" w:type="dxa"/>
            <w:noWrap/>
            <w:hideMark/>
          </w:tcPr>
          <w:p w14:paraId="1754BEA5"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12</w:t>
            </w:r>
          </w:p>
        </w:tc>
        <w:tc>
          <w:tcPr>
            <w:tcW w:w="2132" w:type="dxa"/>
            <w:tcBorders>
              <w:top w:val="nil"/>
              <w:left w:val="single" w:sz="4" w:space="0" w:color="auto"/>
              <w:bottom w:val="single" w:sz="4" w:space="0" w:color="auto"/>
              <w:right w:val="single" w:sz="4" w:space="0" w:color="auto"/>
            </w:tcBorders>
            <w:shd w:val="clear" w:color="auto" w:fill="auto"/>
          </w:tcPr>
          <w:p w14:paraId="22477DB2" w14:textId="02C2242D" w:rsidR="00B7452B" w:rsidRPr="00A94043" w:rsidRDefault="00B7452B" w:rsidP="00B7452B">
            <w:pPr>
              <w:pStyle w:val="NoSpacing"/>
              <w:rPr>
                <w:rFonts w:asciiTheme="minorHAnsi" w:hAnsiTheme="minorHAnsi" w:cstheme="minorHAnsi"/>
              </w:rPr>
            </w:pPr>
            <w:r w:rsidRPr="00A94043">
              <w:rPr>
                <w:rFonts w:cs="Calibri"/>
                <w:color w:val="000000"/>
                <w:szCs w:val="22"/>
              </w:rPr>
              <w:t>Gas Space Heater</w:t>
            </w:r>
          </w:p>
        </w:tc>
        <w:tc>
          <w:tcPr>
            <w:tcW w:w="1292" w:type="dxa"/>
            <w:noWrap/>
            <w:hideMark/>
          </w:tcPr>
          <w:p w14:paraId="292282B4" w14:textId="17BBFF8D"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2BFD072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25088C9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8.9</w:t>
            </w:r>
          </w:p>
        </w:tc>
        <w:tc>
          <w:tcPr>
            <w:tcW w:w="1293" w:type="dxa"/>
            <w:noWrap/>
            <w:hideMark/>
          </w:tcPr>
          <w:p w14:paraId="5405FE0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78.6%</w:t>
            </w:r>
          </w:p>
        </w:tc>
        <w:tc>
          <w:tcPr>
            <w:tcW w:w="1293" w:type="dxa"/>
            <w:noWrap/>
            <w:hideMark/>
          </w:tcPr>
          <w:p w14:paraId="04F0355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0.7</w:t>
            </w:r>
          </w:p>
        </w:tc>
        <w:tc>
          <w:tcPr>
            <w:tcW w:w="1293" w:type="dxa"/>
            <w:noWrap/>
            <w:hideMark/>
          </w:tcPr>
          <w:p w14:paraId="0E3AB3F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7D175D3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045F768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9141</w:t>
            </w:r>
          </w:p>
        </w:tc>
      </w:tr>
      <w:tr w:rsidR="00B7452B" w:rsidRPr="00A94043" w14:paraId="7ED84A7F" w14:textId="77777777" w:rsidTr="00580D45">
        <w:trPr>
          <w:trHeight w:val="290"/>
        </w:trPr>
        <w:tc>
          <w:tcPr>
            <w:tcW w:w="840" w:type="dxa"/>
            <w:noWrap/>
            <w:hideMark/>
          </w:tcPr>
          <w:p w14:paraId="247828E8"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13</w:t>
            </w:r>
          </w:p>
        </w:tc>
        <w:tc>
          <w:tcPr>
            <w:tcW w:w="2132" w:type="dxa"/>
            <w:tcBorders>
              <w:top w:val="nil"/>
              <w:left w:val="single" w:sz="4" w:space="0" w:color="auto"/>
              <w:bottom w:val="single" w:sz="4" w:space="0" w:color="auto"/>
              <w:right w:val="single" w:sz="4" w:space="0" w:color="auto"/>
            </w:tcBorders>
            <w:shd w:val="clear" w:color="auto" w:fill="auto"/>
          </w:tcPr>
          <w:p w14:paraId="46DEC6AB" w14:textId="6CF28D77" w:rsidR="00B7452B" w:rsidRPr="00A94043" w:rsidRDefault="00B7452B" w:rsidP="00B7452B">
            <w:pPr>
              <w:pStyle w:val="NoSpacing"/>
              <w:rPr>
                <w:rFonts w:asciiTheme="minorHAnsi" w:hAnsiTheme="minorHAnsi" w:cstheme="minorHAnsi"/>
              </w:rPr>
            </w:pPr>
            <w:r w:rsidRPr="00A94043">
              <w:rPr>
                <w:rFonts w:cs="Calibri"/>
                <w:color w:val="000000"/>
                <w:szCs w:val="22"/>
              </w:rPr>
              <w:t>Ducted Gas</w:t>
            </w:r>
          </w:p>
        </w:tc>
        <w:tc>
          <w:tcPr>
            <w:tcW w:w="1292" w:type="dxa"/>
            <w:noWrap/>
            <w:hideMark/>
          </w:tcPr>
          <w:p w14:paraId="30C61FFA" w14:textId="2BADD55B"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3BC58F8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2520732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9.33</w:t>
            </w:r>
          </w:p>
        </w:tc>
        <w:tc>
          <w:tcPr>
            <w:tcW w:w="1293" w:type="dxa"/>
            <w:noWrap/>
            <w:hideMark/>
          </w:tcPr>
          <w:p w14:paraId="68EF8194"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75.0%</w:t>
            </w:r>
          </w:p>
        </w:tc>
        <w:tc>
          <w:tcPr>
            <w:tcW w:w="1293" w:type="dxa"/>
            <w:noWrap/>
            <w:hideMark/>
          </w:tcPr>
          <w:p w14:paraId="474AEAC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201C956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039B649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3802</w:t>
            </w:r>
          </w:p>
        </w:tc>
        <w:tc>
          <w:tcPr>
            <w:tcW w:w="1293" w:type="dxa"/>
            <w:noWrap/>
            <w:hideMark/>
          </w:tcPr>
          <w:p w14:paraId="7B6F7B4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9142</w:t>
            </w:r>
          </w:p>
        </w:tc>
      </w:tr>
      <w:tr w:rsidR="00B7452B" w:rsidRPr="00A94043" w14:paraId="7D6773C1" w14:textId="77777777" w:rsidTr="00580D45">
        <w:trPr>
          <w:trHeight w:val="290"/>
        </w:trPr>
        <w:tc>
          <w:tcPr>
            <w:tcW w:w="840" w:type="dxa"/>
            <w:noWrap/>
            <w:hideMark/>
          </w:tcPr>
          <w:p w14:paraId="4AAEDAE7"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14</w:t>
            </w:r>
          </w:p>
        </w:tc>
        <w:tc>
          <w:tcPr>
            <w:tcW w:w="2132" w:type="dxa"/>
            <w:tcBorders>
              <w:top w:val="nil"/>
              <w:left w:val="single" w:sz="4" w:space="0" w:color="auto"/>
              <w:bottom w:val="single" w:sz="4" w:space="0" w:color="auto"/>
              <w:right w:val="single" w:sz="4" w:space="0" w:color="auto"/>
            </w:tcBorders>
            <w:shd w:val="clear" w:color="auto" w:fill="auto"/>
          </w:tcPr>
          <w:p w14:paraId="07F95A5C" w14:textId="3029F423" w:rsidR="00B7452B" w:rsidRPr="00A94043" w:rsidRDefault="00B7452B" w:rsidP="00B7452B">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3110B7FF" w14:textId="6B787A51"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696F709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733EA76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10.59</w:t>
            </w:r>
          </w:p>
        </w:tc>
        <w:tc>
          <w:tcPr>
            <w:tcW w:w="1293" w:type="dxa"/>
            <w:noWrap/>
            <w:hideMark/>
          </w:tcPr>
          <w:p w14:paraId="45A9A2E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66.1%</w:t>
            </w:r>
          </w:p>
        </w:tc>
        <w:tc>
          <w:tcPr>
            <w:tcW w:w="1293" w:type="dxa"/>
            <w:noWrap/>
            <w:hideMark/>
          </w:tcPr>
          <w:p w14:paraId="17DBCC58"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663AFD92"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001EAD5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33EBF01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9141</w:t>
            </w:r>
          </w:p>
        </w:tc>
      </w:tr>
      <w:tr w:rsidR="00B7452B" w:rsidRPr="00A94043" w14:paraId="4D188C3D" w14:textId="77777777" w:rsidTr="00292A9F">
        <w:trPr>
          <w:trHeight w:val="251"/>
        </w:trPr>
        <w:tc>
          <w:tcPr>
            <w:tcW w:w="840" w:type="dxa"/>
            <w:noWrap/>
            <w:hideMark/>
          </w:tcPr>
          <w:p w14:paraId="552B0144"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15</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08D14F4" w14:textId="7F89A0C9" w:rsidR="00B7452B" w:rsidRPr="00A94043" w:rsidRDefault="00292A9F" w:rsidP="00B7452B">
            <w:pPr>
              <w:pStyle w:val="NoSpacing"/>
              <w:rPr>
                <w:rFonts w:asciiTheme="minorHAnsi" w:hAnsiTheme="minorHAnsi" w:cstheme="minorHAnsi"/>
              </w:rPr>
            </w:pPr>
            <w:r>
              <w:rPr>
                <w:rFonts w:cs="Calibri"/>
                <w:color w:val="000000"/>
                <w:szCs w:val="22"/>
              </w:rPr>
              <w:t>AC</w:t>
            </w:r>
            <w:r w:rsidR="00F367F9" w:rsidRPr="00AC7AEC">
              <w:rPr>
                <w:rFonts w:cs="Calibri"/>
                <w:color w:val="000000"/>
                <w:szCs w:val="22"/>
                <w:vertAlign w:val="superscript"/>
              </w:rPr>
              <w:fldChar w:fldCharType="begin"/>
            </w:r>
            <w:r w:rsidR="00F367F9" w:rsidRPr="00AC7AEC">
              <w:rPr>
                <w:rFonts w:cs="Calibri"/>
                <w:color w:val="000000"/>
                <w:szCs w:val="22"/>
                <w:vertAlign w:val="superscript"/>
              </w:rPr>
              <w:instrText xml:space="preserve"> NOTEREF _Ref171947054 \h </w:instrText>
            </w:r>
            <w:r w:rsidR="00AC7AEC">
              <w:rPr>
                <w:rFonts w:cs="Calibri"/>
                <w:color w:val="000000"/>
                <w:szCs w:val="22"/>
                <w:vertAlign w:val="superscript"/>
              </w:rPr>
              <w:instrText xml:space="preserve"> \* MERGEFORMAT </w:instrText>
            </w:r>
            <w:r w:rsidR="00F367F9" w:rsidRPr="00AC7AEC">
              <w:rPr>
                <w:rFonts w:cs="Calibri"/>
                <w:color w:val="000000"/>
                <w:szCs w:val="22"/>
                <w:vertAlign w:val="superscript"/>
              </w:rPr>
            </w:r>
            <w:r w:rsidR="00F367F9" w:rsidRPr="00AC7AEC">
              <w:rPr>
                <w:rFonts w:cs="Calibri"/>
                <w:color w:val="000000"/>
                <w:szCs w:val="22"/>
                <w:vertAlign w:val="superscript"/>
              </w:rPr>
              <w:fldChar w:fldCharType="separate"/>
            </w:r>
            <w:r w:rsidR="007068DD" w:rsidRPr="007068DD">
              <w:rPr>
                <w:vertAlign w:val="superscript"/>
              </w:rPr>
              <w:t>◊</w:t>
            </w:r>
            <w:r w:rsidR="00F367F9" w:rsidRPr="00AC7AEC">
              <w:rPr>
                <w:rFonts w:cs="Calibri"/>
                <w:color w:val="000000"/>
                <w:szCs w:val="22"/>
                <w:vertAlign w:val="superscript"/>
              </w:rPr>
              <w:fldChar w:fldCharType="end"/>
            </w:r>
            <w:r w:rsidR="00B7452B" w:rsidRPr="00AC7AEC">
              <w:rPr>
                <w:rFonts w:cs="Calibri"/>
                <w:color w:val="000000"/>
                <w:szCs w:val="22"/>
                <w:vertAlign w:val="superscript"/>
              </w:rPr>
              <w:t xml:space="preserve"> </w:t>
            </w:r>
            <w:r w:rsidR="00B7452B" w:rsidRPr="00A94043">
              <w:rPr>
                <w:rFonts w:cs="Calibri"/>
                <w:color w:val="000000"/>
                <w:szCs w:val="22"/>
              </w:rPr>
              <w:t>(Non-ducted)</w:t>
            </w:r>
          </w:p>
        </w:tc>
        <w:tc>
          <w:tcPr>
            <w:tcW w:w="1292" w:type="dxa"/>
            <w:noWrap/>
            <w:hideMark/>
          </w:tcPr>
          <w:p w14:paraId="6DDC6764" w14:textId="040C2250"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hideMark/>
          </w:tcPr>
          <w:p w14:paraId="3B77516D" w14:textId="3F51AD76"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9.8, 10.1</w:t>
            </w:r>
          </w:p>
        </w:tc>
        <w:tc>
          <w:tcPr>
            <w:tcW w:w="1293" w:type="dxa"/>
            <w:noWrap/>
            <w:hideMark/>
          </w:tcPr>
          <w:p w14:paraId="6B7BA43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2.9</w:t>
            </w:r>
          </w:p>
        </w:tc>
        <w:tc>
          <w:tcPr>
            <w:tcW w:w="1293" w:type="dxa"/>
            <w:noWrap/>
            <w:hideMark/>
          </w:tcPr>
          <w:p w14:paraId="015838EA" w14:textId="52CC52BB" w:rsidR="00B7452B" w:rsidRPr="00A94043" w:rsidRDefault="00AC2179" w:rsidP="00B7452B">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91</w:t>
            </w:r>
            <w:r w:rsidR="00B7452B" w:rsidRPr="00A94043">
              <w:rPr>
                <w:rFonts w:asciiTheme="minorHAnsi" w:hAnsiTheme="minorHAnsi" w:cstheme="minorHAnsi"/>
              </w:rPr>
              <w:t>%</w:t>
            </w:r>
          </w:p>
        </w:tc>
        <w:tc>
          <w:tcPr>
            <w:tcW w:w="1293" w:type="dxa"/>
            <w:noWrap/>
            <w:hideMark/>
          </w:tcPr>
          <w:p w14:paraId="308C1597"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19.2</w:t>
            </w:r>
          </w:p>
        </w:tc>
        <w:tc>
          <w:tcPr>
            <w:tcW w:w="1293" w:type="dxa"/>
            <w:noWrap/>
            <w:hideMark/>
          </w:tcPr>
          <w:p w14:paraId="09251E9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701473C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5BAB1384"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15670</w:t>
            </w:r>
          </w:p>
        </w:tc>
      </w:tr>
      <w:tr w:rsidR="00B7452B" w:rsidRPr="00A94043" w14:paraId="264E1562" w14:textId="77777777" w:rsidTr="00AC7AEC">
        <w:trPr>
          <w:trHeight w:val="50"/>
        </w:trPr>
        <w:tc>
          <w:tcPr>
            <w:tcW w:w="840" w:type="dxa"/>
            <w:noWrap/>
            <w:hideMark/>
          </w:tcPr>
          <w:p w14:paraId="41C8DF78"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16</w:t>
            </w:r>
          </w:p>
        </w:tc>
        <w:tc>
          <w:tcPr>
            <w:tcW w:w="2132" w:type="dxa"/>
            <w:tcBorders>
              <w:top w:val="nil"/>
              <w:left w:val="single" w:sz="4" w:space="0" w:color="auto"/>
              <w:bottom w:val="single" w:sz="4" w:space="0" w:color="auto"/>
              <w:right w:val="single" w:sz="4" w:space="0" w:color="auto"/>
            </w:tcBorders>
            <w:shd w:val="clear" w:color="auto" w:fill="auto"/>
          </w:tcPr>
          <w:p w14:paraId="348B3407" w14:textId="5B31CCEB" w:rsidR="00B7452B" w:rsidRPr="00A94043" w:rsidRDefault="00B7452B" w:rsidP="00B7452B">
            <w:pPr>
              <w:pStyle w:val="NoSpacing"/>
              <w:rPr>
                <w:rFonts w:asciiTheme="minorHAnsi" w:hAnsiTheme="minorHAnsi" w:cstheme="minorHAnsi"/>
              </w:rPr>
            </w:pPr>
            <w:r w:rsidRPr="00A94043">
              <w:rPr>
                <w:rFonts w:cs="Calibri"/>
                <w:color w:val="000000"/>
                <w:szCs w:val="22"/>
              </w:rPr>
              <w:t xml:space="preserve">Ducted </w:t>
            </w:r>
            <w:r w:rsidR="00292A9F">
              <w:rPr>
                <w:rFonts w:cs="Calibri"/>
                <w:color w:val="000000"/>
                <w:szCs w:val="22"/>
              </w:rPr>
              <w:t>AC</w:t>
            </w:r>
            <w:r w:rsidR="00F367F9" w:rsidRPr="00AC7AEC">
              <w:rPr>
                <w:rFonts w:cs="Calibri"/>
                <w:color w:val="000000"/>
                <w:szCs w:val="22"/>
                <w:vertAlign w:val="superscript"/>
              </w:rPr>
              <w:fldChar w:fldCharType="begin"/>
            </w:r>
            <w:r w:rsidR="00F367F9" w:rsidRPr="00AC7AEC">
              <w:rPr>
                <w:rFonts w:cs="Calibri"/>
                <w:color w:val="000000"/>
                <w:szCs w:val="22"/>
                <w:vertAlign w:val="superscript"/>
              </w:rPr>
              <w:instrText xml:space="preserve"> NOTEREF _Ref171947054 \h </w:instrText>
            </w:r>
            <w:r w:rsidR="00F367F9" w:rsidRPr="00AC7AEC">
              <w:rPr>
                <w:rFonts w:cs="Calibri"/>
                <w:color w:val="000000"/>
                <w:szCs w:val="22"/>
                <w:vertAlign w:val="superscript"/>
              </w:rPr>
            </w:r>
            <w:r w:rsidR="00F367F9" w:rsidRPr="00AC7AEC">
              <w:rPr>
                <w:rFonts w:cs="Calibri"/>
                <w:color w:val="000000"/>
                <w:szCs w:val="22"/>
                <w:vertAlign w:val="superscript"/>
              </w:rPr>
              <w:fldChar w:fldCharType="separate"/>
            </w:r>
            <w:r w:rsidR="007068DD" w:rsidRPr="007068DD">
              <w:t>◊</w:t>
            </w:r>
            <w:r w:rsidR="00F367F9" w:rsidRPr="00AC7AEC">
              <w:rPr>
                <w:rFonts w:cs="Calibri"/>
                <w:color w:val="000000"/>
                <w:szCs w:val="22"/>
                <w:vertAlign w:val="superscript"/>
              </w:rPr>
              <w:fldChar w:fldCharType="end"/>
            </w:r>
          </w:p>
        </w:tc>
        <w:tc>
          <w:tcPr>
            <w:tcW w:w="1292" w:type="dxa"/>
            <w:noWrap/>
            <w:hideMark/>
          </w:tcPr>
          <w:p w14:paraId="5231DA3B" w14:textId="1F69AFD5"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hideMark/>
          </w:tcPr>
          <w:p w14:paraId="5D8DE8E4" w14:textId="78E93E69"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9.8, 10.0</w:t>
            </w:r>
          </w:p>
        </w:tc>
        <w:tc>
          <w:tcPr>
            <w:tcW w:w="1293" w:type="dxa"/>
            <w:noWrap/>
            <w:hideMark/>
          </w:tcPr>
          <w:p w14:paraId="282C5C67"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3.0</w:t>
            </w:r>
          </w:p>
        </w:tc>
        <w:tc>
          <w:tcPr>
            <w:tcW w:w="1293" w:type="dxa"/>
            <w:noWrap/>
            <w:hideMark/>
          </w:tcPr>
          <w:p w14:paraId="48E1B2A2" w14:textId="7CE90A54" w:rsidR="00B7452B" w:rsidRPr="00A94043" w:rsidRDefault="00AC2179" w:rsidP="00B7452B">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92</w:t>
            </w:r>
            <w:r w:rsidR="00B7452B" w:rsidRPr="00A94043">
              <w:rPr>
                <w:rFonts w:asciiTheme="minorHAnsi" w:hAnsiTheme="minorHAnsi" w:cstheme="minorHAnsi"/>
              </w:rPr>
              <w:t>%</w:t>
            </w:r>
          </w:p>
        </w:tc>
        <w:tc>
          <w:tcPr>
            <w:tcW w:w="1293" w:type="dxa"/>
            <w:noWrap/>
            <w:hideMark/>
          </w:tcPr>
          <w:p w14:paraId="158EDB2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20.7</w:t>
            </w:r>
          </w:p>
        </w:tc>
        <w:tc>
          <w:tcPr>
            <w:tcW w:w="1293" w:type="dxa"/>
            <w:noWrap/>
            <w:hideMark/>
          </w:tcPr>
          <w:p w14:paraId="247B1D8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22285EC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01C965A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15670</w:t>
            </w:r>
          </w:p>
        </w:tc>
      </w:tr>
      <w:tr w:rsidR="00B7452B" w:rsidRPr="00A94043" w14:paraId="3A429E34" w14:textId="77777777" w:rsidTr="00580D45">
        <w:trPr>
          <w:trHeight w:val="290"/>
        </w:trPr>
        <w:tc>
          <w:tcPr>
            <w:tcW w:w="840" w:type="dxa"/>
            <w:noWrap/>
            <w:hideMark/>
          </w:tcPr>
          <w:p w14:paraId="1C97164A"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17</w:t>
            </w:r>
          </w:p>
        </w:tc>
        <w:tc>
          <w:tcPr>
            <w:tcW w:w="2132" w:type="dxa"/>
            <w:tcBorders>
              <w:top w:val="nil"/>
              <w:left w:val="single" w:sz="4" w:space="0" w:color="auto"/>
              <w:bottom w:val="single" w:sz="4" w:space="0" w:color="auto"/>
              <w:right w:val="single" w:sz="4" w:space="0" w:color="auto"/>
            </w:tcBorders>
            <w:shd w:val="clear" w:color="auto" w:fill="auto"/>
            <w:vAlign w:val="bottom"/>
          </w:tcPr>
          <w:p w14:paraId="524C5FA7" w14:textId="05A7B395" w:rsidR="00B7452B" w:rsidRPr="00A94043" w:rsidRDefault="00B7452B" w:rsidP="00B7452B">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6B3EDC83" w14:textId="5B57CC7B"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659E804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0CAD0DC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65F62BC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2FFB9DF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w:t>
            </w:r>
          </w:p>
        </w:tc>
        <w:tc>
          <w:tcPr>
            <w:tcW w:w="1293" w:type="dxa"/>
            <w:noWrap/>
            <w:hideMark/>
          </w:tcPr>
          <w:p w14:paraId="62E7A03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6AFA1A2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17C9F82D"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15670</w:t>
            </w:r>
          </w:p>
        </w:tc>
      </w:tr>
      <w:tr w:rsidR="00B7452B" w:rsidRPr="00A94043" w14:paraId="672B9B1B" w14:textId="77777777" w:rsidTr="00580D45">
        <w:trPr>
          <w:trHeight w:val="290"/>
        </w:trPr>
        <w:tc>
          <w:tcPr>
            <w:tcW w:w="840" w:type="dxa"/>
            <w:noWrap/>
            <w:hideMark/>
          </w:tcPr>
          <w:p w14:paraId="28BC1226"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18</w:t>
            </w:r>
          </w:p>
        </w:tc>
        <w:tc>
          <w:tcPr>
            <w:tcW w:w="2132" w:type="dxa"/>
            <w:tcBorders>
              <w:top w:val="nil"/>
              <w:left w:val="single" w:sz="4" w:space="0" w:color="auto"/>
              <w:bottom w:val="single" w:sz="4" w:space="0" w:color="auto"/>
              <w:right w:val="single" w:sz="4" w:space="0" w:color="auto"/>
            </w:tcBorders>
            <w:shd w:val="clear" w:color="auto" w:fill="auto"/>
            <w:vAlign w:val="bottom"/>
          </w:tcPr>
          <w:p w14:paraId="781F8530" w14:textId="0DA10A7D" w:rsidR="00B7452B" w:rsidRPr="00A94043" w:rsidRDefault="00B7452B" w:rsidP="00B7452B">
            <w:pPr>
              <w:pStyle w:val="NoSpacing"/>
              <w:rPr>
                <w:rFonts w:asciiTheme="minorHAnsi" w:hAnsiTheme="minorHAnsi" w:cstheme="minorHAnsi"/>
              </w:rPr>
            </w:pPr>
            <w:r w:rsidRPr="00A94043">
              <w:rPr>
                <w:rFonts w:cs="Calibri"/>
                <w:color w:val="000000"/>
                <w:szCs w:val="22"/>
              </w:rPr>
              <w:t>Gas Space Heater</w:t>
            </w:r>
          </w:p>
        </w:tc>
        <w:tc>
          <w:tcPr>
            <w:tcW w:w="1292" w:type="dxa"/>
            <w:noWrap/>
            <w:hideMark/>
          </w:tcPr>
          <w:p w14:paraId="52110CCD" w14:textId="56FE62C2"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7324FBD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6CDF8D53"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15.3</w:t>
            </w:r>
          </w:p>
        </w:tc>
        <w:tc>
          <w:tcPr>
            <w:tcW w:w="1293" w:type="dxa"/>
            <w:noWrap/>
            <w:hideMark/>
          </w:tcPr>
          <w:p w14:paraId="573D97F8"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78.6%</w:t>
            </w:r>
          </w:p>
        </w:tc>
        <w:tc>
          <w:tcPr>
            <w:tcW w:w="1293" w:type="dxa"/>
            <w:noWrap/>
            <w:hideMark/>
          </w:tcPr>
          <w:p w14:paraId="70FBF7CE"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0.7</w:t>
            </w:r>
          </w:p>
        </w:tc>
        <w:tc>
          <w:tcPr>
            <w:tcW w:w="1293" w:type="dxa"/>
            <w:noWrap/>
            <w:hideMark/>
          </w:tcPr>
          <w:p w14:paraId="0D5E9D90"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01CF5D6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0B3E115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15669</w:t>
            </w:r>
          </w:p>
        </w:tc>
      </w:tr>
      <w:tr w:rsidR="00B7452B" w:rsidRPr="00A94043" w14:paraId="20808591" w14:textId="77777777" w:rsidTr="00580D45">
        <w:trPr>
          <w:trHeight w:val="290"/>
        </w:trPr>
        <w:tc>
          <w:tcPr>
            <w:tcW w:w="840" w:type="dxa"/>
            <w:noWrap/>
            <w:hideMark/>
          </w:tcPr>
          <w:p w14:paraId="0EEA589B"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19</w:t>
            </w:r>
          </w:p>
        </w:tc>
        <w:tc>
          <w:tcPr>
            <w:tcW w:w="2132" w:type="dxa"/>
            <w:tcBorders>
              <w:top w:val="nil"/>
              <w:left w:val="single" w:sz="4" w:space="0" w:color="auto"/>
              <w:bottom w:val="single" w:sz="4" w:space="0" w:color="auto"/>
              <w:right w:val="single" w:sz="4" w:space="0" w:color="auto"/>
            </w:tcBorders>
            <w:shd w:val="clear" w:color="auto" w:fill="auto"/>
            <w:vAlign w:val="bottom"/>
          </w:tcPr>
          <w:p w14:paraId="420D9B30" w14:textId="761C0917" w:rsidR="00B7452B" w:rsidRPr="00A94043" w:rsidRDefault="00B7452B" w:rsidP="00B7452B">
            <w:pPr>
              <w:pStyle w:val="NoSpacing"/>
              <w:rPr>
                <w:rFonts w:asciiTheme="minorHAnsi" w:hAnsiTheme="minorHAnsi" w:cstheme="minorHAnsi"/>
              </w:rPr>
            </w:pPr>
            <w:r w:rsidRPr="00A94043">
              <w:rPr>
                <w:rFonts w:cs="Calibri"/>
                <w:color w:val="000000"/>
                <w:szCs w:val="22"/>
              </w:rPr>
              <w:t>Ducted Gas</w:t>
            </w:r>
          </w:p>
        </w:tc>
        <w:tc>
          <w:tcPr>
            <w:tcW w:w="1292" w:type="dxa"/>
            <w:noWrap/>
            <w:hideMark/>
          </w:tcPr>
          <w:p w14:paraId="4F55FBE3" w14:textId="6C458509"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30AD1B8B"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7C06626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15.75</w:t>
            </w:r>
          </w:p>
        </w:tc>
        <w:tc>
          <w:tcPr>
            <w:tcW w:w="1293" w:type="dxa"/>
            <w:noWrap/>
            <w:hideMark/>
          </w:tcPr>
          <w:p w14:paraId="1BFB2C58"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75.0%</w:t>
            </w:r>
          </w:p>
        </w:tc>
        <w:tc>
          <w:tcPr>
            <w:tcW w:w="1293" w:type="dxa"/>
            <w:noWrap/>
            <w:hideMark/>
          </w:tcPr>
          <w:p w14:paraId="0DE0F4BA"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0A19455C"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991</w:t>
            </w:r>
          </w:p>
        </w:tc>
        <w:tc>
          <w:tcPr>
            <w:tcW w:w="1293" w:type="dxa"/>
            <w:noWrap/>
            <w:hideMark/>
          </w:tcPr>
          <w:p w14:paraId="0686A05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6416</w:t>
            </w:r>
          </w:p>
        </w:tc>
        <w:tc>
          <w:tcPr>
            <w:tcW w:w="1293" w:type="dxa"/>
            <w:noWrap/>
            <w:hideMark/>
          </w:tcPr>
          <w:p w14:paraId="75C1A26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15429</w:t>
            </w:r>
          </w:p>
        </w:tc>
      </w:tr>
      <w:tr w:rsidR="00B7452B" w:rsidRPr="00A94043" w14:paraId="17A06C87" w14:textId="77777777" w:rsidTr="00580D45">
        <w:trPr>
          <w:trHeight w:val="290"/>
        </w:trPr>
        <w:tc>
          <w:tcPr>
            <w:tcW w:w="840" w:type="dxa"/>
            <w:noWrap/>
            <w:hideMark/>
          </w:tcPr>
          <w:p w14:paraId="7D90C30B" w14:textId="77777777" w:rsidR="00B7452B" w:rsidRPr="00A94043" w:rsidRDefault="00B7452B" w:rsidP="00B7452B">
            <w:pPr>
              <w:pStyle w:val="NoSpacing"/>
              <w:rPr>
                <w:rFonts w:asciiTheme="minorHAnsi" w:hAnsiTheme="minorHAnsi" w:cstheme="minorHAnsi"/>
              </w:rPr>
            </w:pPr>
            <w:r w:rsidRPr="00A94043">
              <w:rPr>
                <w:rFonts w:asciiTheme="minorHAnsi" w:hAnsiTheme="minorHAnsi" w:cstheme="minorHAnsi"/>
              </w:rPr>
              <w:t>20</w:t>
            </w:r>
          </w:p>
        </w:tc>
        <w:tc>
          <w:tcPr>
            <w:tcW w:w="2132" w:type="dxa"/>
            <w:tcBorders>
              <w:top w:val="nil"/>
              <w:left w:val="single" w:sz="4" w:space="0" w:color="auto"/>
              <w:bottom w:val="single" w:sz="4" w:space="0" w:color="auto"/>
              <w:right w:val="single" w:sz="4" w:space="0" w:color="auto"/>
            </w:tcBorders>
            <w:shd w:val="clear" w:color="auto" w:fill="auto"/>
            <w:vAlign w:val="bottom"/>
          </w:tcPr>
          <w:p w14:paraId="7698390D" w14:textId="2C95B397" w:rsidR="00B7452B" w:rsidRPr="00A94043" w:rsidRDefault="00B7452B" w:rsidP="00B7452B">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3597861E" w14:textId="1F07501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1100EFF6"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6C0279A5"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18.46</w:t>
            </w:r>
          </w:p>
        </w:tc>
        <w:tc>
          <w:tcPr>
            <w:tcW w:w="1293" w:type="dxa"/>
            <w:noWrap/>
            <w:hideMark/>
          </w:tcPr>
          <w:p w14:paraId="3601A182"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65.0%</w:t>
            </w:r>
          </w:p>
        </w:tc>
        <w:tc>
          <w:tcPr>
            <w:tcW w:w="1293" w:type="dxa"/>
            <w:noWrap/>
            <w:hideMark/>
          </w:tcPr>
          <w:p w14:paraId="779DC7B9"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0</w:t>
            </w:r>
          </w:p>
        </w:tc>
        <w:tc>
          <w:tcPr>
            <w:tcW w:w="1293" w:type="dxa"/>
            <w:noWrap/>
            <w:hideMark/>
          </w:tcPr>
          <w:p w14:paraId="7B03F9B1"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628EF44F"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213F6207" w14:textId="77777777" w:rsidR="00B7452B" w:rsidRPr="00A94043" w:rsidRDefault="00B7452B" w:rsidP="00B7452B">
            <w:pPr>
              <w:pStyle w:val="NoSpacing"/>
              <w:jc w:val="center"/>
              <w:rPr>
                <w:rFonts w:asciiTheme="minorHAnsi" w:hAnsiTheme="minorHAnsi" w:cstheme="minorHAnsi"/>
              </w:rPr>
            </w:pPr>
            <w:r w:rsidRPr="00A94043">
              <w:rPr>
                <w:rFonts w:asciiTheme="minorHAnsi" w:hAnsiTheme="minorHAnsi" w:cstheme="minorHAnsi"/>
              </w:rPr>
              <w:t>15670</w:t>
            </w:r>
          </w:p>
        </w:tc>
      </w:tr>
    </w:tbl>
    <w:p w14:paraId="52E2FFE6" w14:textId="77777777" w:rsidR="00292A9F" w:rsidRDefault="00292A9F">
      <w:pPr>
        <w:spacing w:after="0" w:line="240" w:lineRule="auto"/>
        <w:rPr>
          <w:rFonts w:asciiTheme="minorHAnsi" w:hAnsiTheme="minorHAnsi" w:cstheme="minorHAnsi"/>
          <w:b/>
          <w:bCs/>
          <w:i/>
          <w:iCs/>
        </w:rPr>
      </w:pPr>
      <w:r>
        <w:rPr>
          <w:rFonts w:asciiTheme="minorHAnsi" w:hAnsiTheme="minorHAnsi" w:cstheme="minorHAnsi"/>
          <w:b/>
          <w:bCs/>
          <w:i/>
          <w:iCs/>
        </w:rPr>
        <w:br w:type="page"/>
      </w:r>
    </w:p>
    <w:p w14:paraId="23847C62" w14:textId="730CF369" w:rsidR="009A1625" w:rsidRPr="00295AEF" w:rsidRDefault="00580D45" w:rsidP="00B7452B">
      <w:pPr>
        <w:pStyle w:val="NoSpacing"/>
        <w:rPr>
          <w:rFonts w:asciiTheme="minorHAnsi" w:hAnsiTheme="minorHAnsi" w:cstheme="minorHAnsi"/>
          <w:b/>
          <w:bCs/>
          <w:i/>
          <w:iCs/>
        </w:rPr>
      </w:pPr>
      <w:r w:rsidRPr="00295AEF">
        <w:rPr>
          <w:rFonts w:asciiTheme="minorHAnsi" w:hAnsiTheme="minorHAnsi" w:cstheme="minorHAnsi"/>
          <w:b/>
          <w:bCs/>
          <w:i/>
          <w:iCs/>
        </w:rPr>
        <w:lastRenderedPageBreak/>
        <w:t>Calculation Results</w:t>
      </w:r>
      <w:r w:rsidR="00295AEF" w:rsidRPr="00295AEF">
        <w:rPr>
          <w:rFonts w:asciiTheme="minorHAnsi" w:hAnsiTheme="minorHAnsi" w:cstheme="minorHAnsi"/>
          <w:b/>
          <w:bCs/>
          <w:i/>
          <w:iCs/>
        </w:rPr>
        <w:t>, continued</w:t>
      </w:r>
      <w:r w:rsidRPr="00295AEF">
        <w:rPr>
          <w:rFonts w:asciiTheme="minorHAnsi" w:hAnsiTheme="minorHAnsi" w:cstheme="minorHAnsi"/>
          <w:b/>
          <w:bCs/>
          <w:i/>
          <w:iCs/>
        </w:rPr>
        <w:t xml:space="preserve"> </w:t>
      </w:r>
    </w:p>
    <w:tbl>
      <w:tblPr>
        <w:tblStyle w:val="TableGrid"/>
        <w:tblW w:w="13312" w:type="dxa"/>
        <w:tblLayout w:type="fixed"/>
        <w:tblLook w:val="04A0" w:firstRow="1" w:lastRow="0" w:firstColumn="1" w:lastColumn="0" w:noHBand="0" w:noVBand="1"/>
      </w:tblPr>
      <w:tblGrid>
        <w:gridCol w:w="959"/>
        <w:gridCol w:w="2059"/>
        <w:gridCol w:w="1715"/>
        <w:gridCol w:w="1716"/>
        <w:gridCol w:w="1716"/>
        <w:gridCol w:w="1715"/>
        <w:gridCol w:w="1716"/>
        <w:gridCol w:w="1716"/>
      </w:tblGrid>
      <w:tr w:rsidR="00580D45" w:rsidRPr="00A94043" w14:paraId="43D769BC" w14:textId="77777777" w:rsidTr="00580D45">
        <w:trPr>
          <w:trHeight w:val="900"/>
        </w:trPr>
        <w:tc>
          <w:tcPr>
            <w:tcW w:w="959" w:type="dxa"/>
            <w:hideMark/>
          </w:tcPr>
          <w:p w14:paraId="3D0317F5" w14:textId="10FB26BB" w:rsidR="00580D45" w:rsidRPr="00A94043" w:rsidRDefault="00580D45" w:rsidP="00580D45">
            <w:pPr>
              <w:pStyle w:val="NoSpacing"/>
              <w:rPr>
                <w:rFonts w:asciiTheme="minorHAnsi" w:hAnsiTheme="minorHAnsi" w:cstheme="minorHAnsi"/>
                <w:b/>
                <w:bCs/>
              </w:rPr>
            </w:pPr>
            <w:r w:rsidRPr="00A94043">
              <w:rPr>
                <w:rFonts w:asciiTheme="minorHAnsi" w:hAnsiTheme="minorHAnsi" w:cstheme="minorHAnsi"/>
                <w:b/>
                <w:bCs/>
              </w:rPr>
              <w:t>Heater Unit</w:t>
            </w:r>
          </w:p>
        </w:tc>
        <w:tc>
          <w:tcPr>
            <w:tcW w:w="2059" w:type="dxa"/>
          </w:tcPr>
          <w:p w14:paraId="7BE20DCB" w14:textId="2CF7E47D"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5" w:type="dxa"/>
            <w:hideMark/>
          </w:tcPr>
          <w:p w14:paraId="3ABAE2C7" w14:textId="50CC2435"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sidR="001D425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HSEC _hot (kWh/y)</w:t>
            </w:r>
          </w:p>
        </w:tc>
        <w:tc>
          <w:tcPr>
            <w:tcW w:w="1716" w:type="dxa"/>
            <w:hideMark/>
          </w:tcPr>
          <w:p w14:paraId="2E9ABECA" w14:textId="095CBA60"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sidR="001D425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HSEC _av</w:t>
            </w:r>
            <w:r>
              <w:rPr>
                <w:rFonts w:asciiTheme="minorHAnsi" w:hAnsiTheme="minorHAnsi" w:cstheme="minorHAnsi"/>
                <w:b/>
                <w:bCs/>
              </w:rPr>
              <w:t>g</w:t>
            </w:r>
            <w:r w:rsidRPr="00A94043">
              <w:rPr>
                <w:rFonts w:asciiTheme="minorHAnsi" w:hAnsiTheme="minorHAnsi" w:cstheme="minorHAnsi"/>
                <w:b/>
                <w:bCs/>
              </w:rPr>
              <w:t xml:space="preserve"> (kWh/y)</w:t>
            </w:r>
          </w:p>
        </w:tc>
        <w:tc>
          <w:tcPr>
            <w:tcW w:w="1716" w:type="dxa"/>
            <w:hideMark/>
          </w:tcPr>
          <w:p w14:paraId="019624B4" w14:textId="63ED1EC4"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sidR="001D425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HSEC _cold (kWh/y)</w:t>
            </w:r>
          </w:p>
        </w:tc>
        <w:tc>
          <w:tcPr>
            <w:tcW w:w="1715" w:type="dxa"/>
            <w:hideMark/>
          </w:tcPr>
          <w:p w14:paraId="780AAE48" w14:textId="535E658C"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sidR="001D425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IAEC _hot (kWh/y)</w:t>
            </w:r>
          </w:p>
        </w:tc>
        <w:tc>
          <w:tcPr>
            <w:tcW w:w="1716" w:type="dxa"/>
            <w:hideMark/>
          </w:tcPr>
          <w:p w14:paraId="4CCCF665" w14:textId="653801FC"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sidR="001D425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IAEC _av</w:t>
            </w:r>
            <w:r>
              <w:rPr>
                <w:rFonts w:asciiTheme="minorHAnsi" w:hAnsiTheme="minorHAnsi" w:cstheme="minorHAnsi"/>
                <w:b/>
                <w:bCs/>
              </w:rPr>
              <w:t>erage</w:t>
            </w:r>
            <w:r w:rsidRPr="00A94043">
              <w:rPr>
                <w:rFonts w:asciiTheme="minorHAnsi" w:hAnsiTheme="minorHAnsi" w:cstheme="minorHAnsi"/>
                <w:b/>
                <w:bCs/>
              </w:rPr>
              <w:t xml:space="preserve"> (kWh/y)</w:t>
            </w:r>
          </w:p>
        </w:tc>
        <w:tc>
          <w:tcPr>
            <w:tcW w:w="1716" w:type="dxa"/>
            <w:hideMark/>
          </w:tcPr>
          <w:p w14:paraId="6E1557D5" w14:textId="5F556C88"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sidR="001D4259">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IAEC _cold (kWh/y)</w:t>
            </w:r>
          </w:p>
        </w:tc>
      </w:tr>
      <w:tr w:rsidR="00580D45" w:rsidRPr="00A94043" w14:paraId="3960A18E" w14:textId="77777777" w:rsidTr="00580D45">
        <w:trPr>
          <w:trHeight w:val="289"/>
        </w:trPr>
        <w:tc>
          <w:tcPr>
            <w:tcW w:w="959" w:type="dxa"/>
            <w:noWrap/>
            <w:hideMark/>
          </w:tcPr>
          <w:p w14:paraId="3A0025BE"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w:t>
            </w:r>
          </w:p>
        </w:tc>
        <w:tc>
          <w:tcPr>
            <w:tcW w:w="2059" w:type="dxa"/>
          </w:tcPr>
          <w:p w14:paraId="47CBA5FE" w14:textId="77490A59" w:rsidR="00580D45" w:rsidRPr="00A94043" w:rsidRDefault="009A74D9" w:rsidP="00580D45">
            <w:pPr>
              <w:pStyle w:val="NoSpacing"/>
              <w:jc w:val="center"/>
              <w:rPr>
                <w:rFonts w:asciiTheme="minorHAnsi" w:hAnsiTheme="minorHAnsi" w:cstheme="minorHAnsi"/>
              </w:rPr>
            </w:pPr>
            <w:bookmarkStart w:id="106" w:name="_Ref171944923"/>
            <w:r>
              <w:rPr>
                <w:rFonts w:cs="Calibri"/>
                <w:color w:val="000000"/>
                <w:szCs w:val="22"/>
              </w:rPr>
              <w:t>AC</w:t>
            </w:r>
            <w:r w:rsidR="0001235F">
              <w:rPr>
                <w:rStyle w:val="FootnoteReference"/>
                <w:rFonts w:cs="Calibri"/>
                <w:color w:val="000000"/>
                <w:szCs w:val="22"/>
              </w:rPr>
              <w:footnoteReference w:customMarkFollows="1" w:id="11"/>
              <w:t>^</w:t>
            </w:r>
            <w:bookmarkEnd w:id="106"/>
            <w:r w:rsidR="00580D45" w:rsidRPr="00A94043">
              <w:rPr>
                <w:rFonts w:cs="Calibri"/>
                <w:color w:val="000000"/>
                <w:szCs w:val="22"/>
              </w:rPr>
              <w:t xml:space="preserve"> (Non-ducted)</w:t>
            </w:r>
          </w:p>
        </w:tc>
        <w:tc>
          <w:tcPr>
            <w:tcW w:w="1715" w:type="dxa"/>
            <w:noWrap/>
            <w:hideMark/>
          </w:tcPr>
          <w:p w14:paraId="32B4B8B3" w14:textId="1D58B685"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41</w:t>
            </w:r>
          </w:p>
        </w:tc>
        <w:tc>
          <w:tcPr>
            <w:tcW w:w="1716" w:type="dxa"/>
            <w:noWrap/>
            <w:hideMark/>
          </w:tcPr>
          <w:p w14:paraId="5A1E7A3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286</w:t>
            </w:r>
          </w:p>
        </w:tc>
        <w:tc>
          <w:tcPr>
            <w:tcW w:w="1716" w:type="dxa"/>
            <w:noWrap/>
            <w:hideMark/>
          </w:tcPr>
          <w:p w14:paraId="5E43DCA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736</w:t>
            </w:r>
          </w:p>
        </w:tc>
        <w:tc>
          <w:tcPr>
            <w:tcW w:w="1715" w:type="dxa"/>
            <w:noWrap/>
            <w:hideMark/>
          </w:tcPr>
          <w:p w14:paraId="6C7608B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0738C72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283CA3B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w:t>
            </w:r>
          </w:p>
        </w:tc>
      </w:tr>
      <w:tr w:rsidR="00580D45" w:rsidRPr="00A94043" w14:paraId="2BDD985F" w14:textId="77777777" w:rsidTr="00580D45">
        <w:trPr>
          <w:trHeight w:val="289"/>
        </w:trPr>
        <w:tc>
          <w:tcPr>
            <w:tcW w:w="959" w:type="dxa"/>
            <w:noWrap/>
            <w:hideMark/>
          </w:tcPr>
          <w:p w14:paraId="4B229FC6"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2</w:t>
            </w:r>
          </w:p>
        </w:tc>
        <w:tc>
          <w:tcPr>
            <w:tcW w:w="2059" w:type="dxa"/>
          </w:tcPr>
          <w:p w14:paraId="5C60EBF5" w14:textId="1216DFC6"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0A584AF2" w14:textId="2177BA58"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168</w:t>
            </w:r>
          </w:p>
        </w:tc>
        <w:tc>
          <w:tcPr>
            <w:tcW w:w="1716" w:type="dxa"/>
            <w:noWrap/>
            <w:hideMark/>
          </w:tcPr>
          <w:p w14:paraId="783FDB7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1086</w:t>
            </w:r>
          </w:p>
        </w:tc>
        <w:tc>
          <w:tcPr>
            <w:tcW w:w="1716" w:type="dxa"/>
            <w:noWrap/>
            <w:hideMark/>
          </w:tcPr>
          <w:p w14:paraId="44D41F61"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2607</w:t>
            </w:r>
          </w:p>
        </w:tc>
        <w:tc>
          <w:tcPr>
            <w:tcW w:w="1715" w:type="dxa"/>
            <w:noWrap/>
            <w:hideMark/>
          </w:tcPr>
          <w:p w14:paraId="18C4A57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4B0D1FF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5190677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r>
      <w:tr w:rsidR="00580D45" w:rsidRPr="00A94043" w14:paraId="6BE77568" w14:textId="77777777" w:rsidTr="00580D45">
        <w:trPr>
          <w:trHeight w:val="289"/>
        </w:trPr>
        <w:tc>
          <w:tcPr>
            <w:tcW w:w="959" w:type="dxa"/>
            <w:noWrap/>
            <w:hideMark/>
          </w:tcPr>
          <w:p w14:paraId="6F2B3612"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3</w:t>
            </w:r>
          </w:p>
        </w:tc>
        <w:tc>
          <w:tcPr>
            <w:tcW w:w="2059" w:type="dxa"/>
          </w:tcPr>
          <w:p w14:paraId="4564BDC4" w14:textId="12935B37"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67C64E44" w14:textId="3C342BF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176</w:t>
            </w:r>
          </w:p>
        </w:tc>
        <w:tc>
          <w:tcPr>
            <w:tcW w:w="1716" w:type="dxa"/>
            <w:noWrap/>
            <w:hideMark/>
          </w:tcPr>
          <w:p w14:paraId="3DB57F1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1140</w:t>
            </w:r>
          </w:p>
        </w:tc>
        <w:tc>
          <w:tcPr>
            <w:tcW w:w="1716" w:type="dxa"/>
            <w:noWrap/>
            <w:hideMark/>
          </w:tcPr>
          <w:p w14:paraId="76DA516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2737</w:t>
            </w:r>
          </w:p>
        </w:tc>
        <w:tc>
          <w:tcPr>
            <w:tcW w:w="1715" w:type="dxa"/>
            <w:noWrap/>
            <w:hideMark/>
          </w:tcPr>
          <w:p w14:paraId="3071BC6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1655891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6A7A2B9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r>
      <w:tr w:rsidR="00580D45" w:rsidRPr="00A94043" w14:paraId="396E3D64" w14:textId="77777777" w:rsidTr="00580D45">
        <w:trPr>
          <w:trHeight w:val="289"/>
        </w:trPr>
        <w:tc>
          <w:tcPr>
            <w:tcW w:w="959" w:type="dxa"/>
            <w:noWrap/>
            <w:hideMark/>
          </w:tcPr>
          <w:p w14:paraId="298FF50B"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4</w:t>
            </w:r>
          </w:p>
        </w:tc>
        <w:tc>
          <w:tcPr>
            <w:tcW w:w="2059" w:type="dxa"/>
          </w:tcPr>
          <w:p w14:paraId="1C29356C" w14:textId="3A1F0DDE"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12B86DF5" w14:textId="41F930BE"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185</w:t>
            </w:r>
          </w:p>
        </w:tc>
        <w:tc>
          <w:tcPr>
            <w:tcW w:w="1716" w:type="dxa"/>
            <w:noWrap/>
            <w:hideMark/>
          </w:tcPr>
          <w:p w14:paraId="485F0401"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1195</w:t>
            </w:r>
          </w:p>
        </w:tc>
        <w:tc>
          <w:tcPr>
            <w:tcW w:w="1716" w:type="dxa"/>
            <w:noWrap/>
            <w:hideMark/>
          </w:tcPr>
          <w:p w14:paraId="0029767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2867</w:t>
            </w:r>
          </w:p>
        </w:tc>
        <w:tc>
          <w:tcPr>
            <w:tcW w:w="1715" w:type="dxa"/>
            <w:noWrap/>
            <w:hideMark/>
          </w:tcPr>
          <w:p w14:paraId="51B1FCA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3437966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5392951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r>
      <w:tr w:rsidR="00580D45" w:rsidRPr="00A94043" w14:paraId="057CEDDC" w14:textId="77777777" w:rsidTr="00580D45">
        <w:trPr>
          <w:trHeight w:val="289"/>
        </w:trPr>
        <w:tc>
          <w:tcPr>
            <w:tcW w:w="959" w:type="dxa"/>
            <w:noWrap/>
            <w:hideMark/>
          </w:tcPr>
          <w:p w14:paraId="5535FB58"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5</w:t>
            </w:r>
          </w:p>
        </w:tc>
        <w:tc>
          <w:tcPr>
            <w:tcW w:w="2059" w:type="dxa"/>
          </w:tcPr>
          <w:p w14:paraId="524627EF" w14:textId="5463E307"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Gas Space Heater</w:t>
            </w:r>
          </w:p>
        </w:tc>
        <w:tc>
          <w:tcPr>
            <w:tcW w:w="1715" w:type="dxa"/>
            <w:noWrap/>
            <w:hideMark/>
          </w:tcPr>
          <w:p w14:paraId="12F84CE4" w14:textId="32AC905A"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202</w:t>
            </w:r>
          </w:p>
        </w:tc>
        <w:tc>
          <w:tcPr>
            <w:tcW w:w="1716" w:type="dxa"/>
            <w:noWrap/>
            <w:hideMark/>
          </w:tcPr>
          <w:p w14:paraId="5AAA8C3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1310</w:t>
            </w:r>
          </w:p>
        </w:tc>
        <w:tc>
          <w:tcPr>
            <w:tcW w:w="1716" w:type="dxa"/>
            <w:noWrap/>
            <w:hideMark/>
          </w:tcPr>
          <w:p w14:paraId="5BD1D51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3158</w:t>
            </w:r>
          </w:p>
        </w:tc>
        <w:tc>
          <w:tcPr>
            <w:tcW w:w="1715" w:type="dxa"/>
            <w:noWrap/>
            <w:hideMark/>
          </w:tcPr>
          <w:p w14:paraId="1BE905F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w:t>
            </w:r>
          </w:p>
        </w:tc>
        <w:tc>
          <w:tcPr>
            <w:tcW w:w="1716" w:type="dxa"/>
            <w:noWrap/>
            <w:hideMark/>
          </w:tcPr>
          <w:p w14:paraId="55976F9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w:t>
            </w:r>
          </w:p>
        </w:tc>
        <w:tc>
          <w:tcPr>
            <w:tcW w:w="1716" w:type="dxa"/>
            <w:noWrap/>
            <w:hideMark/>
          </w:tcPr>
          <w:p w14:paraId="2DA09B9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w:t>
            </w:r>
          </w:p>
        </w:tc>
      </w:tr>
      <w:tr w:rsidR="00580D45" w:rsidRPr="00A94043" w14:paraId="1B20F730" w14:textId="77777777" w:rsidTr="00580D45">
        <w:trPr>
          <w:trHeight w:val="289"/>
        </w:trPr>
        <w:tc>
          <w:tcPr>
            <w:tcW w:w="959" w:type="dxa"/>
            <w:noWrap/>
            <w:hideMark/>
          </w:tcPr>
          <w:p w14:paraId="24BDBEC8"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6</w:t>
            </w:r>
          </w:p>
        </w:tc>
        <w:tc>
          <w:tcPr>
            <w:tcW w:w="2059" w:type="dxa"/>
          </w:tcPr>
          <w:p w14:paraId="33A498C6" w14:textId="1709542B"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1E4CB86E" w14:textId="7AA5BA10"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281</w:t>
            </w:r>
          </w:p>
        </w:tc>
        <w:tc>
          <w:tcPr>
            <w:tcW w:w="1716" w:type="dxa"/>
            <w:noWrap/>
            <w:hideMark/>
          </w:tcPr>
          <w:p w14:paraId="004C092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1802</w:t>
            </w:r>
          </w:p>
        </w:tc>
        <w:tc>
          <w:tcPr>
            <w:tcW w:w="1716" w:type="dxa"/>
            <w:noWrap/>
            <w:hideMark/>
          </w:tcPr>
          <w:p w14:paraId="0008426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4276</w:t>
            </w:r>
          </w:p>
        </w:tc>
        <w:tc>
          <w:tcPr>
            <w:tcW w:w="1715" w:type="dxa"/>
            <w:noWrap/>
            <w:hideMark/>
          </w:tcPr>
          <w:p w14:paraId="57E7974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0.0</w:t>
            </w:r>
          </w:p>
        </w:tc>
        <w:tc>
          <w:tcPr>
            <w:tcW w:w="1716" w:type="dxa"/>
            <w:noWrap/>
            <w:hideMark/>
          </w:tcPr>
          <w:p w14:paraId="6AA423D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0.0</w:t>
            </w:r>
          </w:p>
        </w:tc>
        <w:tc>
          <w:tcPr>
            <w:tcW w:w="1716" w:type="dxa"/>
            <w:noWrap/>
            <w:hideMark/>
          </w:tcPr>
          <w:p w14:paraId="35FF385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0.0</w:t>
            </w:r>
          </w:p>
        </w:tc>
      </w:tr>
      <w:tr w:rsidR="00580D45" w:rsidRPr="00A94043" w14:paraId="4E25954C" w14:textId="77777777" w:rsidTr="00580D45">
        <w:trPr>
          <w:trHeight w:val="289"/>
        </w:trPr>
        <w:tc>
          <w:tcPr>
            <w:tcW w:w="959" w:type="dxa"/>
            <w:noWrap/>
            <w:hideMark/>
          </w:tcPr>
          <w:p w14:paraId="5AB7ABE7"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7</w:t>
            </w:r>
          </w:p>
        </w:tc>
        <w:tc>
          <w:tcPr>
            <w:tcW w:w="2059" w:type="dxa"/>
          </w:tcPr>
          <w:p w14:paraId="3FD9D6BE" w14:textId="5BEEBA2E" w:rsidR="00580D45" w:rsidRPr="00A94043" w:rsidRDefault="00580D45" w:rsidP="00580D45">
            <w:pPr>
              <w:pStyle w:val="NoSpacing"/>
              <w:jc w:val="center"/>
              <w:rPr>
                <w:rFonts w:asciiTheme="minorHAnsi" w:hAnsiTheme="minorHAnsi" w:cstheme="minorHAnsi"/>
              </w:rPr>
            </w:pPr>
            <w:r>
              <w:rPr>
                <w:rFonts w:cs="Calibri"/>
                <w:color w:val="000000"/>
                <w:szCs w:val="22"/>
              </w:rPr>
              <w:t xml:space="preserve">Gas </w:t>
            </w:r>
            <w:r w:rsidRPr="00A94043">
              <w:rPr>
                <w:rFonts w:cs="Calibri"/>
                <w:color w:val="000000"/>
                <w:szCs w:val="22"/>
              </w:rPr>
              <w:t>Decorative App.</w:t>
            </w:r>
          </w:p>
        </w:tc>
        <w:tc>
          <w:tcPr>
            <w:tcW w:w="1715" w:type="dxa"/>
            <w:noWrap/>
            <w:hideMark/>
          </w:tcPr>
          <w:p w14:paraId="534A90FD" w14:textId="221B6728"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355</w:t>
            </w:r>
          </w:p>
        </w:tc>
        <w:tc>
          <w:tcPr>
            <w:tcW w:w="1716" w:type="dxa"/>
            <w:noWrap/>
            <w:hideMark/>
          </w:tcPr>
          <w:p w14:paraId="6EA90C1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2307</w:t>
            </w:r>
          </w:p>
        </w:tc>
        <w:tc>
          <w:tcPr>
            <w:tcW w:w="1716" w:type="dxa"/>
            <w:noWrap/>
            <w:hideMark/>
          </w:tcPr>
          <w:p w14:paraId="66424B9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5559</w:t>
            </w:r>
          </w:p>
        </w:tc>
        <w:tc>
          <w:tcPr>
            <w:tcW w:w="1715" w:type="dxa"/>
            <w:noWrap/>
            <w:hideMark/>
          </w:tcPr>
          <w:p w14:paraId="185B9DC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3.4</w:t>
            </w:r>
          </w:p>
        </w:tc>
        <w:tc>
          <w:tcPr>
            <w:tcW w:w="1716" w:type="dxa"/>
            <w:noWrap/>
            <w:hideMark/>
          </w:tcPr>
          <w:p w14:paraId="0DC0A9A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3.0</w:t>
            </w:r>
          </w:p>
        </w:tc>
        <w:tc>
          <w:tcPr>
            <w:tcW w:w="1716" w:type="dxa"/>
            <w:noWrap/>
            <w:hideMark/>
          </w:tcPr>
          <w:p w14:paraId="3339DED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2.4</w:t>
            </w:r>
          </w:p>
        </w:tc>
      </w:tr>
      <w:tr w:rsidR="00580D45" w:rsidRPr="00A94043" w14:paraId="591CA9D7" w14:textId="77777777" w:rsidTr="00580D45">
        <w:trPr>
          <w:trHeight w:val="289"/>
        </w:trPr>
        <w:tc>
          <w:tcPr>
            <w:tcW w:w="959" w:type="dxa"/>
            <w:noWrap/>
            <w:hideMark/>
          </w:tcPr>
          <w:p w14:paraId="12DD663E"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8</w:t>
            </w:r>
          </w:p>
        </w:tc>
        <w:tc>
          <w:tcPr>
            <w:tcW w:w="2059" w:type="dxa"/>
          </w:tcPr>
          <w:p w14:paraId="388C552B" w14:textId="1A18740F" w:rsidR="00580D45" w:rsidRPr="00A94043" w:rsidRDefault="009A74D9" w:rsidP="00580D45">
            <w:pPr>
              <w:pStyle w:val="NoSpacing"/>
              <w:jc w:val="center"/>
              <w:rPr>
                <w:rFonts w:asciiTheme="minorHAnsi" w:hAnsiTheme="minorHAnsi" w:cstheme="minorHAnsi"/>
              </w:rPr>
            </w:pPr>
            <w:r>
              <w:rPr>
                <w:rFonts w:cs="Calibri"/>
                <w:color w:val="000000"/>
                <w:szCs w:val="22"/>
              </w:rPr>
              <w:t>AC</w:t>
            </w:r>
            <w:r w:rsidR="007C26BC" w:rsidRPr="007C26BC">
              <w:rPr>
                <w:rFonts w:cs="Calibri"/>
                <w:color w:val="000000"/>
                <w:szCs w:val="22"/>
                <w:vertAlign w:val="superscript"/>
              </w:rPr>
              <w:fldChar w:fldCharType="begin"/>
            </w:r>
            <w:r w:rsidR="007C26BC" w:rsidRPr="007C26BC">
              <w:rPr>
                <w:rFonts w:cs="Calibri"/>
                <w:color w:val="000000"/>
                <w:szCs w:val="22"/>
                <w:vertAlign w:val="superscript"/>
              </w:rPr>
              <w:instrText xml:space="preserve"> NOTEREF _Ref171944923 \h </w:instrText>
            </w:r>
            <w:r w:rsidR="007C26BC">
              <w:rPr>
                <w:rFonts w:cs="Calibri"/>
                <w:color w:val="000000"/>
                <w:szCs w:val="22"/>
                <w:vertAlign w:val="superscript"/>
              </w:rPr>
              <w:instrText xml:space="preserve"> \* MERGEFORMAT </w:instrText>
            </w:r>
            <w:r w:rsidR="007C26BC" w:rsidRPr="007C26BC">
              <w:rPr>
                <w:rFonts w:cs="Calibri"/>
                <w:color w:val="000000"/>
                <w:szCs w:val="22"/>
                <w:vertAlign w:val="superscript"/>
              </w:rPr>
            </w:r>
            <w:r w:rsidR="007C26BC" w:rsidRPr="007C26BC">
              <w:rPr>
                <w:rFonts w:cs="Calibri"/>
                <w:color w:val="000000"/>
                <w:szCs w:val="22"/>
                <w:vertAlign w:val="superscript"/>
              </w:rPr>
              <w:fldChar w:fldCharType="separate"/>
            </w:r>
            <w:r w:rsidR="007068DD" w:rsidRPr="007068DD">
              <w:rPr>
                <w:vertAlign w:val="superscript"/>
              </w:rPr>
              <w:t>^</w:t>
            </w:r>
            <w:r w:rsidR="007C26BC" w:rsidRPr="007C26BC">
              <w:rPr>
                <w:rFonts w:cs="Calibri"/>
                <w:color w:val="000000"/>
                <w:szCs w:val="22"/>
                <w:vertAlign w:val="superscript"/>
              </w:rPr>
              <w:fldChar w:fldCharType="end"/>
            </w:r>
            <w:r w:rsidR="00580D45" w:rsidRPr="00A94043">
              <w:rPr>
                <w:rFonts w:cs="Calibri"/>
                <w:color w:val="000000"/>
                <w:szCs w:val="22"/>
              </w:rPr>
              <w:t xml:space="preserve"> (Non-ducted)</w:t>
            </w:r>
          </w:p>
        </w:tc>
        <w:tc>
          <w:tcPr>
            <w:tcW w:w="1715" w:type="dxa"/>
            <w:noWrap/>
            <w:hideMark/>
          </w:tcPr>
          <w:p w14:paraId="52A82600" w14:textId="13038534"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123</w:t>
            </w:r>
          </w:p>
        </w:tc>
        <w:tc>
          <w:tcPr>
            <w:tcW w:w="1716" w:type="dxa"/>
            <w:noWrap/>
            <w:hideMark/>
          </w:tcPr>
          <w:p w14:paraId="17C6A0C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905</w:t>
            </w:r>
          </w:p>
        </w:tc>
        <w:tc>
          <w:tcPr>
            <w:tcW w:w="1716" w:type="dxa"/>
            <w:noWrap/>
            <w:hideMark/>
          </w:tcPr>
          <w:p w14:paraId="3A1380E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2488</w:t>
            </w:r>
          </w:p>
        </w:tc>
        <w:tc>
          <w:tcPr>
            <w:tcW w:w="1715" w:type="dxa"/>
            <w:noWrap/>
            <w:hideMark/>
          </w:tcPr>
          <w:p w14:paraId="19462DF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345E07B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165BC18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w:t>
            </w:r>
          </w:p>
        </w:tc>
      </w:tr>
      <w:tr w:rsidR="00580D45" w:rsidRPr="00A94043" w14:paraId="5567F5E1" w14:textId="77777777" w:rsidTr="00580D45">
        <w:trPr>
          <w:trHeight w:val="289"/>
        </w:trPr>
        <w:tc>
          <w:tcPr>
            <w:tcW w:w="959" w:type="dxa"/>
            <w:noWrap/>
            <w:hideMark/>
          </w:tcPr>
          <w:p w14:paraId="3BAC8DB9"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9</w:t>
            </w:r>
          </w:p>
        </w:tc>
        <w:tc>
          <w:tcPr>
            <w:tcW w:w="2059" w:type="dxa"/>
          </w:tcPr>
          <w:p w14:paraId="37EDD6AA" w14:textId="3D480926"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 xml:space="preserve">Ducted </w:t>
            </w:r>
            <w:r w:rsidR="009A74D9">
              <w:rPr>
                <w:rFonts w:cs="Calibri"/>
                <w:color w:val="000000"/>
                <w:szCs w:val="22"/>
              </w:rPr>
              <w:t>AC</w:t>
            </w:r>
            <w:r w:rsidR="007C26BC" w:rsidRPr="007C26BC">
              <w:rPr>
                <w:rFonts w:cs="Calibri"/>
                <w:color w:val="000000"/>
                <w:szCs w:val="22"/>
                <w:vertAlign w:val="superscript"/>
              </w:rPr>
              <w:fldChar w:fldCharType="begin"/>
            </w:r>
            <w:r w:rsidR="007C26BC" w:rsidRPr="007C26BC">
              <w:rPr>
                <w:rFonts w:cs="Calibri"/>
                <w:color w:val="000000"/>
                <w:szCs w:val="22"/>
                <w:vertAlign w:val="superscript"/>
              </w:rPr>
              <w:instrText xml:space="preserve"> NOTEREF _Ref171944923 \h </w:instrText>
            </w:r>
            <w:r w:rsidR="007C26BC" w:rsidRPr="007C26BC">
              <w:rPr>
                <w:rFonts w:cs="Calibri"/>
                <w:color w:val="000000"/>
                <w:szCs w:val="22"/>
                <w:vertAlign w:val="superscript"/>
              </w:rPr>
            </w:r>
            <w:r w:rsidR="007C26BC" w:rsidRPr="007C26BC">
              <w:rPr>
                <w:rFonts w:cs="Calibri"/>
                <w:color w:val="000000"/>
                <w:szCs w:val="22"/>
                <w:vertAlign w:val="superscript"/>
              </w:rPr>
              <w:fldChar w:fldCharType="separate"/>
            </w:r>
            <w:r w:rsidR="007068DD" w:rsidRPr="007068DD">
              <w:t>^</w:t>
            </w:r>
            <w:r w:rsidR="007C26BC" w:rsidRPr="007C26BC">
              <w:rPr>
                <w:rFonts w:cs="Calibri"/>
                <w:color w:val="000000"/>
                <w:szCs w:val="22"/>
                <w:vertAlign w:val="superscript"/>
              </w:rPr>
              <w:fldChar w:fldCharType="end"/>
            </w:r>
          </w:p>
        </w:tc>
        <w:tc>
          <w:tcPr>
            <w:tcW w:w="1715" w:type="dxa"/>
            <w:noWrap/>
            <w:hideMark/>
          </w:tcPr>
          <w:p w14:paraId="65C5CC45" w14:textId="3F23B016"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135</w:t>
            </w:r>
          </w:p>
        </w:tc>
        <w:tc>
          <w:tcPr>
            <w:tcW w:w="1716" w:type="dxa"/>
            <w:noWrap/>
            <w:hideMark/>
          </w:tcPr>
          <w:p w14:paraId="703A59A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977</w:t>
            </w:r>
          </w:p>
        </w:tc>
        <w:tc>
          <w:tcPr>
            <w:tcW w:w="1716" w:type="dxa"/>
            <w:noWrap/>
            <w:hideMark/>
          </w:tcPr>
          <w:p w14:paraId="098DDBF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2662</w:t>
            </w:r>
          </w:p>
        </w:tc>
        <w:tc>
          <w:tcPr>
            <w:tcW w:w="1715" w:type="dxa"/>
            <w:noWrap/>
            <w:hideMark/>
          </w:tcPr>
          <w:p w14:paraId="223C887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30</w:t>
            </w:r>
          </w:p>
        </w:tc>
        <w:tc>
          <w:tcPr>
            <w:tcW w:w="1716" w:type="dxa"/>
            <w:noWrap/>
            <w:hideMark/>
          </w:tcPr>
          <w:p w14:paraId="074B3E9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32</w:t>
            </w:r>
          </w:p>
        </w:tc>
        <w:tc>
          <w:tcPr>
            <w:tcW w:w="1716" w:type="dxa"/>
            <w:noWrap/>
            <w:hideMark/>
          </w:tcPr>
          <w:p w14:paraId="6CAD74D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27</w:t>
            </w:r>
          </w:p>
        </w:tc>
      </w:tr>
      <w:tr w:rsidR="00580D45" w:rsidRPr="00A94043" w14:paraId="3B9353A6" w14:textId="77777777" w:rsidTr="00580D45">
        <w:trPr>
          <w:trHeight w:val="289"/>
        </w:trPr>
        <w:tc>
          <w:tcPr>
            <w:tcW w:w="959" w:type="dxa"/>
            <w:noWrap/>
            <w:hideMark/>
          </w:tcPr>
          <w:p w14:paraId="1050A52A"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10</w:t>
            </w:r>
          </w:p>
        </w:tc>
        <w:tc>
          <w:tcPr>
            <w:tcW w:w="2059" w:type="dxa"/>
          </w:tcPr>
          <w:p w14:paraId="515100F2" w14:textId="11847F66"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00DCE95E" w14:textId="11E7B945"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587</w:t>
            </w:r>
          </w:p>
        </w:tc>
        <w:tc>
          <w:tcPr>
            <w:tcW w:w="1716" w:type="dxa"/>
            <w:noWrap/>
            <w:hideMark/>
          </w:tcPr>
          <w:p w14:paraId="35F17BF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3801</w:t>
            </w:r>
          </w:p>
        </w:tc>
        <w:tc>
          <w:tcPr>
            <w:tcW w:w="1716" w:type="dxa"/>
            <w:noWrap/>
            <w:hideMark/>
          </w:tcPr>
          <w:p w14:paraId="0C2D6AC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9123</w:t>
            </w:r>
          </w:p>
        </w:tc>
        <w:tc>
          <w:tcPr>
            <w:tcW w:w="1715" w:type="dxa"/>
            <w:noWrap/>
            <w:hideMark/>
          </w:tcPr>
          <w:p w14:paraId="4566348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40</w:t>
            </w:r>
          </w:p>
        </w:tc>
        <w:tc>
          <w:tcPr>
            <w:tcW w:w="1716" w:type="dxa"/>
            <w:noWrap/>
            <w:hideMark/>
          </w:tcPr>
          <w:p w14:paraId="7CF8F50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36</w:t>
            </w:r>
          </w:p>
        </w:tc>
        <w:tc>
          <w:tcPr>
            <w:tcW w:w="1716" w:type="dxa"/>
            <w:noWrap/>
            <w:hideMark/>
          </w:tcPr>
          <w:p w14:paraId="75DD084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37</w:t>
            </w:r>
          </w:p>
        </w:tc>
      </w:tr>
      <w:tr w:rsidR="00580D45" w:rsidRPr="00A94043" w14:paraId="2AC89CC1" w14:textId="77777777" w:rsidTr="00580D45">
        <w:trPr>
          <w:trHeight w:val="289"/>
        </w:trPr>
        <w:tc>
          <w:tcPr>
            <w:tcW w:w="959" w:type="dxa"/>
            <w:noWrap/>
            <w:hideMark/>
          </w:tcPr>
          <w:p w14:paraId="1DFCE8A4"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11</w:t>
            </w:r>
          </w:p>
        </w:tc>
        <w:tc>
          <w:tcPr>
            <w:tcW w:w="2059" w:type="dxa"/>
          </w:tcPr>
          <w:p w14:paraId="6CEAFB25" w14:textId="23181B1D"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0A758D2F" w14:textId="0795A844"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587</w:t>
            </w:r>
          </w:p>
        </w:tc>
        <w:tc>
          <w:tcPr>
            <w:tcW w:w="1716" w:type="dxa"/>
            <w:noWrap/>
            <w:hideMark/>
          </w:tcPr>
          <w:p w14:paraId="5AB600F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3801</w:t>
            </w:r>
          </w:p>
        </w:tc>
        <w:tc>
          <w:tcPr>
            <w:tcW w:w="1716" w:type="dxa"/>
            <w:noWrap/>
            <w:hideMark/>
          </w:tcPr>
          <w:p w14:paraId="1350DD9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9123</w:t>
            </w:r>
          </w:p>
        </w:tc>
        <w:tc>
          <w:tcPr>
            <w:tcW w:w="1715" w:type="dxa"/>
            <w:noWrap/>
            <w:hideMark/>
          </w:tcPr>
          <w:p w14:paraId="205221C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127</w:t>
            </w:r>
          </w:p>
        </w:tc>
        <w:tc>
          <w:tcPr>
            <w:tcW w:w="1716" w:type="dxa"/>
            <w:noWrap/>
            <w:hideMark/>
          </w:tcPr>
          <w:p w14:paraId="09E7B2E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112</w:t>
            </w:r>
          </w:p>
        </w:tc>
        <w:tc>
          <w:tcPr>
            <w:tcW w:w="1716" w:type="dxa"/>
            <w:noWrap/>
            <w:hideMark/>
          </w:tcPr>
          <w:p w14:paraId="18C7244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92</w:t>
            </w:r>
          </w:p>
        </w:tc>
      </w:tr>
      <w:tr w:rsidR="00580D45" w:rsidRPr="00A94043" w14:paraId="4E38AE61" w14:textId="77777777" w:rsidTr="00580D45">
        <w:trPr>
          <w:trHeight w:val="289"/>
        </w:trPr>
        <w:tc>
          <w:tcPr>
            <w:tcW w:w="959" w:type="dxa"/>
            <w:noWrap/>
            <w:hideMark/>
          </w:tcPr>
          <w:p w14:paraId="6D325879"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12</w:t>
            </w:r>
          </w:p>
        </w:tc>
        <w:tc>
          <w:tcPr>
            <w:tcW w:w="2059" w:type="dxa"/>
          </w:tcPr>
          <w:p w14:paraId="7269CAB1" w14:textId="6ED4DDB5"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Gas Space Heater</w:t>
            </w:r>
          </w:p>
        </w:tc>
        <w:tc>
          <w:tcPr>
            <w:tcW w:w="1715" w:type="dxa"/>
            <w:noWrap/>
            <w:hideMark/>
          </w:tcPr>
          <w:p w14:paraId="3F791B49" w14:textId="232159BB"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744</w:t>
            </w:r>
          </w:p>
        </w:tc>
        <w:tc>
          <w:tcPr>
            <w:tcW w:w="1716" w:type="dxa"/>
            <w:noWrap/>
            <w:hideMark/>
          </w:tcPr>
          <w:p w14:paraId="241886C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4819</w:t>
            </w:r>
          </w:p>
        </w:tc>
        <w:tc>
          <w:tcPr>
            <w:tcW w:w="1716" w:type="dxa"/>
            <w:noWrap/>
            <w:hideMark/>
          </w:tcPr>
          <w:p w14:paraId="5BF7502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11572</w:t>
            </w:r>
          </w:p>
        </w:tc>
        <w:tc>
          <w:tcPr>
            <w:tcW w:w="1715" w:type="dxa"/>
            <w:noWrap/>
            <w:hideMark/>
          </w:tcPr>
          <w:p w14:paraId="39CB4D3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475E681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w:t>
            </w:r>
          </w:p>
        </w:tc>
        <w:tc>
          <w:tcPr>
            <w:tcW w:w="1716" w:type="dxa"/>
            <w:noWrap/>
            <w:hideMark/>
          </w:tcPr>
          <w:p w14:paraId="0BCCE34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w:t>
            </w:r>
          </w:p>
        </w:tc>
      </w:tr>
      <w:tr w:rsidR="00580D45" w:rsidRPr="00A94043" w14:paraId="6B8B931F" w14:textId="77777777" w:rsidTr="00580D45">
        <w:trPr>
          <w:trHeight w:val="289"/>
        </w:trPr>
        <w:tc>
          <w:tcPr>
            <w:tcW w:w="959" w:type="dxa"/>
            <w:noWrap/>
            <w:hideMark/>
          </w:tcPr>
          <w:p w14:paraId="6F869BEC"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13</w:t>
            </w:r>
          </w:p>
        </w:tc>
        <w:tc>
          <w:tcPr>
            <w:tcW w:w="2059" w:type="dxa"/>
          </w:tcPr>
          <w:p w14:paraId="78FF2C4C" w14:textId="774A4F1A"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Ducted Gas</w:t>
            </w:r>
          </w:p>
        </w:tc>
        <w:tc>
          <w:tcPr>
            <w:tcW w:w="1715" w:type="dxa"/>
            <w:noWrap/>
            <w:hideMark/>
          </w:tcPr>
          <w:p w14:paraId="1A18A107" w14:textId="214E3C3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745</w:t>
            </w:r>
          </w:p>
        </w:tc>
        <w:tc>
          <w:tcPr>
            <w:tcW w:w="1716" w:type="dxa"/>
            <w:noWrap/>
            <w:hideMark/>
          </w:tcPr>
          <w:p w14:paraId="3DE6396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4904</w:t>
            </w:r>
          </w:p>
        </w:tc>
        <w:tc>
          <w:tcPr>
            <w:tcW w:w="1716" w:type="dxa"/>
            <w:noWrap/>
            <w:hideMark/>
          </w:tcPr>
          <w:p w14:paraId="4435C0B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11853</w:t>
            </w:r>
          </w:p>
        </w:tc>
        <w:tc>
          <w:tcPr>
            <w:tcW w:w="1715" w:type="dxa"/>
            <w:noWrap/>
            <w:hideMark/>
          </w:tcPr>
          <w:p w14:paraId="5D2E4C0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42.4</w:t>
            </w:r>
          </w:p>
        </w:tc>
        <w:tc>
          <w:tcPr>
            <w:tcW w:w="1716" w:type="dxa"/>
            <w:noWrap/>
            <w:hideMark/>
          </w:tcPr>
          <w:p w14:paraId="54284AF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37.3</w:t>
            </w:r>
          </w:p>
        </w:tc>
        <w:tc>
          <w:tcPr>
            <w:tcW w:w="1716" w:type="dxa"/>
            <w:noWrap/>
            <w:hideMark/>
          </w:tcPr>
          <w:p w14:paraId="28D0C11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30.5</w:t>
            </w:r>
          </w:p>
        </w:tc>
      </w:tr>
      <w:tr w:rsidR="00580D45" w:rsidRPr="00A94043" w14:paraId="40D148A1" w14:textId="77777777" w:rsidTr="00580D45">
        <w:trPr>
          <w:trHeight w:val="289"/>
        </w:trPr>
        <w:tc>
          <w:tcPr>
            <w:tcW w:w="959" w:type="dxa"/>
            <w:noWrap/>
            <w:hideMark/>
          </w:tcPr>
          <w:p w14:paraId="64980651"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14</w:t>
            </w:r>
          </w:p>
        </w:tc>
        <w:tc>
          <w:tcPr>
            <w:tcW w:w="2059" w:type="dxa"/>
          </w:tcPr>
          <w:p w14:paraId="4947A39E" w14:textId="78C99D71"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37374D95" w14:textId="3F4F289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983</w:t>
            </w:r>
          </w:p>
        </w:tc>
        <w:tc>
          <w:tcPr>
            <w:tcW w:w="1716" w:type="dxa"/>
            <w:noWrap/>
            <w:hideMark/>
          </w:tcPr>
          <w:p w14:paraId="5FA8262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6308</w:t>
            </w:r>
          </w:p>
        </w:tc>
        <w:tc>
          <w:tcPr>
            <w:tcW w:w="1716" w:type="dxa"/>
            <w:noWrap/>
            <w:hideMark/>
          </w:tcPr>
          <w:p w14:paraId="50CC2B3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14965</w:t>
            </w:r>
          </w:p>
        </w:tc>
        <w:tc>
          <w:tcPr>
            <w:tcW w:w="1715" w:type="dxa"/>
            <w:noWrap/>
            <w:hideMark/>
          </w:tcPr>
          <w:p w14:paraId="43A1B0C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42.4</w:t>
            </w:r>
          </w:p>
        </w:tc>
        <w:tc>
          <w:tcPr>
            <w:tcW w:w="1716" w:type="dxa"/>
            <w:noWrap/>
            <w:hideMark/>
          </w:tcPr>
          <w:p w14:paraId="2D084C3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37.3</w:t>
            </w:r>
          </w:p>
        </w:tc>
        <w:tc>
          <w:tcPr>
            <w:tcW w:w="1716" w:type="dxa"/>
            <w:noWrap/>
            <w:hideMark/>
          </w:tcPr>
          <w:p w14:paraId="3260A61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30.5</w:t>
            </w:r>
          </w:p>
        </w:tc>
      </w:tr>
      <w:tr w:rsidR="00580D45" w:rsidRPr="00A94043" w14:paraId="6CD3B728" w14:textId="77777777" w:rsidTr="00580D45">
        <w:trPr>
          <w:trHeight w:val="289"/>
        </w:trPr>
        <w:tc>
          <w:tcPr>
            <w:tcW w:w="959" w:type="dxa"/>
            <w:noWrap/>
            <w:hideMark/>
          </w:tcPr>
          <w:p w14:paraId="37DC14C4"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15</w:t>
            </w:r>
          </w:p>
        </w:tc>
        <w:tc>
          <w:tcPr>
            <w:tcW w:w="2059" w:type="dxa"/>
          </w:tcPr>
          <w:p w14:paraId="6D34793E" w14:textId="400036B3" w:rsidR="00580D45" w:rsidRPr="00A94043" w:rsidRDefault="00001216" w:rsidP="00580D45">
            <w:pPr>
              <w:pStyle w:val="NoSpacing"/>
              <w:jc w:val="center"/>
              <w:rPr>
                <w:rFonts w:asciiTheme="minorHAnsi" w:hAnsiTheme="minorHAnsi" w:cstheme="minorHAnsi"/>
              </w:rPr>
            </w:pPr>
            <w:r>
              <w:rPr>
                <w:rFonts w:cs="Calibri"/>
                <w:color w:val="000000"/>
                <w:szCs w:val="22"/>
              </w:rPr>
              <w:t>AC</w:t>
            </w:r>
            <w:r w:rsidR="007C26BC" w:rsidRPr="007C26BC">
              <w:rPr>
                <w:rFonts w:cs="Calibri"/>
                <w:color w:val="000000"/>
                <w:szCs w:val="22"/>
                <w:vertAlign w:val="superscript"/>
              </w:rPr>
              <w:fldChar w:fldCharType="begin"/>
            </w:r>
            <w:r w:rsidR="007C26BC" w:rsidRPr="007C26BC">
              <w:rPr>
                <w:rFonts w:cs="Calibri"/>
                <w:color w:val="000000"/>
                <w:szCs w:val="22"/>
                <w:vertAlign w:val="superscript"/>
              </w:rPr>
              <w:instrText xml:space="preserve"> NOTEREF _Ref171944923 \h </w:instrText>
            </w:r>
            <w:r w:rsidR="007C26BC" w:rsidRPr="007C26BC">
              <w:rPr>
                <w:rFonts w:cs="Calibri"/>
                <w:color w:val="000000"/>
                <w:szCs w:val="22"/>
                <w:vertAlign w:val="superscript"/>
              </w:rPr>
            </w:r>
            <w:r w:rsidR="007C26BC" w:rsidRPr="007C26BC">
              <w:rPr>
                <w:rFonts w:cs="Calibri"/>
                <w:color w:val="000000"/>
                <w:szCs w:val="22"/>
                <w:vertAlign w:val="superscript"/>
              </w:rPr>
              <w:fldChar w:fldCharType="separate"/>
            </w:r>
            <w:r w:rsidR="007068DD" w:rsidRPr="007068DD">
              <w:t>^</w:t>
            </w:r>
            <w:r w:rsidR="007C26BC" w:rsidRPr="007C26BC">
              <w:rPr>
                <w:rFonts w:cs="Calibri"/>
                <w:color w:val="000000"/>
                <w:szCs w:val="22"/>
                <w:vertAlign w:val="superscript"/>
              </w:rPr>
              <w:fldChar w:fldCharType="end"/>
            </w:r>
            <w:r w:rsidR="00580D45" w:rsidRPr="007C26BC">
              <w:rPr>
                <w:rFonts w:cs="Calibri"/>
                <w:color w:val="000000"/>
                <w:szCs w:val="22"/>
                <w:vertAlign w:val="superscript"/>
              </w:rPr>
              <w:t xml:space="preserve"> </w:t>
            </w:r>
            <w:r w:rsidR="00580D45" w:rsidRPr="00A94043">
              <w:rPr>
                <w:rFonts w:cs="Calibri"/>
                <w:color w:val="000000"/>
                <w:szCs w:val="22"/>
              </w:rPr>
              <w:t>(Non-ducted)</w:t>
            </w:r>
          </w:p>
        </w:tc>
        <w:tc>
          <w:tcPr>
            <w:tcW w:w="1715" w:type="dxa"/>
            <w:noWrap/>
            <w:hideMark/>
          </w:tcPr>
          <w:p w14:paraId="11157999" w14:textId="3AB542BD"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200</w:t>
            </w:r>
          </w:p>
        </w:tc>
        <w:tc>
          <w:tcPr>
            <w:tcW w:w="1716" w:type="dxa"/>
            <w:noWrap/>
            <w:hideMark/>
          </w:tcPr>
          <w:p w14:paraId="7FE6A69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1512</w:t>
            </w:r>
          </w:p>
        </w:tc>
        <w:tc>
          <w:tcPr>
            <w:tcW w:w="1716" w:type="dxa"/>
            <w:noWrap/>
            <w:hideMark/>
          </w:tcPr>
          <w:p w14:paraId="4E92D28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4211</w:t>
            </w:r>
          </w:p>
        </w:tc>
        <w:tc>
          <w:tcPr>
            <w:tcW w:w="1715" w:type="dxa"/>
            <w:noWrap/>
            <w:hideMark/>
          </w:tcPr>
          <w:p w14:paraId="71A3DB8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48</w:t>
            </w:r>
          </w:p>
        </w:tc>
        <w:tc>
          <w:tcPr>
            <w:tcW w:w="1716" w:type="dxa"/>
            <w:noWrap/>
            <w:hideMark/>
          </w:tcPr>
          <w:p w14:paraId="362AFE9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51</w:t>
            </w:r>
          </w:p>
        </w:tc>
        <w:tc>
          <w:tcPr>
            <w:tcW w:w="1716" w:type="dxa"/>
            <w:noWrap/>
            <w:hideMark/>
          </w:tcPr>
          <w:p w14:paraId="2A75308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43</w:t>
            </w:r>
          </w:p>
        </w:tc>
      </w:tr>
      <w:tr w:rsidR="00580D45" w:rsidRPr="00A94043" w14:paraId="41A72913" w14:textId="77777777" w:rsidTr="00580D45">
        <w:trPr>
          <w:trHeight w:val="289"/>
        </w:trPr>
        <w:tc>
          <w:tcPr>
            <w:tcW w:w="959" w:type="dxa"/>
            <w:noWrap/>
            <w:hideMark/>
          </w:tcPr>
          <w:p w14:paraId="11266D00"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16</w:t>
            </w:r>
          </w:p>
        </w:tc>
        <w:tc>
          <w:tcPr>
            <w:tcW w:w="2059" w:type="dxa"/>
          </w:tcPr>
          <w:p w14:paraId="02D9DEED" w14:textId="5371AFA0"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 xml:space="preserve">Ducted </w:t>
            </w:r>
            <w:r w:rsidR="00001216">
              <w:rPr>
                <w:rFonts w:cs="Calibri"/>
                <w:color w:val="000000"/>
                <w:szCs w:val="22"/>
              </w:rPr>
              <w:t>AC</w:t>
            </w:r>
            <w:r w:rsidR="007C26BC" w:rsidRPr="007C26BC">
              <w:rPr>
                <w:rFonts w:cs="Calibri"/>
                <w:color w:val="000000"/>
                <w:szCs w:val="22"/>
                <w:vertAlign w:val="superscript"/>
              </w:rPr>
              <w:fldChar w:fldCharType="begin"/>
            </w:r>
            <w:r w:rsidR="007C26BC" w:rsidRPr="007C26BC">
              <w:rPr>
                <w:rFonts w:cs="Calibri"/>
                <w:color w:val="000000"/>
                <w:szCs w:val="22"/>
                <w:vertAlign w:val="superscript"/>
              </w:rPr>
              <w:instrText xml:space="preserve"> NOTEREF _Ref171944923 \h </w:instrText>
            </w:r>
            <w:r w:rsidR="007C26BC" w:rsidRPr="007C26BC">
              <w:rPr>
                <w:rFonts w:cs="Calibri"/>
                <w:color w:val="000000"/>
                <w:szCs w:val="22"/>
                <w:vertAlign w:val="superscript"/>
              </w:rPr>
            </w:r>
            <w:r w:rsidR="007C26BC" w:rsidRPr="007C26BC">
              <w:rPr>
                <w:rFonts w:cs="Calibri"/>
                <w:color w:val="000000"/>
                <w:szCs w:val="22"/>
                <w:vertAlign w:val="superscript"/>
              </w:rPr>
              <w:fldChar w:fldCharType="separate"/>
            </w:r>
            <w:r w:rsidR="007068DD" w:rsidRPr="007068DD">
              <w:t>^</w:t>
            </w:r>
            <w:r w:rsidR="007C26BC" w:rsidRPr="007C26BC">
              <w:rPr>
                <w:rFonts w:cs="Calibri"/>
                <w:color w:val="000000"/>
                <w:szCs w:val="22"/>
                <w:vertAlign w:val="superscript"/>
              </w:rPr>
              <w:fldChar w:fldCharType="end"/>
            </w:r>
          </w:p>
        </w:tc>
        <w:tc>
          <w:tcPr>
            <w:tcW w:w="1715" w:type="dxa"/>
            <w:noWrap/>
            <w:hideMark/>
          </w:tcPr>
          <w:p w14:paraId="0A304908" w14:textId="3DEFAAF0"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223</w:t>
            </w:r>
          </w:p>
        </w:tc>
        <w:tc>
          <w:tcPr>
            <w:tcW w:w="1716" w:type="dxa"/>
            <w:noWrap/>
            <w:hideMark/>
          </w:tcPr>
          <w:p w14:paraId="796E7BF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1629</w:t>
            </w:r>
          </w:p>
        </w:tc>
        <w:tc>
          <w:tcPr>
            <w:tcW w:w="1716" w:type="dxa"/>
            <w:noWrap/>
            <w:hideMark/>
          </w:tcPr>
          <w:p w14:paraId="1E95A3B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4448</w:t>
            </w:r>
          </w:p>
        </w:tc>
        <w:tc>
          <w:tcPr>
            <w:tcW w:w="1715" w:type="dxa"/>
            <w:noWrap/>
            <w:hideMark/>
          </w:tcPr>
          <w:p w14:paraId="6DB5A0B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52</w:t>
            </w:r>
          </w:p>
        </w:tc>
        <w:tc>
          <w:tcPr>
            <w:tcW w:w="1716" w:type="dxa"/>
            <w:noWrap/>
            <w:hideMark/>
          </w:tcPr>
          <w:p w14:paraId="6BE4013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55</w:t>
            </w:r>
          </w:p>
        </w:tc>
        <w:tc>
          <w:tcPr>
            <w:tcW w:w="1716" w:type="dxa"/>
            <w:noWrap/>
            <w:hideMark/>
          </w:tcPr>
          <w:p w14:paraId="250EBE4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46</w:t>
            </w:r>
          </w:p>
        </w:tc>
      </w:tr>
      <w:tr w:rsidR="00580D45" w:rsidRPr="00A94043" w14:paraId="39671EDC" w14:textId="77777777" w:rsidTr="00580D45">
        <w:trPr>
          <w:trHeight w:val="289"/>
        </w:trPr>
        <w:tc>
          <w:tcPr>
            <w:tcW w:w="959" w:type="dxa"/>
            <w:noWrap/>
            <w:hideMark/>
          </w:tcPr>
          <w:p w14:paraId="44DF91F9"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17</w:t>
            </w:r>
          </w:p>
        </w:tc>
        <w:tc>
          <w:tcPr>
            <w:tcW w:w="2059" w:type="dxa"/>
            <w:vAlign w:val="bottom"/>
          </w:tcPr>
          <w:p w14:paraId="5BA6837F" w14:textId="0B8E3D96"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4FEFCFA7" w14:textId="243BD12C"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1007</w:t>
            </w:r>
          </w:p>
        </w:tc>
        <w:tc>
          <w:tcPr>
            <w:tcW w:w="1716" w:type="dxa"/>
            <w:noWrap/>
            <w:hideMark/>
          </w:tcPr>
          <w:p w14:paraId="3DFE1D7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6516</w:t>
            </w:r>
          </w:p>
        </w:tc>
        <w:tc>
          <w:tcPr>
            <w:tcW w:w="1716" w:type="dxa"/>
            <w:noWrap/>
            <w:hideMark/>
          </w:tcPr>
          <w:p w14:paraId="58BD82B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15640</w:t>
            </w:r>
          </w:p>
        </w:tc>
        <w:tc>
          <w:tcPr>
            <w:tcW w:w="1715" w:type="dxa"/>
            <w:noWrap/>
            <w:hideMark/>
          </w:tcPr>
          <w:p w14:paraId="794BDB6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127</w:t>
            </w:r>
          </w:p>
        </w:tc>
        <w:tc>
          <w:tcPr>
            <w:tcW w:w="1716" w:type="dxa"/>
            <w:noWrap/>
            <w:hideMark/>
          </w:tcPr>
          <w:p w14:paraId="6E2CD81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112</w:t>
            </w:r>
          </w:p>
        </w:tc>
        <w:tc>
          <w:tcPr>
            <w:tcW w:w="1716" w:type="dxa"/>
            <w:noWrap/>
            <w:hideMark/>
          </w:tcPr>
          <w:p w14:paraId="496B6DF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92</w:t>
            </w:r>
          </w:p>
        </w:tc>
      </w:tr>
      <w:tr w:rsidR="00580D45" w:rsidRPr="00A94043" w14:paraId="2150A42C" w14:textId="77777777" w:rsidTr="00580D45">
        <w:trPr>
          <w:trHeight w:val="289"/>
        </w:trPr>
        <w:tc>
          <w:tcPr>
            <w:tcW w:w="959" w:type="dxa"/>
            <w:noWrap/>
            <w:hideMark/>
          </w:tcPr>
          <w:p w14:paraId="4417AE3F"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18</w:t>
            </w:r>
          </w:p>
        </w:tc>
        <w:tc>
          <w:tcPr>
            <w:tcW w:w="2059" w:type="dxa"/>
            <w:vAlign w:val="bottom"/>
          </w:tcPr>
          <w:p w14:paraId="570D6D89" w14:textId="6ADD49EE"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Gas Space Heater</w:t>
            </w:r>
          </w:p>
        </w:tc>
        <w:tc>
          <w:tcPr>
            <w:tcW w:w="1715" w:type="dxa"/>
            <w:noWrap/>
            <w:hideMark/>
          </w:tcPr>
          <w:p w14:paraId="5B8475EF" w14:textId="5B78222A"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1276</w:t>
            </w:r>
          </w:p>
        </w:tc>
        <w:tc>
          <w:tcPr>
            <w:tcW w:w="1716" w:type="dxa"/>
            <w:noWrap/>
            <w:hideMark/>
          </w:tcPr>
          <w:p w14:paraId="03AD43D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8261</w:t>
            </w:r>
          </w:p>
        </w:tc>
        <w:tc>
          <w:tcPr>
            <w:tcW w:w="1716" w:type="dxa"/>
            <w:noWrap/>
            <w:hideMark/>
          </w:tcPr>
          <w:p w14:paraId="291160A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19837</w:t>
            </w:r>
          </w:p>
        </w:tc>
        <w:tc>
          <w:tcPr>
            <w:tcW w:w="1715" w:type="dxa"/>
            <w:noWrap/>
            <w:hideMark/>
          </w:tcPr>
          <w:p w14:paraId="1AB5F20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5113176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w:t>
            </w:r>
          </w:p>
        </w:tc>
        <w:tc>
          <w:tcPr>
            <w:tcW w:w="1716" w:type="dxa"/>
            <w:noWrap/>
            <w:hideMark/>
          </w:tcPr>
          <w:p w14:paraId="647616A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w:t>
            </w:r>
          </w:p>
        </w:tc>
      </w:tr>
      <w:tr w:rsidR="00580D45" w:rsidRPr="00A94043" w14:paraId="6B7D62DA" w14:textId="77777777" w:rsidTr="00580D45">
        <w:trPr>
          <w:trHeight w:val="289"/>
        </w:trPr>
        <w:tc>
          <w:tcPr>
            <w:tcW w:w="959" w:type="dxa"/>
            <w:noWrap/>
            <w:hideMark/>
          </w:tcPr>
          <w:p w14:paraId="2DB6DDBD"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19</w:t>
            </w:r>
          </w:p>
        </w:tc>
        <w:tc>
          <w:tcPr>
            <w:tcW w:w="2059" w:type="dxa"/>
            <w:vAlign w:val="bottom"/>
          </w:tcPr>
          <w:p w14:paraId="047F5860" w14:textId="466A1045"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Ducted Gas</w:t>
            </w:r>
          </w:p>
        </w:tc>
        <w:tc>
          <w:tcPr>
            <w:tcW w:w="1715" w:type="dxa"/>
            <w:noWrap/>
            <w:hideMark/>
          </w:tcPr>
          <w:p w14:paraId="5B656683" w14:textId="2B42B8FC"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1257</w:t>
            </w:r>
          </w:p>
        </w:tc>
        <w:tc>
          <w:tcPr>
            <w:tcW w:w="1716" w:type="dxa"/>
            <w:noWrap/>
            <w:hideMark/>
          </w:tcPr>
          <w:p w14:paraId="5C1A9B0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8278</w:t>
            </w:r>
          </w:p>
        </w:tc>
        <w:tc>
          <w:tcPr>
            <w:tcW w:w="1716" w:type="dxa"/>
            <w:noWrap/>
            <w:hideMark/>
          </w:tcPr>
          <w:p w14:paraId="03BA943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20005</w:t>
            </w:r>
          </w:p>
        </w:tc>
        <w:tc>
          <w:tcPr>
            <w:tcW w:w="1715" w:type="dxa"/>
            <w:noWrap/>
            <w:hideMark/>
          </w:tcPr>
          <w:p w14:paraId="27D5DE8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42.4</w:t>
            </w:r>
          </w:p>
        </w:tc>
        <w:tc>
          <w:tcPr>
            <w:tcW w:w="1716" w:type="dxa"/>
            <w:noWrap/>
            <w:hideMark/>
          </w:tcPr>
          <w:p w14:paraId="52C77A6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37.3</w:t>
            </w:r>
          </w:p>
        </w:tc>
        <w:tc>
          <w:tcPr>
            <w:tcW w:w="1716" w:type="dxa"/>
            <w:noWrap/>
            <w:hideMark/>
          </w:tcPr>
          <w:p w14:paraId="49AF773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30.5</w:t>
            </w:r>
          </w:p>
        </w:tc>
      </w:tr>
      <w:tr w:rsidR="00580D45" w:rsidRPr="00A94043" w14:paraId="5C67233B" w14:textId="77777777" w:rsidTr="00580D45">
        <w:trPr>
          <w:trHeight w:val="289"/>
        </w:trPr>
        <w:tc>
          <w:tcPr>
            <w:tcW w:w="959" w:type="dxa"/>
            <w:noWrap/>
            <w:hideMark/>
          </w:tcPr>
          <w:p w14:paraId="44463849"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20</w:t>
            </w:r>
          </w:p>
        </w:tc>
        <w:tc>
          <w:tcPr>
            <w:tcW w:w="2059" w:type="dxa"/>
            <w:vAlign w:val="bottom"/>
          </w:tcPr>
          <w:p w14:paraId="2FD58597" w14:textId="6DFEF49D"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54EA225C" w14:textId="7F9A190F"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1343</w:t>
            </w:r>
          </w:p>
        </w:tc>
        <w:tc>
          <w:tcPr>
            <w:tcW w:w="1716" w:type="dxa"/>
            <w:noWrap/>
            <w:hideMark/>
          </w:tcPr>
          <w:p w14:paraId="3534F51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8761</w:t>
            </w:r>
          </w:p>
        </w:tc>
        <w:tc>
          <w:tcPr>
            <w:tcW w:w="1716" w:type="dxa"/>
            <w:noWrap/>
            <w:hideMark/>
          </w:tcPr>
          <w:p w14:paraId="4BAB731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21399</w:t>
            </w:r>
          </w:p>
        </w:tc>
        <w:tc>
          <w:tcPr>
            <w:tcW w:w="1715" w:type="dxa"/>
            <w:noWrap/>
            <w:hideMark/>
          </w:tcPr>
          <w:p w14:paraId="0B6BC76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0.0</w:t>
            </w:r>
          </w:p>
        </w:tc>
        <w:tc>
          <w:tcPr>
            <w:tcW w:w="1716" w:type="dxa"/>
            <w:noWrap/>
            <w:hideMark/>
          </w:tcPr>
          <w:p w14:paraId="40CD5FC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0.0</w:t>
            </w:r>
          </w:p>
        </w:tc>
        <w:tc>
          <w:tcPr>
            <w:tcW w:w="1716" w:type="dxa"/>
            <w:noWrap/>
            <w:hideMark/>
          </w:tcPr>
          <w:p w14:paraId="21E1542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0.0</w:t>
            </w:r>
          </w:p>
        </w:tc>
      </w:tr>
    </w:tbl>
    <w:p w14:paraId="63D627E4" w14:textId="77777777" w:rsidR="001E1422" w:rsidRDefault="001E1422" w:rsidP="00580D45">
      <w:pPr>
        <w:pStyle w:val="NoSpacing"/>
        <w:rPr>
          <w:rFonts w:asciiTheme="minorHAnsi" w:hAnsiTheme="minorHAnsi" w:cstheme="minorHAnsi"/>
          <w:b/>
          <w:bCs/>
          <w:i/>
          <w:iCs/>
        </w:rPr>
      </w:pPr>
    </w:p>
    <w:p w14:paraId="2B9F212E" w14:textId="77777777" w:rsidR="00001216" w:rsidRDefault="00001216">
      <w:pPr>
        <w:spacing w:after="0" w:line="240" w:lineRule="auto"/>
        <w:rPr>
          <w:rFonts w:asciiTheme="minorHAnsi" w:hAnsiTheme="minorHAnsi" w:cstheme="minorHAnsi"/>
          <w:b/>
          <w:bCs/>
          <w:i/>
          <w:iCs/>
        </w:rPr>
      </w:pPr>
      <w:r>
        <w:rPr>
          <w:rFonts w:asciiTheme="minorHAnsi" w:hAnsiTheme="minorHAnsi" w:cstheme="minorHAnsi"/>
          <w:b/>
          <w:bCs/>
          <w:i/>
          <w:iCs/>
        </w:rPr>
        <w:br w:type="page"/>
      </w:r>
    </w:p>
    <w:p w14:paraId="72939D72" w14:textId="7301EAF1" w:rsidR="00580D45" w:rsidRPr="0088379C" w:rsidRDefault="00B37123" w:rsidP="00580D45">
      <w:pPr>
        <w:pStyle w:val="NoSpacing"/>
        <w:rPr>
          <w:rFonts w:asciiTheme="minorHAnsi" w:hAnsiTheme="minorHAnsi" w:cstheme="minorHAnsi"/>
          <w:b/>
          <w:bCs/>
        </w:rPr>
      </w:pPr>
      <w:r w:rsidRPr="00295AEF">
        <w:rPr>
          <w:rFonts w:asciiTheme="minorHAnsi" w:hAnsiTheme="minorHAnsi" w:cstheme="minorHAnsi"/>
          <w:b/>
          <w:bCs/>
          <w:i/>
          <w:iCs/>
        </w:rPr>
        <w:lastRenderedPageBreak/>
        <w:t>Calculation Results, continued</w:t>
      </w:r>
    </w:p>
    <w:tbl>
      <w:tblPr>
        <w:tblStyle w:val="TableGrid"/>
        <w:tblW w:w="13312" w:type="dxa"/>
        <w:tblLayout w:type="fixed"/>
        <w:tblLook w:val="04A0" w:firstRow="1" w:lastRow="0" w:firstColumn="1" w:lastColumn="0" w:noHBand="0" w:noVBand="1"/>
      </w:tblPr>
      <w:tblGrid>
        <w:gridCol w:w="946"/>
        <w:gridCol w:w="2061"/>
        <w:gridCol w:w="1717"/>
        <w:gridCol w:w="1718"/>
        <w:gridCol w:w="1717"/>
        <w:gridCol w:w="1718"/>
        <w:gridCol w:w="1717"/>
        <w:gridCol w:w="1718"/>
      </w:tblGrid>
      <w:tr w:rsidR="00580D45" w:rsidRPr="00A94043" w14:paraId="6BB92A80" w14:textId="77777777" w:rsidTr="00580D45">
        <w:trPr>
          <w:trHeight w:val="900"/>
        </w:trPr>
        <w:tc>
          <w:tcPr>
            <w:tcW w:w="946" w:type="dxa"/>
            <w:hideMark/>
          </w:tcPr>
          <w:p w14:paraId="19EB9685" w14:textId="27C3A671" w:rsidR="00580D45" w:rsidRPr="00A94043" w:rsidRDefault="00580D45" w:rsidP="00580D45">
            <w:pPr>
              <w:pStyle w:val="NoSpacing"/>
              <w:rPr>
                <w:rFonts w:asciiTheme="minorHAnsi" w:hAnsiTheme="minorHAnsi" w:cstheme="minorHAnsi"/>
                <w:b/>
                <w:bCs/>
              </w:rPr>
            </w:pPr>
            <w:r w:rsidRPr="00A94043">
              <w:rPr>
                <w:rFonts w:asciiTheme="minorHAnsi" w:hAnsiTheme="minorHAnsi" w:cstheme="minorHAnsi"/>
                <w:b/>
                <w:bCs/>
              </w:rPr>
              <w:t>Heater Unit</w:t>
            </w:r>
          </w:p>
        </w:tc>
        <w:tc>
          <w:tcPr>
            <w:tcW w:w="2061" w:type="dxa"/>
          </w:tcPr>
          <w:p w14:paraId="26247B0F" w14:textId="3437960B"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7" w:type="dxa"/>
            <w:hideMark/>
          </w:tcPr>
          <w:p w14:paraId="7DFA2868" w14:textId="4DE61F27"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Annual Energy Use</w:t>
            </w:r>
            <w:r w:rsidR="0049481A">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Hot (kWh/y)</w:t>
            </w:r>
          </w:p>
        </w:tc>
        <w:tc>
          <w:tcPr>
            <w:tcW w:w="1718" w:type="dxa"/>
            <w:hideMark/>
          </w:tcPr>
          <w:p w14:paraId="00ED118D" w14:textId="5C1CF827"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Annual Energy Use</w:t>
            </w:r>
            <w:r w:rsidR="0049481A">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Average (kWh/y)</w:t>
            </w:r>
          </w:p>
        </w:tc>
        <w:tc>
          <w:tcPr>
            <w:tcW w:w="1717" w:type="dxa"/>
            <w:hideMark/>
          </w:tcPr>
          <w:p w14:paraId="21C6F3C4" w14:textId="159F519E"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Annual Energy Use</w:t>
            </w:r>
            <w:r w:rsidR="0049481A">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Cold (kWh/y)</w:t>
            </w:r>
          </w:p>
        </w:tc>
        <w:tc>
          <w:tcPr>
            <w:tcW w:w="1718" w:type="dxa"/>
            <w:hideMark/>
          </w:tcPr>
          <w:p w14:paraId="688259C1" w14:textId="4A2AA663"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sidR="0049481A">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HSPF _hot</w:t>
            </w:r>
          </w:p>
        </w:tc>
        <w:tc>
          <w:tcPr>
            <w:tcW w:w="1717" w:type="dxa"/>
            <w:hideMark/>
          </w:tcPr>
          <w:p w14:paraId="6BBA2541" w14:textId="5098832A"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sidR="0049481A">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HSPF _av</w:t>
            </w:r>
            <w:r>
              <w:rPr>
                <w:rFonts w:asciiTheme="minorHAnsi" w:hAnsiTheme="minorHAnsi" w:cstheme="minorHAnsi"/>
                <w:b/>
                <w:bCs/>
              </w:rPr>
              <w:t>erage</w:t>
            </w:r>
          </w:p>
        </w:tc>
        <w:tc>
          <w:tcPr>
            <w:tcW w:w="1718" w:type="dxa"/>
            <w:hideMark/>
          </w:tcPr>
          <w:p w14:paraId="5F341291" w14:textId="702EDD4C" w:rsidR="00580D45" w:rsidRPr="00A94043" w:rsidRDefault="00580D45" w:rsidP="00580D45">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sidR="0049481A">
              <w:rPr>
                <w:rFonts w:asciiTheme="minorHAnsi" w:hAnsiTheme="minorHAnsi" w:cstheme="minorHAnsi"/>
                <w:b/>
                <w:bCs/>
              </w:rPr>
              <w:t>:</w:t>
            </w:r>
            <w:r>
              <w:rPr>
                <w:rFonts w:asciiTheme="minorHAnsi" w:hAnsiTheme="minorHAnsi" w:cstheme="minorHAnsi"/>
                <w:b/>
                <w:bCs/>
              </w:rPr>
              <w:t xml:space="preserve"> </w:t>
            </w:r>
            <w:r w:rsidRPr="00A94043">
              <w:rPr>
                <w:rFonts w:asciiTheme="minorHAnsi" w:hAnsiTheme="minorHAnsi" w:cstheme="minorHAnsi"/>
                <w:b/>
                <w:bCs/>
              </w:rPr>
              <w:t>HSPF _cold</w:t>
            </w:r>
          </w:p>
        </w:tc>
      </w:tr>
      <w:tr w:rsidR="00580D45" w:rsidRPr="00A94043" w14:paraId="2C5901C1" w14:textId="77777777" w:rsidTr="00580D45">
        <w:trPr>
          <w:trHeight w:val="289"/>
        </w:trPr>
        <w:tc>
          <w:tcPr>
            <w:tcW w:w="946" w:type="dxa"/>
            <w:noWrap/>
            <w:hideMark/>
          </w:tcPr>
          <w:p w14:paraId="39A06AEF"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w:t>
            </w:r>
          </w:p>
        </w:tc>
        <w:tc>
          <w:tcPr>
            <w:tcW w:w="2061" w:type="dxa"/>
          </w:tcPr>
          <w:p w14:paraId="4FEF1C65" w14:textId="65C0305E" w:rsidR="00580D45" w:rsidRPr="00A94043" w:rsidRDefault="00001216" w:rsidP="00580D45">
            <w:pPr>
              <w:pStyle w:val="NoSpacing"/>
              <w:jc w:val="center"/>
              <w:rPr>
                <w:rFonts w:asciiTheme="minorHAnsi" w:hAnsiTheme="minorHAnsi" w:cstheme="minorHAnsi"/>
              </w:rPr>
            </w:pPr>
            <w:r>
              <w:rPr>
                <w:rFonts w:cs="Calibri"/>
                <w:color w:val="000000"/>
                <w:szCs w:val="22"/>
              </w:rPr>
              <w:t>AC</w:t>
            </w:r>
            <w:r w:rsidR="00B54548" w:rsidRPr="00B54548">
              <w:rPr>
                <w:rFonts w:cs="Calibri"/>
                <w:color w:val="000000"/>
                <w:szCs w:val="22"/>
                <w:vertAlign w:val="superscript"/>
              </w:rPr>
              <w:fldChar w:fldCharType="begin"/>
            </w:r>
            <w:r w:rsidR="00B54548" w:rsidRPr="00B54548">
              <w:rPr>
                <w:rFonts w:cs="Calibri"/>
                <w:color w:val="000000"/>
                <w:szCs w:val="22"/>
                <w:vertAlign w:val="superscript"/>
              </w:rPr>
              <w:instrText xml:space="preserve"> NOTEREF _Ref171944923 \h </w:instrText>
            </w:r>
            <w:r w:rsidR="00B54548">
              <w:rPr>
                <w:rFonts w:cs="Calibri"/>
                <w:color w:val="000000"/>
                <w:szCs w:val="22"/>
                <w:vertAlign w:val="superscript"/>
              </w:rPr>
              <w:instrText xml:space="preserve"> \* MERGEFORMAT </w:instrText>
            </w:r>
            <w:r w:rsidR="00B54548" w:rsidRPr="00B54548">
              <w:rPr>
                <w:rFonts w:cs="Calibri"/>
                <w:color w:val="000000"/>
                <w:szCs w:val="22"/>
                <w:vertAlign w:val="superscript"/>
              </w:rPr>
            </w:r>
            <w:r w:rsidR="00B54548" w:rsidRPr="00B54548">
              <w:rPr>
                <w:rFonts w:cs="Calibri"/>
                <w:color w:val="000000"/>
                <w:szCs w:val="22"/>
                <w:vertAlign w:val="superscript"/>
              </w:rPr>
              <w:fldChar w:fldCharType="separate"/>
            </w:r>
            <w:r w:rsidR="007068DD" w:rsidRPr="007068DD">
              <w:rPr>
                <w:vertAlign w:val="superscript"/>
              </w:rPr>
              <w:t>^</w:t>
            </w:r>
            <w:r w:rsidR="00B54548" w:rsidRPr="00B54548">
              <w:rPr>
                <w:rFonts w:cs="Calibri"/>
                <w:color w:val="000000"/>
                <w:szCs w:val="22"/>
                <w:vertAlign w:val="superscript"/>
              </w:rPr>
              <w:fldChar w:fldCharType="end"/>
            </w:r>
            <w:r w:rsidR="00580D45" w:rsidRPr="00A94043">
              <w:rPr>
                <w:rFonts w:cs="Calibri"/>
                <w:color w:val="000000"/>
                <w:szCs w:val="22"/>
              </w:rPr>
              <w:t xml:space="preserve"> (Non-ducted)</w:t>
            </w:r>
          </w:p>
        </w:tc>
        <w:tc>
          <w:tcPr>
            <w:tcW w:w="1717" w:type="dxa"/>
            <w:noWrap/>
            <w:hideMark/>
          </w:tcPr>
          <w:p w14:paraId="5A33252B" w14:textId="0C6207CD"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47</w:t>
            </w:r>
          </w:p>
        </w:tc>
        <w:tc>
          <w:tcPr>
            <w:tcW w:w="1718" w:type="dxa"/>
            <w:noWrap/>
            <w:hideMark/>
          </w:tcPr>
          <w:p w14:paraId="7725D45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292</w:t>
            </w:r>
          </w:p>
        </w:tc>
        <w:tc>
          <w:tcPr>
            <w:tcW w:w="1717" w:type="dxa"/>
            <w:noWrap/>
            <w:hideMark/>
          </w:tcPr>
          <w:p w14:paraId="0150C34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742</w:t>
            </w:r>
          </w:p>
        </w:tc>
        <w:tc>
          <w:tcPr>
            <w:tcW w:w="1718" w:type="dxa"/>
            <w:noWrap/>
            <w:hideMark/>
          </w:tcPr>
          <w:p w14:paraId="126096B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4.06</w:t>
            </w:r>
          </w:p>
        </w:tc>
        <w:tc>
          <w:tcPr>
            <w:tcW w:w="1717" w:type="dxa"/>
            <w:noWrap/>
            <w:hideMark/>
          </w:tcPr>
          <w:p w14:paraId="1E82EA7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3.80</w:t>
            </w:r>
          </w:p>
        </w:tc>
        <w:tc>
          <w:tcPr>
            <w:tcW w:w="1718" w:type="dxa"/>
            <w:noWrap/>
            <w:hideMark/>
          </w:tcPr>
          <w:p w14:paraId="1F69792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3.55</w:t>
            </w:r>
          </w:p>
        </w:tc>
      </w:tr>
      <w:tr w:rsidR="00580D45" w:rsidRPr="00A94043" w14:paraId="0B86B266" w14:textId="77777777" w:rsidTr="00580D45">
        <w:trPr>
          <w:trHeight w:val="289"/>
        </w:trPr>
        <w:tc>
          <w:tcPr>
            <w:tcW w:w="946" w:type="dxa"/>
            <w:noWrap/>
            <w:hideMark/>
          </w:tcPr>
          <w:p w14:paraId="6DA516A0"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2</w:t>
            </w:r>
          </w:p>
        </w:tc>
        <w:tc>
          <w:tcPr>
            <w:tcW w:w="2061" w:type="dxa"/>
          </w:tcPr>
          <w:p w14:paraId="4C6FC04F" w14:textId="0923D2A0"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7161E195" w14:textId="3B9729FC"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181</w:t>
            </w:r>
          </w:p>
        </w:tc>
        <w:tc>
          <w:tcPr>
            <w:tcW w:w="1718" w:type="dxa"/>
            <w:noWrap/>
            <w:hideMark/>
          </w:tcPr>
          <w:p w14:paraId="5318177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1098</w:t>
            </w:r>
          </w:p>
        </w:tc>
        <w:tc>
          <w:tcPr>
            <w:tcW w:w="1717" w:type="dxa"/>
            <w:noWrap/>
            <w:hideMark/>
          </w:tcPr>
          <w:p w14:paraId="5E49710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2619</w:t>
            </w:r>
          </w:p>
        </w:tc>
        <w:tc>
          <w:tcPr>
            <w:tcW w:w="1718" w:type="dxa"/>
            <w:noWrap/>
            <w:hideMark/>
          </w:tcPr>
          <w:p w14:paraId="4281B48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0.93</w:t>
            </w:r>
          </w:p>
        </w:tc>
        <w:tc>
          <w:tcPr>
            <w:tcW w:w="1717" w:type="dxa"/>
            <w:noWrap/>
            <w:hideMark/>
          </w:tcPr>
          <w:p w14:paraId="04F714C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0.99</w:t>
            </w:r>
          </w:p>
        </w:tc>
        <w:tc>
          <w:tcPr>
            <w:tcW w:w="1718" w:type="dxa"/>
            <w:noWrap/>
            <w:hideMark/>
          </w:tcPr>
          <w:p w14:paraId="15E4F48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1.00</w:t>
            </w:r>
          </w:p>
        </w:tc>
      </w:tr>
      <w:tr w:rsidR="00580D45" w:rsidRPr="00A94043" w14:paraId="0E19E554" w14:textId="77777777" w:rsidTr="00580D45">
        <w:trPr>
          <w:trHeight w:val="289"/>
        </w:trPr>
        <w:tc>
          <w:tcPr>
            <w:tcW w:w="946" w:type="dxa"/>
            <w:noWrap/>
            <w:hideMark/>
          </w:tcPr>
          <w:p w14:paraId="4976991E"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3</w:t>
            </w:r>
          </w:p>
        </w:tc>
        <w:tc>
          <w:tcPr>
            <w:tcW w:w="2061" w:type="dxa"/>
          </w:tcPr>
          <w:p w14:paraId="604A203A" w14:textId="3E53FD25"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65DCF83A" w14:textId="7B870D33"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189</w:t>
            </w:r>
          </w:p>
        </w:tc>
        <w:tc>
          <w:tcPr>
            <w:tcW w:w="1718" w:type="dxa"/>
            <w:noWrap/>
            <w:hideMark/>
          </w:tcPr>
          <w:p w14:paraId="692BAB3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1152</w:t>
            </w:r>
          </w:p>
        </w:tc>
        <w:tc>
          <w:tcPr>
            <w:tcW w:w="1717" w:type="dxa"/>
            <w:noWrap/>
            <w:hideMark/>
          </w:tcPr>
          <w:p w14:paraId="4B54A7F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2749</w:t>
            </w:r>
          </w:p>
        </w:tc>
        <w:tc>
          <w:tcPr>
            <w:tcW w:w="1718" w:type="dxa"/>
            <w:noWrap/>
            <w:hideMark/>
          </w:tcPr>
          <w:p w14:paraId="09BC64A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0.89</w:t>
            </w:r>
          </w:p>
        </w:tc>
        <w:tc>
          <w:tcPr>
            <w:tcW w:w="1717" w:type="dxa"/>
            <w:noWrap/>
            <w:hideMark/>
          </w:tcPr>
          <w:p w14:paraId="1B6F38A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0.94</w:t>
            </w:r>
          </w:p>
        </w:tc>
        <w:tc>
          <w:tcPr>
            <w:tcW w:w="1718" w:type="dxa"/>
            <w:noWrap/>
            <w:hideMark/>
          </w:tcPr>
          <w:p w14:paraId="14DD6FE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0.95</w:t>
            </w:r>
          </w:p>
        </w:tc>
      </w:tr>
      <w:tr w:rsidR="00580D45" w:rsidRPr="00A94043" w14:paraId="7C455F7A" w14:textId="77777777" w:rsidTr="00580D45">
        <w:trPr>
          <w:trHeight w:val="289"/>
        </w:trPr>
        <w:tc>
          <w:tcPr>
            <w:tcW w:w="946" w:type="dxa"/>
            <w:noWrap/>
            <w:hideMark/>
          </w:tcPr>
          <w:p w14:paraId="127F9226"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4</w:t>
            </w:r>
          </w:p>
        </w:tc>
        <w:tc>
          <w:tcPr>
            <w:tcW w:w="2061" w:type="dxa"/>
          </w:tcPr>
          <w:p w14:paraId="5BF5546A" w14:textId="3723570C"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43166BFC" w14:textId="66B99FA5"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198</w:t>
            </w:r>
          </w:p>
        </w:tc>
        <w:tc>
          <w:tcPr>
            <w:tcW w:w="1718" w:type="dxa"/>
            <w:noWrap/>
            <w:hideMark/>
          </w:tcPr>
          <w:p w14:paraId="4E39748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1207</w:t>
            </w:r>
          </w:p>
        </w:tc>
        <w:tc>
          <w:tcPr>
            <w:tcW w:w="1717" w:type="dxa"/>
            <w:noWrap/>
            <w:hideMark/>
          </w:tcPr>
          <w:p w14:paraId="0D37E13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2880</w:t>
            </w:r>
          </w:p>
        </w:tc>
        <w:tc>
          <w:tcPr>
            <w:tcW w:w="1718" w:type="dxa"/>
            <w:noWrap/>
            <w:hideMark/>
          </w:tcPr>
          <w:p w14:paraId="33C7DF1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0.85</w:t>
            </w:r>
          </w:p>
        </w:tc>
        <w:tc>
          <w:tcPr>
            <w:tcW w:w="1717" w:type="dxa"/>
            <w:noWrap/>
            <w:hideMark/>
          </w:tcPr>
          <w:p w14:paraId="15C61C3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0.90</w:t>
            </w:r>
          </w:p>
        </w:tc>
        <w:tc>
          <w:tcPr>
            <w:tcW w:w="1718" w:type="dxa"/>
            <w:noWrap/>
            <w:hideMark/>
          </w:tcPr>
          <w:p w14:paraId="6C365AC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0.91</w:t>
            </w:r>
          </w:p>
        </w:tc>
      </w:tr>
      <w:tr w:rsidR="00580D45" w:rsidRPr="00A94043" w14:paraId="4E231107" w14:textId="77777777" w:rsidTr="00580D45">
        <w:trPr>
          <w:trHeight w:val="289"/>
        </w:trPr>
        <w:tc>
          <w:tcPr>
            <w:tcW w:w="946" w:type="dxa"/>
            <w:noWrap/>
            <w:hideMark/>
          </w:tcPr>
          <w:p w14:paraId="0C6CCDC6"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5</w:t>
            </w:r>
          </w:p>
        </w:tc>
        <w:tc>
          <w:tcPr>
            <w:tcW w:w="2061" w:type="dxa"/>
          </w:tcPr>
          <w:p w14:paraId="38239BD9" w14:textId="61CF42B2"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Gas Space Heater</w:t>
            </w:r>
          </w:p>
        </w:tc>
        <w:tc>
          <w:tcPr>
            <w:tcW w:w="1717" w:type="dxa"/>
            <w:noWrap/>
            <w:hideMark/>
          </w:tcPr>
          <w:p w14:paraId="451EE18C" w14:textId="608D13C3"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203</w:t>
            </w:r>
          </w:p>
        </w:tc>
        <w:tc>
          <w:tcPr>
            <w:tcW w:w="1718" w:type="dxa"/>
            <w:noWrap/>
            <w:hideMark/>
          </w:tcPr>
          <w:p w14:paraId="4CBF8FA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1311</w:t>
            </w:r>
          </w:p>
        </w:tc>
        <w:tc>
          <w:tcPr>
            <w:tcW w:w="1717" w:type="dxa"/>
            <w:noWrap/>
            <w:hideMark/>
          </w:tcPr>
          <w:p w14:paraId="6BF7B53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3159</w:t>
            </w:r>
          </w:p>
        </w:tc>
        <w:tc>
          <w:tcPr>
            <w:tcW w:w="1718" w:type="dxa"/>
            <w:noWrap/>
            <w:hideMark/>
          </w:tcPr>
          <w:p w14:paraId="18EEEE5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0.83</w:t>
            </w:r>
          </w:p>
        </w:tc>
        <w:tc>
          <w:tcPr>
            <w:tcW w:w="1717" w:type="dxa"/>
            <w:noWrap/>
            <w:hideMark/>
          </w:tcPr>
          <w:p w14:paraId="213B76C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0.83</w:t>
            </w:r>
          </w:p>
        </w:tc>
        <w:tc>
          <w:tcPr>
            <w:tcW w:w="1718" w:type="dxa"/>
            <w:noWrap/>
            <w:hideMark/>
          </w:tcPr>
          <w:p w14:paraId="01484F9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0.83</w:t>
            </w:r>
          </w:p>
        </w:tc>
      </w:tr>
      <w:tr w:rsidR="00580D45" w:rsidRPr="00A94043" w14:paraId="255BFF9E" w14:textId="77777777" w:rsidTr="00580D45">
        <w:trPr>
          <w:trHeight w:val="289"/>
        </w:trPr>
        <w:tc>
          <w:tcPr>
            <w:tcW w:w="946" w:type="dxa"/>
            <w:noWrap/>
            <w:hideMark/>
          </w:tcPr>
          <w:p w14:paraId="32510EF7"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6</w:t>
            </w:r>
          </w:p>
        </w:tc>
        <w:tc>
          <w:tcPr>
            <w:tcW w:w="2061" w:type="dxa"/>
          </w:tcPr>
          <w:p w14:paraId="38587866" w14:textId="673E909C"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Solid Fuel Heater</w:t>
            </w:r>
          </w:p>
        </w:tc>
        <w:tc>
          <w:tcPr>
            <w:tcW w:w="1717" w:type="dxa"/>
            <w:noWrap/>
            <w:hideMark/>
          </w:tcPr>
          <w:p w14:paraId="6AB7DB5E" w14:textId="6021DD9E"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281</w:t>
            </w:r>
          </w:p>
        </w:tc>
        <w:tc>
          <w:tcPr>
            <w:tcW w:w="1718" w:type="dxa"/>
            <w:noWrap/>
            <w:hideMark/>
          </w:tcPr>
          <w:p w14:paraId="2A67837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1802</w:t>
            </w:r>
          </w:p>
        </w:tc>
        <w:tc>
          <w:tcPr>
            <w:tcW w:w="1717" w:type="dxa"/>
            <w:noWrap/>
            <w:hideMark/>
          </w:tcPr>
          <w:p w14:paraId="602BF9D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4276</w:t>
            </w:r>
          </w:p>
        </w:tc>
        <w:tc>
          <w:tcPr>
            <w:tcW w:w="1718" w:type="dxa"/>
            <w:noWrap/>
            <w:hideMark/>
          </w:tcPr>
          <w:p w14:paraId="121BDBF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0.60</w:t>
            </w:r>
          </w:p>
        </w:tc>
        <w:tc>
          <w:tcPr>
            <w:tcW w:w="1717" w:type="dxa"/>
            <w:noWrap/>
            <w:hideMark/>
          </w:tcPr>
          <w:p w14:paraId="51D22AB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0.60</w:t>
            </w:r>
          </w:p>
        </w:tc>
        <w:tc>
          <w:tcPr>
            <w:tcW w:w="1718" w:type="dxa"/>
            <w:noWrap/>
            <w:hideMark/>
          </w:tcPr>
          <w:p w14:paraId="06BD406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0.61</w:t>
            </w:r>
          </w:p>
        </w:tc>
      </w:tr>
      <w:tr w:rsidR="00580D45" w:rsidRPr="00A94043" w14:paraId="6B002C77" w14:textId="77777777" w:rsidTr="00580D45">
        <w:trPr>
          <w:trHeight w:val="289"/>
        </w:trPr>
        <w:tc>
          <w:tcPr>
            <w:tcW w:w="946" w:type="dxa"/>
            <w:noWrap/>
            <w:hideMark/>
          </w:tcPr>
          <w:p w14:paraId="556A0838"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7</w:t>
            </w:r>
          </w:p>
        </w:tc>
        <w:tc>
          <w:tcPr>
            <w:tcW w:w="2061" w:type="dxa"/>
          </w:tcPr>
          <w:p w14:paraId="3787749B" w14:textId="663EAABA" w:rsidR="00580D45" w:rsidRPr="00A94043" w:rsidRDefault="00580D45" w:rsidP="00580D45">
            <w:pPr>
              <w:pStyle w:val="NoSpacing"/>
              <w:jc w:val="center"/>
              <w:rPr>
                <w:rFonts w:asciiTheme="minorHAnsi" w:hAnsiTheme="minorHAnsi" w:cstheme="minorHAnsi"/>
              </w:rPr>
            </w:pPr>
            <w:r>
              <w:rPr>
                <w:rFonts w:cs="Calibri"/>
                <w:color w:val="000000"/>
                <w:szCs w:val="22"/>
              </w:rPr>
              <w:t xml:space="preserve">Gas </w:t>
            </w:r>
            <w:r w:rsidRPr="00A94043">
              <w:rPr>
                <w:rFonts w:cs="Calibri"/>
                <w:color w:val="000000"/>
                <w:szCs w:val="22"/>
              </w:rPr>
              <w:t>Decorative App.</w:t>
            </w:r>
          </w:p>
        </w:tc>
        <w:tc>
          <w:tcPr>
            <w:tcW w:w="1717" w:type="dxa"/>
            <w:noWrap/>
            <w:hideMark/>
          </w:tcPr>
          <w:p w14:paraId="5FCA328B" w14:textId="40BD0A7D"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358</w:t>
            </w:r>
          </w:p>
        </w:tc>
        <w:tc>
          <w:tcPr>
            <w:tcW w:w="1718" w:type="dxa"/>
            <w:noWrap/>
            <w:hideMark/>
          </w:tcPr>
          <w:p w14:paraId="6B01F56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2310</w:t>
            </w:r>
          </w:p>
        </w:tc>
        <w:tc>
          <w:tcPr>
            <w:tcW w:w="1717" w:type="dxa"/>
            <w:noWrap/>
            <w:hideMark/>
          </w:tcPr>
          <w:p w14:paraId="45307AB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5561</w:t>
            </w:r>
          </w:p>
        </w:tc>
        <w:tc>
          <w:tcPr>
            <w:tcW w:w="1718" w:type="dxa"/>
            <w:noWrap/>
            <w:hideMark/>
          </w:tcPr>
          <w:p w14:paraId="6FE1641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0.47</w:t>
            </w:r>
          </w:p>
        </w:tc>
        <w:tc>
          <w:tcPr>
            <w:tcW w:w="1717" w:type="dxa"/>
            <w:noWrap/>
            <w:hideMark/>
          </w:tcPr>
          <w:p w14:paraId="34CAF3B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0.47</w:t>
            </w:r>
          </w:p>
        </w:tc>
        <w:tc>
          <w:tcPr>
            <w:tcW w:w="1718" w:type="dxa"/>
            <w:noWrap/>
            <w:hideMark/>
          </w:tcPr>
          <w:p w14:paraId="68F3C60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0.47</w:t>
            </w:r>
          </w:p>
        </w:tc>
      </w:tr>
      <w:tr w:rsidR="00580D45" w:rsidRPr="00A94043" w14:paraId="5373B41A" w14:textId="77777777" w:rsidTr="00580D45">
        <w:trPr>
          <w:trHeight w:val="289"/>
        </w:trPr>
        <w:tc>
          <w:tcPr>
            <w:tcW w:w="946" w:type="dxa"/>
            <w:noWrap/>
            <w:hideMark/>
          </w:tcPr>
          <w:p w14:paraId="00B6C719"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8</w:t>
            </w:r>
          </w:p>
        </w:tc>
        <w:tc>
          <w:tcPr>
            <w:tcW w:w="2061" w:type="dxa"/>
          </w:tcPr>
          <w:p w14:paraId="76D66A7A" w14:textId="3C747633" w:rsidR="00580D45" w:rsidRPr="00A94043" w:rsidRDefault="00001216" w:rsidP="00580D45">
            <w:pPr>
              <w:pStyle w:val="NoSpacing"/>
              <w:jc w:val="center"/>
              <w:rPr>
                <w:rFonts w:asciiTheme="minorHAnsi" w:hAnsiTheme="minorHAnsi" w:cstheme="minorHAnsi"/>
              </w:rPr>
            </w:pPr>
            <w:r>
              <w:rPr>
                <w:rFonts w:cs="Calibri"/>
                <w:color w:val="000000"/>
                <w:szCs w:val="22"/>
              </w:rPr>
              <w:t>AC</w:t>
            </w:r>
            <w:r w:rsidR="00B54548" w:rsidRPr="00B54548">
              <w:rPr>
                <w:rFonts w:cs="Calibri"/>
                <w:color w:val="000000"/>
                <w:szCs w:val="22"/>
                <w:vertAlign w:val="superscript"/>
              </w:rPr>
              <w:fldChar w:fldCharType="begin"/>
            </w:r>
            <w:r w:rsidR="00B54548" w:rsidRPr="00B54548">
              <w:rPr>
                <w:rFonts w:cs="Calibri"/>
                <w:color w:val="000000"/>
                <w:szCs w:val="22"/>
                <w:vertAlign w:val="superscript"/>
              </w:rPr>
              <w:instrText xml:space="preserve"> NOTEREF _Ref171944923 \h </w:instrText>
            </w:r>
            <w:r w:rsidR="00B54548" w:rsidRPr="00B54548">
              <w:rPr>
                <w:rFonts w:cs="Calibri"/>
                <w:color w:val="000000"/>
                <w:szCs w:val="22"/>
                <w:vertAlign w:val="superscript"/>
              </w:rPr>
            </w:r>
            <w:r w:rsidR="00B54548" w:rsidRPr="00B54548">
              <w:rPr>
                <w:rFonts w:cs="Calibri"/>
                <w:color w:val="000000"/>
                <w:szCs w:val="22"/>
                <w:vertAlign w:val="superscript"/>
              </w:rPr>
              <w:fldChar w:fldCharType="separate"/>
            </w:r>
            <w:r w:rsidR="007068DD" w:rsidRPr="007068DD">
              <w:t>^</w:t>
            </w:r>
            <w:r w:rsidR="00B54548" w:rsidRPr="00B54548">
              <w:rPr>
                <w:rFonts w:cs="Calibri"/>
                <w:color w:val="000000"/>
                <w:szCs w:val="22"/>
                <w:vertAlign w:val="superscript"/>
              </w:rPr>
              <w:fldChar w:fldCharType="end"/>
            </w:r>
            <w:r w:rsidR="00B54548">
              <w:rPr>
                <w:rFonts w:cs="Calibri"/>
                <w:color w:val="000000"/>
                <w:szCs w:val="22"/>
              </w:rPr>
              <w:t xml:space="preserve"> </w:t>
            </w:r>
            <w:r w:rsidR="00580D45" w:rsidRPr="00A94043">
              <w:rPr>
                <w:rFonts w:cs="Calibri"/>
                <w:color w:val="000000"/>
                <w:szCs w:val="22"/>
              </w:rPr>
              <w:t>(Non-ducted)</w:t>
            </w:r>
          </w:p>
        </w:tc>
        <w:tc>
          <w:tcPr>
            <w:tcW w:w="1717" w:type="dxa"/>
            <w:noWrap/>
            <w:hideMark/>
          </w:tcPr>
          <w:p w14:paraId="7F00B2EA" w14:textId="7FA7AD7D"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135</w:t>
            </w:r>
          </w:p>
        </w:tc>
        <w:tc>
          <w:tcPr>
            <w:tcW w:w="1718" w:type="dxa"/>
            <w:noWrap/>
            <w:hideMark/>
          </w:tcPr>
          <w:p w14:paraId="58DCBAF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918</w:t>
            </w:r>
          </w:p>
        </w:tc>
        <w:tc>
          <w:tcPr>
            <w:tcW w:w="1717" w:type="dxa"/>
            <w:noWrap/>
            <w:hideMark/>
          </w:tcPr>
          <w:p w14:paraId="26FE443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2499</w:t>
            </w:r>
          </w:p>
        </w:tc>
        <w:tc>
          <w:tcPr>
            <w:tcW w:w="1718" w:type="dxa"/>
            <w:noWrap/>
            <w:hideMark/>
          </w:tcPr>
          <w:p w14:paraId="038BD6B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4.8</w:t>
            </w:r>
          </w:p>
        </w:tc>
        <w:tc>
          <w:tcPr>
            <w:tcW w:w="1717" w:type="dxa"/>
            <w:noWrap/>
            <w:hideMark/>
          </w:tcPr>
          <w:p w14:paraId="26B7D63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w:t>
            </w:r>
          </w:p>
        </w:tc>
        <w:tc>
          <w:tcPr>
            <w:tcW w:w="1718" w:type="dxa"/>
            <w:noWrap/>
            <w:hideMark/>
          </w:tcPr>
          <w:p w14:paraId="75A198E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3.7</w:t>
            </w:r>
          </w:p>
        </w:tc>
      </w:tr>
      <w:tr w:rsidR="00580D45" w:rsidRPr="00A94043" w14:paraId="753E5B08" w14:textId="77777777" w:rsidTr="00580D45">
        <w:trPr>
          <w:trHeight w:val="289"/>
        </w:trPr>
        <w:tc>
          <w:tcPr>
            <w:tcW w:w="946" w:type="dxa"/>
            <w:noWrap/>
            <w:hideMark/>
          </w:tcPr>
          <w:p w14:paraId="18D12FBA"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9</w:t>
            </w:r>
          </w:p>
        </w:tc>
        <w:tc>
          <w:tcPr>
            <w:tcW w:w="2061" w:type="dxa"/>
          </w:tcPr>
          <w:p w14:paraId="479EACE5" w14:textId="3E25C51D"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 xml:space="preserve">Ducted </w:t>
            </w:r>
            <w:r w:rsidR="00001216">
              <w:rPr>
                <w:rFonts w:cs="Calibri"/>
                <w:color w:val="000000"/>
                <w:szCs w:val="22"/>
              </w:rPr>
              <w:t>AC</w:t>
            </w:r>
            <w:r w:rsidR="00B54548" w:rsidRPr="00B54548">
              <w:rPr>
                <w:rFonts w:cs="Calibri"/>
                <w:color w:val="000000"/>
                <w:szCs w:val="22"/>
                <w:vertAlign w:val="superscript"/>
              </w:rPr>
              <w:fldChar w:fldCharType="begin"/>
            </w:r>
            <w:r w:rsidR="00B54548" w:rsidRPr="00B54548">
              <w:rPr>
                <w:rFonts w:cs="Calibri"/>
                <w:color w:val="000000"/>
                <w:szCs w:val="22"/>
                <w:vertAlign w:val="superscript"/>
              </w:rPr>
              <w:instrText xml:space="preserve"> NOTEREF _Ref171944923 \h </w:instrText>
            </w:r>
            <w:r w:rsidR="00B54548" w:rsidRPr="00B54548">
              <w:rPr>
                <w:rFonts w:cs="Calibri"/>
                <w:color w:val="000000"/>
                <w:szCs w:val="22"/>
                <w:vertAlign w:val="superscript"/>
              </w:rPr>
            </w:r>
            <w:r w:rsidR="00B54548" w:rsidRPr="00B54548">
              <w:rPr>
                <w:rFonts w:cs="Calibri"/>
                <w:color w:val="000000"/>
                <w:szCs w:val="22"/>
                <w:vertAlign w:val="superscript"/>
              </w:rPr>
              <w:fldChar w:fldCharType="separate"/>
            </w:r>
            <w:r w:rsidR="007068DD" w:rsidRPr="007068DD">
              <w:t>^</w:t>
            </w:r>
            <w:r w:rsidR="00B54548" w:rsidRPr="00B54548">
              <w:rPr>
                <w:rFonts w:cs="Calibri"/>
                <w:color w:val="000000"/>
                <w:szCs w:val="22"/>
                <w:vertAlign w:val="superscript"/>
              </w:rPr>
              <w:fldChar w:fldCharType="end"/>
            </w:r>
          </w:p>
        </w:tc>
        <w:tc>
          <w:tcPr>
            <w:tcW w:w="1717" w:type="dxa"/>
            <w:noWrap/>
            <w:hideMark/>
          </w:tcPr>
          <w:p w14:paraId="2C20A3BA" w14:textId="437120EC"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165</w:t>
            </w:r>
          </w:p>
        </w:tc>
        <w:tc>
          <w:tcPr>
            <w:tcW w:w="1718" w:type="dxa"/>
            <w:noWrap/>
            <w:hideMark/>
          </w:tcPr>
          <w:p w14:paraId="7B35D00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1009</w:t>
            </w:r>
          </w:p>
        </w:tc>
        <w:tc>
          <w:tcPr>
            <w:tcW w:w="1717" w:type="dxa"/>
            <w:noWrap/>
            <w:hideMark/>
          </w:tcPr>
          <w:p w14:paraId="5A7AF5A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2689</w:t>
            </w:r>
          </w:p>
        </w:tc>
        <w:tc>
          <w:tcPr>
            <w:tcW w:w="1718" w:type="dxa"/>
            <w:noWrap/>
            <w:hideMark/>
          </w:tcPr>
          <w:p w14:paraId="3A3023B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4.4</w:t>
            </w:r>
          </w:p>
        </w:tc>
        <w:tc>
          <w:tcPr>
            <w:tcW w:w="1717" w:type="dxa"/>
            <w:noWrap/>
            <w:hideMark/>
          </w:tcPr>
          <w:p w14:paraId="63D65DC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3.9</w:t>
            </w:r>
          </w:p>
        </w:tc>
        <w:tc>
          <w:tcPr>
            <w:tcW w:w="1718" w:type="dxa"/>
            <w:noWrap/>
            <w:hideMark/>
          </w:tcPr>
          <w:p w14:paraId="31D937C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3.4</w:t>
            </w:r>
          </w:p>
        </w:tc>
      </w:tr>
      <w:tr w:rsidR="00580D45" w:rsidRPr="00A94043" w14:paraId="2A69D475" w14:textId="77777777" w:rsidTr="00580D45">
        <w:trPr>
          <w:trHeight w:val="289"/>
        </w:trPr>
        <w:tc>
          <w:tcPr>
            <w:tcW w:w="946" w:type="dxa"/>
            <w:noWrap/>
            <w:hideMark/>
          </w:tcPr>
          <w:p w14:paraId="74373E82"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10</w:t>
            </w:r>
          </w:p>
        </w:tc>
        <w:tc>
          <w:tcPr>
            <w:tcW w:w="2061" w:type="dxa"/>
          </w:tcPr>
          <w:p w14:paraId="32CCF0EE" w14:textId="09C3FF5A"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06660421" w14:textId="7A012E11"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627</w:t>
            </w:r>
          </w:p>
        </w:tc>
        <w:tc>
          <w:tcPr>
            <w:tcW w:w="1718" w:type="dxa"/>
            <w:noWrap/>
            <w:hideMark/>
          </w:tcPr>
          <w:p w14:paraId="12B9260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3837</w:t>
            </w:r>
          </w:p>
        </w:tc>
        <w:tc>
          <w:tcPr>
            <w:tcW w:w="1717" w:type="dxa"/>
            <w:noWrap/>
            <w:hideMark/>
          </w:tcPr>
          <w:p w14:paraId="63F5A62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9160</w:t>
            </w:r>
          </w:p>
        </w:tc>
        <w:tc>
          <w:tcPr>
            <w:tcW w:w="1718" w:type="dxa"/>
            <w:noWrap/>
            <w:hideMark/>
          </w:tcPr>
          <w:p w14:paraId="61F4E3F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0.94</w:t>
            </w:r>
          </w:p>
        </w:tc>
        <w:tc>
          <w:tcPr>
            <w:tcW w:w="1717" w:type="dxa"/>
            <w:noWrap/>
            <w:hideMark/>
          </w:tcPr>
          <w:p w14:paraId="0AD954F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0.99</w:t>
            </w:r>
          </w:p>
        </w:tc>
        <w:tc>
          <w:tcPr>
            <w:tcW w:w="1718" w:type="dxa"/>
            <w:noWrap/>
            <w:hideMark/>
          </w:tcPr>
          <w:p w14:paraId="4E9E4FD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1.00</w:t>
            </w:r>
          </w:p>
        </w:tc>
      </w:tr>
      <w:tr w:rsidR="00580D45" w:rsidRPr="00A94043" w14:paraId="40420AA9" w14:textId="77777777" w:rsidTr="00580D45">
        <w:trPr>
          <w:trHeight w:val="289"/>
        </w:trPr>
        <w:tc>
          <w:tcPr>
            <w:tcW w:w="946" w:type="dxa"/>
            <w:noWrap/>
            <w:hideMark/>
          </w:tcPr>
          <w:p w14:paraId="39084ED1"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11</w:t>
            </w:r>
          </w:p>
        </w:tc>
        <w:tc>
          <w:tcPr>
            <w:tcW w:w="2061" w:type="dxa"/>
          </w:tcPr>
          <w:p w14:paraId="6CB3FECF" w14:textId="3F27D951"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0EC47841" w14:textId="380250B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715</w:t>
            </w:r>
          </w:p>
        </w:tc>
        <w:tc>
          <w:tcPr>
            <w:tcW w:w="1718" w:type="dxa"/>
            <w:noWrap/>
            <w:hideMark/>
          </w:tcPr>
          <w:p w14:paraId="2245FE4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3913</w:t>
            </w:r>
          </w:p>
        </w:tc>
        <w:tc>
          <w:tcPr>
            <w:tcW w:w="1717" w:type="dxa"/>
            <w:noWrap/>
            <w:hideMark/>
          </w:tcPr>
          <w:p w14:paraId="72399BA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9215</w:t>
            </w:r>
          </w:p>
        </w:tc>
        <w:tc>
          <w:tcPr>
            <w:tcW w:w="1718" w:type="dxa"/>
            <w:noWrap/>
            <w:hideMark/>
          </w:tcPr>
          <w:p w14:paraId="27151AA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0.82</w:t>
            </w:r>
          </w:p>
        </w:tc>
        <w:tc>
          <w:tcPr>
            <w:tcW w:w="1717" w:type="dxa"/>
            <w:noWrap/>
            <w:hideMark/>
          </w:tcPr>
          <w:p w14:paraId="6FAD43E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0.97</w:t>
            </w:r>
          </w:p>
        </w:tc>
        <w:tc>
          <w:tcPr>
            <w:tcW w:w="1718" w:type="dxa"/>
            <w:noWrap/>
            <w:hideMark/>
          </w:tcPr>
          <w:p w14:paraId="6513B63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0.99</w:t>
            </w:r>
          </w:p>
        </w:tc>
      </w:tr>
      <w:tr w:rsidR="00580D45" w:rsidRPr="00A94043" w14:paraId="0817A1D2" w14:textId="77777777" w:rsidTr="00580D45">
        <w:trPr>
          <w:trHeight w:val="289"/>
        </w:trPr>
        <w:tc>
          <w:tcPr>
            <w:tcW w:w="946" w:type="dxa"/>
            <w:noWrap/>
            <w:hideMark/>
          </w:tcPr>
          <w:p w14:paraId="409FD574"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12</w:t>
            </w:r>
          </w:p>
        </w:tc>
        <w:tc>
          <w:tcPr>
            <w:tcW w:w="2061" w:type="dxa"/>
          </w:tcPr>
          <w:p w14:paraId="3FFE482F" w14:textId="76C8C60C"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Gas Space Heater</w:t>
            </w:r>
          </w:p>
        </w:tc>
        <w:tc>
          <w:tcPr>
            <w:tcW w:w="1717" w:type="dxa"/>
            <w:noWrap/>
            <w:hideMark/>
          </w:tcPr>
          <w:p w14:paraId="4ECC97BC" w14:textId="527AF3E6"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750</w:t>
            </w:r>
          </w:p>
        </w:tc>
        <w:tc>
          <w:tcPr>
            <w:tcW w:w="1718" w:type="dxa"/>
            <w:noWrap/>
            <w:hideMark/>
          </w:tcPr>
          <w:p w14:paraId="19E5E3E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4824</w:t>
            </w:r>
          </w:p>
        </w:tc>
        <w:tc>
          <w:tcPr>
            <w:tcW w:w="1717" w:type="dxa"/>
            <w:noWrap/>
            <w:hideMark/>
          </w:tcPr>
          <w:p w14:paraId="2365289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11576</w:t>
            </w:r>
          </w:p>
        </w:tc>
        <w:tc>
          <w:tcPr>
            <w:tcW w:w="1718" w:type="dxa"/>
            <w:noWrap/>
            <w:hideMark/>
          </w:tcPr>
          <w:p w14:paraId="7AD3764E"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0.78</w:t>
            </w:r>
          </w:p>
        </w:tc>
        <w:tc>
          <w:tcPr>
            <w:tcW w:w="1717" w:type="dxa"/>
            <w:noWrap/>
            <w:hideMark/>
          </w:tcPr>
          <w:p w14:paraId="1D6E90C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0.79</w:t>
            </w:r>
          </w:p>
        </w:tc>
        <w:tc>
          <w:tcPr>
            <w:tcW w:w="1718" w:type="dxa"/>
            <w:noWrap/>
            <w:hideMark/>
          </w:tcPr>
          <w:p w14:paraId="35B5520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0.79</w:t>
            </w:r>
          </w:p>
        </w:tc>
      </w:tr>
      <w:tr w:rsidR="00580D45" w:rsidRPr="00A94043" w14:paraId="6AB9D177" w14:textId="77777777" w:rsidTr="00580D45">
        <w:trPr>
          <w:trHeight w:val="289"/>
        </w:trPr>
        <w:tc>
          <w:tcPr>
            <w:tcW w:w="946" w:type="dxa"/>
            <w:noWrap/>
            <w:hideMark/>
          </w:tcPr>
          <w:p w14:paraId="0DA7A446"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13</w:t>
            </w:r>
          </w:p>
        </w:tc>
        <w:tc>
          <w:tcPr>
            <w:tcW w:w="2061" w:type="dxa"/>
          </w:tcPr>
          <w:p w14:paraId="161629EF" w14:textId="0F62C175"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Ducted Gas</w:t>
            </w:r>
          </w:p>
        </w:tc>
        <w:tc>
          <w:tcPr>
            <w:tcW w:w="1717" w:type="dxa"/>
            <w:noWrap/>
            <w:hideMark/>
          </w:tcPr>
          <w:p w14:paraId="7355C0A2" w14:textId="586173EB"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787</w:t>
            </w:r>
          </w:p>
        </w:tc>
        <w:tc>
          <w:tcPr>
            <w:tcW w:w="1718" w:type="dxa"/>
            <w:noWrap/>
            <w:hideMark/>
          </w:tcPr>
          <w:p w14:paraId="3BCBF15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4942</w:t>
            </w:r>
          </w:p>
        </w:tc>
        <w:tc>
          <w:tcPr>
            <w:tcW w:w="1717" w:type="dxa"/>
            <w:noWrap/>
            <w:hideMark/>
          </w:tcPr>
          <w:p w14:paraId="19F5DB5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11884</w:t>
            </w:r>
          </w:p>
        </w:tc>
        <w:tc>
          <w:tcPr>
            <w:tcW w:w="1718" w:type="dxa"/>
            <w:noWrap/>
            <w:hideMark/>
          </w:tcPr>
          <w:p w14:paraId="07EC587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0.75</w:t>
            </w:r>
          </w:p>
        </w:tc>
        <w:tc>
          <w:tcPr>
            <w:tcW w:w="1717" w:type="dxa"/>
            <w:noWrap/>
            <w:hideMark/>
          </w:tcPr>
          <w:p w14:paraId="1109DDF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0.77</w:t>
            </w:r>
          </w:p>
        </w:tc>
        <w:tc>
          <w:tcPr>
            <w:tcW w:w="1718" w:type="dxa"/>
            <w:noWrap/>
            <w:hideMark/>
          </w:tcPr>
          <w:p w14:paraId="42950A5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0.77</w:t>
            </w:r>
          </w:p>
        </w:tc>
      </w:tr>
      <w:tr w:rsidR="00580D45" w:rsidRPr="00A94043" w14:paraId="57F5D502" w14:textId="77777777" w:rsidTr="00580D45">
        <w:trPr>
          <w:trHeight w:val="289"/>
        </w:trPr>
        <w:tc>
          <w:tcPr>
            <w:tcW w:w="946" w:type="dxa"/>
            <w:noWrap/>
            <w:hideMark/>
          </w:tcPr>
          <w:p w14:paraId="75A5AEB9"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14</w:t>
            </w:r>
          </w:p>
        </w:tc>
        <w:tc>
          <w:tcPr>
            <w:tcW w:w="2061" w:type="dxa"/>
          </w:tcPr>
          <w:p w14:paraId="7BE70A87" w14:textId="5AA46C29"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Solid Fuel Heater</w:t>
            </w:r>
          </w:p>
        </w:tc>
        <w:tc>
          <w:tcPr>
            <w:tcW w:w="1717" w:type="dxa"/>
            <w:noWrap/>
            <w:hideMark/>
          </w:tcPr>
          <w:p w14:paraId="702CF002" w14:textId="456C53E5"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1025</w:t>
            </w:r>
          </w:p>
        </w:tc>
        <w:tc>
          <w:tcPr>
            <w:tcW w:w="1718" w:type="dxa"/>
            <w:noWrap/>
            <w:hideMark/>
          </w:tcPr>
          <w:p w14:paraId="07005FD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6346</w:t>
            </w:r>
          </w:p>
        </w:tc>
        <w:tc>
          <w:tcPr>
            <w:tcW w:w="1717" w:type="dxa"/>
            <w:noWrap/>
            <w:hideMark/>
          </w:tcPr>
          <w:p w14:paraId="346A3A6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14996</w:t>
            </w:r>
          </w:p>
        </w:tc>
        <w:tc>
          <w:tcPr>
            <w:tcW w:w="1718" w:type="dxa"/>
            <w:noWrap/>
            <w:hideMark/>
          </w:tcPr>
          <w:p w14:paraId="6A4EBC0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0.57</w:t>
            </w:r>
          </w:p>
        </w:tc>
        <w:tc>
          <w:tcPr>
            <w:tcW w:w="1717" w:type="dxa"/>
            <w:noWrap/>
            <w:hideMark/>
          </w:tcPr>
          <w:p w14:paraId="6990777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0.60</w:t>
            </w:r>
          </w:p>
        </w:tc>
        <w:tc>
          <w:tcPr>
            <w:tcW w:w="1718" w:type="dxa"/>
            <w:noWrap/>
            <w:hideMark/>
          </w:tcPr>
          <w:p w14:paraId="6643F40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0.61</w:t>
            </w:r>
          </w:p>
        </w:tc>
      </w:tr>
      <w:tr w:rsidR="00580D45" w:rsidRPr="00A94043" w14:paraId="2FB98AB2" w14:textId="77777777" w:rsidTr="00580D45">
        <w:trPr>
          <w:trHeight w:val="289"/>
        </w:trPr>
        <w:tc>
          <w:tcPr>
            <w:tcW w:w="946" w:type="dxa"/>
            <w:noWrap/>
            <w:hideMark/>
          </w:tcPr>
          <w:p w14:paraId="0CF9A278"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15</w:t>
            </w:r>
          </w:p>
        </w:tc>
        <w:tc>
          <w:tcPr>
            <w:tcW w:w="2061" w:type="dxa"/>
          </w:tcPr>
          <w:p w14:paraId="3385E4B9" w14:textId="1C5E056F" w:rsidR="00580D45" w:rsidRPr="00A94043" w:rsidRDefault="00001216" w:rsidP="00580D45">
            <w:pPr>
              <w:pStyle w:val="NoSpacing"/>
              <w:jc w:val="center"/>
              <w:rPr>
                <w:rFonts w:asciiTheme="minorHAnsi" w:hAnsiTheme="minorHAnsi" w:cstheme="minorHAnsi"/>
              </w:rPr>
            </w:pPr>
            <w:r>
              <w:rPr>
                <w:rFonts w:cs="Calibri"/>
                <w:color w:val="000000"/>
                <w:szCs w:val="22"/>
              </w:rPr>
              <w:t>AC</w:t>
            </w:r>
            <w:r w:rsidR="00B54548" w:rsidRPr="00B54548">
              <w:rPr>
                <w:rFonts w:cs="Calibri"/>
                <w:color w:val="000000"/>
                <w:szCs w:val="22"/>
                <w:vertAlign w:val="superscript"/>
              </w:rPr>
              <w:fldChar w:fldCharType="begin"/>
            </w:r>
            <w:r w:rsidR="00B54548" w:rsidRPr="00B54548">
              <w:rPr>
                <w:rFonts w:cs="Calibri"/>
                <w:color w:val="000000"/>
                <w:szCs w:val="22"/>
                <w:vertAlign w:val="superscript"/>
              </w:rPr>
              <w:instrText xml:space="preserve"> NOTEREF _Ref171944923 \h </w:instrText>
            </w:r>
            <w:r w:rsidR="00B54548" w:rsidRPr="00B54548">
              <w:rPr>
                <w:rFonts w:cs="Calibri"/>
                <w:color w:val="000000"/>
                <w:szCs w:val="22"/>
                <w:vertAlign w:val="superscript"/>
              </w:rPr>
            </w:r>
            <w:r w:rsidR="00B54548" w:rsidRPr="00B54548">
              <w:rPr>
                <w:rFonts w:cs="Calibri"/>
                <w:color w:val="000000"/>
                <w:szCs w:val="22"/>
                <w:vertAlign w:val="superscript"/>
              </w:rPr>
              <w:fldChar w:fldCharType="separate"/>
            </w:r>
            <w:r w:rsidR="007068DD" w:rsidRPr="007068DD">
              <w:t>^</w:t>
            </w:r>
            <w:r w:rsidR="00B54548" w:rsidRPr="00B54548">
              <w:rPr>
                <w:rFonts w:cs="Calibri"/>
                <w:color w:val="000000"/>
                <w:szCs w:val="22"/>
                <w:vertAlign w:val="superscript"/>
              </w:rPr>
              <w:fldChar w:fldCharType="end"/>
            </w:r>
            <w:r w:rsidR="00580D45" w:rsidRPr="00A94043">
              <w:rPr>
                <w:rFonts w:cs="Calibri"/>
                <w:color w:val="000000"/>
                <w:szCs w:val="22"/>
              </w:rPr>
              <w:t xml:space="preserve"> (Non-ducted)</w:t>
            </w:r>
          </w:p>
        </w:tc>
        <w:tc>
          <w:tcPr>
            <w:tcW w:w="1717" w:type="dxa"/>
            <w:noWrap/>
            <w:hideMark/>
          </w:tcPr>
          <w:p w14:paraId="5FDA88EB" w14:textId="65879BD3"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248</w:t>
            </w:r>
          </w:p>
        </w:tc>
        <w:tc>
          <w:tcPr>
            <w:tcW w:w="1718" w:type="dxa"/>
            <w:noWrap/>
            <w:hideMark/>
          </w:tcPr>
          <w:p w14:paraId="5DC3897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1563</w:t>
            </w:r>
          </w:p>
        </w:tc>
        <w:tc>
          <w:tcPr>
            <w:tcW w:w="1717" w:type="dxa"/>
            <w:noWrap/>
            <w:hideMark/>
          </w:tcPr>
          <w:p w14:paraId="317DA23A"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4253</w:t>
            </w:r>
          </w:p>
        </w:tc>
        <w:tc>
          <w:tcPr>
            <w:tcW w:w="1718" w:type="dxa"/>
            <w:noWrap/>
            <w:hideMark/>
          </w:tcPr>
          <w:p w14:paraId="3BC5588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5.0</w:t>
            </w:r>
          </w:p>
        </w:tc>
        <w:tc>
          <w:tcPr>
            <w:tcW w:w="1717" w:type="dxa"/>
            <w:noWrap/>
            <w:hideMark/>
          </w:tcPr>
          <w:p w14:paraId="1CE2C5A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4.3</w:t>
            </w:r>
          </w:p>
        </w:tc>
        <w:tc>
          <w:tcPr>
            <w:tcW w:w="1718" w:type="dxa"/>
            <w:noWrap/>
            <w:hideMark/>
          </w:tcPr>
          <w:p w14:paraId="42C58CD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3.7</w:t>
            </w:r>
          </w:p>
        </w:tc>
      </w:tr>
      <w:tr w:rsidR="00580D45" w:rsidRPr="00A94043" w14:paraId="60CABD95" w14:textId="77777777" w:rsidTr="00580D45">
        <w:trPr>
          <w:trHeight w:val="289"/>
        </w:trPr>
        <w:tc>
          <w:tcPr>
            <w:tcW w:w="946" w:type="dxa"/>
            <w:noWrap/>
            <w:hideMark/>
          </w:tcPr>
          <w:p w14:paraId="7C0AA008"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16</w:t>
            </w:r>
          </w:p>
        </w:tc>
        <w:tc>
          <w:tcPr>
            <w:tcW w:w="2061" w:type="dxa"/>
          </w:tcPr>
          <w:p w14:paraId="68206862" w14:textId="215F21F4"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 xml:space="preserve">Ducted </w:t>
            </w:r>
            <w:r w:rsidR="00001216">
              <w:rPr>
                <w:rFonts w:cs="Calibri"/>
                <w:color w:val="000000"/>
                <w:szCs w:val="22"/>
              </w:rPr>
              <w:t>AC</w:t>
            </w:r>
            <w:r w:rsidR="00B54548" w:rsidRPr="00B54548">
              <w:rPr>
                <w:rFonts w:cs="Calibri"/>
                <w:color w:val="000000"/>
                <w:szCs w:val="22"/>
                <w:vertAlign w:val="superscript"/>
              </w:rPr>
              <w:fldChar w:fldCharType="begin"/>
            </w:r>
            <w:r w:rsidR="00B54548" w:rsidRPr="00B54548">
              <w:rPr>
                <w:rFonts w:cs="Calibri"/>
                <w:color w:val="000000"/>
                <w:szCs w:val="22"/>
                <w:vertAlign w:val="superscript"/>
              </w:rPr>
              <w:instrText xml:space="preserve"> NOTEREF _Ref171944923 \h </w:instrText>
            </w:r>
            <w:r w:rsidR="00B54548" w:rsidRPr="00B54548">
              <w:rPr>
                <w:rFonts w:cs="Calibri"/>
                <w:color w:val="000000"/>
                <w:szCs w:val="22"/>
                <w:vertAlign w:val="superscript"/>
              </w:rPr>
            </w:r>
            <w:r w:rsidR="00B54548" w:rsidRPr="00B54548">
              <w:rPr>
                <w:rFonts w:cs="Calibri"/>
                <w:color w:val="000000"/>
                <w:szCs w:val="22"/>
                <w:vertAlign w:val="superscript"/>
              </w:rPr>
              <w:fldChar w:fldCharType="separate"/>
            </w:r>
            <w:r w:rsidR="007068DD" w:rsidRPr="007068DD">
              <w:t>^</w:t>
            </w:r>
            <w:r w:rsidR="00B54548" w:rsidRPr="00B54548">
              <w:rPr>
                <w:rFonts w:cs="Calibri"/>
                <w:color w:val="000000"/>
                <w:szCs w:val="22"/>
                <w:vertAlign w:val="superscript"/>
              </w:rPr>
              <w:fldChar w:fldCharType="end"/>
            </w:r>
          </w:p>
        </w:tc>
        <w:tc>
          <w:tcPr>
            <w:tcW w:w="1717" w:type="dxa"/>
            <w:noWrap/>
            <w:hideMark/>
          </w:tcPr>
          <w:p w14:paraId="3EAA5D26" w14:textId="105D8329"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274</w:t>
            </w:r>
          </w:p>
        </w:tc>
        <w:tc>
          <w:tcPr>
            <w:tcW w:w="1718" w:type="dxa"/>
            <w:noWrap/>
            <w:hideMark/>
          </w:tcPr>
          <w:p w14:paraId="28C4599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1684</w:t>
            </w:r>
          </w:p>
        </w:tc>
        <w:tc>
          <w:tcPr>
            <w:tcW w:w="1717" w:type="dxa"/>
            <w:noWrap/>
            <w:hideMark/>
          </w:tcPr>
          <w:p w14:paraId="0FADC71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4494</w:t>
            </w:r>
          </w:p>
        </w:tc>
        <w:tc>
          <w:tcPr>
            <w:tcW w:w="1718" w:type="dxa"/>
            <w:noWrap/>
            <w:hideMark/>
          </w:tcPr>
          <w:p w14:paraId="18BB2036"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4.5</w:t>
            </w:r>
          </w:p>
        </w:tc>
        <w:tc>
          <w:tcPr>
            <w:tcW w:w="1717" w:type="dxa"/>
            <w:noWrap/>
            <w:hideMark/>
          </w:tcPr>
          <w:p w14:paraId="5DCF783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4.0</w:t>
            </w:r>
          </w:p>
        </w:tc>
        <w:tc>
          <w:tcPr>
            <w:tcW w:w="1718" w:type="dxa"/>
            <w:noWrap/>
            <w:hideMark/>
          </w:tcPr>
          <w:p w14:paraId="7B4352C1"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3.5</w:t>
            </w:r>
          </w:p>
        </w:tc>
      </w:tr>
      <w:tr w:rsidR="00580D45" w:rsidRPr="00A94043" w14:paraId="43B7D7C1" w14:textId="77777777" w:rsidTr="00580D45">
        <w:trPr>
          <w:trHeight w:val="289"/>
        </w:trPr>
        <w:tc>
          <w:tcPr>
            <w:tcW w:w="946" w:type="dxa"/>
            <w:noWrap/>
            <w:hideMark/>
          </w:tcPr>
          <w:p w14:paraId="5CD7E68D"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17</w:t>
            </w:r>
          </w:p>
        </w:tc>
        <w:tc>
          <w:tcPr>
            <w:tcW w:w="2061" w:type="dxa"/>
            <w:vAlign w:val="bottom"/>
          </w:tcPr>
          <w:p w14:paraId="53462FD9" w14:textId="6818447C"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61B49EDD" w14:textId="5F00ABD8"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1134</w:t>
            </w:r>
          </w:p>
        </w:tc>
        <w:tc>
          <w:tcPr>
            <w:tcW w:w="1718" w:type="dxa"/>
            <w:noWrap/>
            <w:hideMark/>
          </w:tcPr>
          <w:p w14:paraId="693F76D9"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6628</w:t>
            </w:r>
          </w:p>
        </w:tc>
        <w:tc>
          <w:tcPr>
            <w:tcW w:w="1717" w:type="dxa"/>
            <w:noWrap/>
            <w:hideMark/>
          </w:tcPr>
          <w:p w14:paraId="42BF589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15731</w:t>
            </w:r>
          </w:p>
        </w:tc>
        <w:tc>
          <w:tcPr>
            <w:tcW w:w="1718" w:type="dxa"/>
            <w:noWrap/>
            <w:hideMark/>
          </w:tcPr>
          <w:p w14:paraId="41B793EB"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0.89</w:t>
            </w:r>
          </w:p>
        </w:tc>
        <w:tc>
          <w:tcPr>
            <w:tcW w:w="1717" w:type="dxa"/>
            <w:noWrap/>
            <w:hideMark/>
          </w:tcPr>
          <w:p w14:paraId="3AB2752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0.98</w:t>
            </w:r>
          </w:p>
        </w:tc>
        <w:tc>
          <w:tcPr>
            <w:tcW w:w="1718" w:type="dxa"/>
            <w:noWrap/>
            <w:hideMark/>
          </w:tcPr>
          <w:p w14:paraId="6B44A697"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1.00</w:t>
            </w:r>
          </w:p>
        </w:tc>
      </w:tr>
      <w:tr w:rsidR="00580D45" w:rsidRPr="00A94043" w14:paraId="2235F6EB" w14:textId="77777777" w:rsidTr="00580D45">
        <w:trPr>
          <w:trHeight w:val="289"/>
        </w:trPr>
        <w:tc>
          <w:tcPr>
            <w:tcW w:w="946" w:type="dxa"/>
            <w:noWrap/>
            <w:hideMark/>
          </w:tcPr>
          <w:p w14:paraId="7EDCEC57"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18</w:t>
            </w:r>
          </w:p>
        </w:tc>
        <w:tc>
          <w:tcPr>
            <w:tcW w:w="2061" w:type="dxa"/>
            <w:vAlign w:val="bottom"/>
          </w:tcPr>
          <w:p w14:paraId="7B6379A5" w14:textId="06082EF4"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Gas Space Heater</w:t>
            </w:r>
          </w:p>
        </w:tc>
        <w:tc>
          <w:tcPr>
            <w:tcW w:w="1717" w:type="dxa"/>
            <w:noWrap/>
            <w:hideMark/>
          </w:tcPr>
          <w:p w14:paraId="7C63AEA7" w14:textId="5D2231C8"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1282</w:t>
            </w:r>
          </w:p>
        </w:tc>
        <w:tc>
          <w:tcPr>
            <w:tcW w:w="1718" w:type="dxa"/>
            <w:noWrap/>
            <w:hideMark/>
          </w:tcPr>
          <w:p w14:paraId="17302FF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8267</w:t>
            </w:r>
          </w:p>
        </w:tc>
        <w:tc>
          <w:tcPr>
            <w:tcW w:w="1717" w:type="dxa"/>
            <w:noWrap/>
            <w:hideMark/>
          </w:tcPr>
          <w:p w14:paraId="2EAD9F01"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19841</w:t>
            </w:r>
          </w:p>
        </w:tc>
        <w:tc>
          <w:tcPr>
            <w:tcW w:w="1718" w:type="dxa"/>
            <w:noWrap/>
            <w:hideMark/>
          </w:tcPr>
          <w:p w14:paraId="55B9B5A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0.79</w:t>
            </w:r>
          </w:p>
        </w:tc>
        <w:tc>
          <w:tcPr>
            <w:tcW w:w="1717" w:type="dxa"/>
            <w:noWrap/>
            <w:hideMark/>
          </w:tcPr>
          <w:p w14:paraId="507A2AF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0.79</w:t>
            </w:r>
          </w:p>
        </w:tc>
        <w:tc>
          <w:tcPr>
            <w:tcW w:w="1718" w:type="dxa"/>
            <w:noWrap/>
            <w:hideMark/>
          </w:tcPr>
          <w:p w14:paraId="79CF567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0.79</w:t>
            </w:r>
          </w:p>
        </w:tc>
      </w:tr>
      <w:tr w:rsidR="00580D45" w:rsidRPr="00A94043" w14:paraId="252D945E" w14:textId="77777777" w:rsidTr="00580D45">
        <w:trPr>
          <w:trHeight w:val="289"/>
        </w:trPr>
        <w:tc>
          <w:tcPr>
            <w:tcW w:w="946" w:type="dxa"/>
            <w:noWrap/>
            <w:hideMark/>
          </w:tcPr>
          <w:p w14:paraId="0B4E5271"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19</w:t>
            </w:r>
          </w:p>
        </w:tc>
        <w:tc>
          <w:tcPr>
            <w:tcW w:w="2061" w:type="dxa"/>
            <w:vAlign w:val="bottom"/>
          </w:tcPr>
          <w:p w14:paraId="2687B628" w14:textId="02FDFB52"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Ducted Gas</w:t>
            </w:r>
          </w:p>
        </w:tc>
        <w:tc>
          <w:tcPr>
            <w:tcW w:w="1717" w:type="dxa"/>
            <w:noWrap/>
            <w:hideMark/>
          </w:tcPr>
          <w:p w14:paraId="56BD6DF3" w14:textId="440D43B8"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1299</w:t>
            </w:r>
          </w:p>
        </w:tc>
        <w:tc>
          <w:tcPr>
            <w:tcW w:w="1718" w:type="dxa"/>
            <w:noWrap/>
            <w:hideMark/>
          </w:tcPr>
          <w:p w14:paraId="3C2FE642"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8315</w:t>
            </w:r>
          </w:p>
        </w:tc>
        <w:tc>
          <w:tcPr>
            <w:tcW w:w="1717" w:type="dxa"/>
            <w:noWrap/>
            <w:hideMark/>
          </w:tcPr>
          <w:p w14:paraId="14A149CC"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20036</w:t>
            </w:r>
          </w:p>
        </w:tc>
        <w:tc>
          <w:tcPr>
            <w:tcW w:w="1718" w:type="dxa"/>
            <w:noWrap/>
            <w:hideMark/>
          </w:tcPr>
          <w:p w14:paraId="0A98C618"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0.76</w:t>
            </w:r>
          </w:p>
        </w:tc>
        <w:tc>
          <w:tcPr>
            <w:tcW w:w="1717" w:type="dxa"/>
            <w:noWrap/>
            <w:hideMark/>
          </w:tcPr>
          <w:p w14:paraId="21F435ED"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0.77</w:t>
            </w:r>
          </w:p>
        </w:tc>
        <w:tc>
          <w:tcPr>
            <w:tcW w:w="1718" w:type="dxa"/>
            <w:noWrap/>
            <w:hideMark/>
          </w:tcPr>
          <w:p w14:paraId="30C5893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0.77</w:t>
            </w:r>
          </w:p>
        </w:tc>
      </w:tr>
      <w:tr w:rsidR="00580D45" w:rsidRPr="00A94043" w14:paraId="2E4DCDFF" w14:textId="77777777" w:rsidTr="00580D45">
        <w:trPr>
          <w:trHeight w:val="289"/>
        </w:trPr>
        <w:tc>
          <w:tcPr>
            <w:tcW w:w="946" w:type="dxa"/>
            <w:noWrap/>
            <w:hideMark/>
          </w:tcPr>
          <w:p w14:paraId="60A19304" w14:textId="77777777" w:rsidR="00580D45" w:rsidRPr="00A94043" w:rsidRDefault="00580D45" w:rsidP="00580D45">
            <w:pPr>
              <w:pStyle w:val="NoSpacing"/>
              <w:rPr>
                <w:rFonts w:asciiTheme="minorHAnsi" w:hAnsiTheme="minorHAnsi" w:cstheme="minorHAnsi"/>
              </w:rPr>
            </w:pPr>
            <w:r w:rsidRPr="00A94043">
              <w:rPr>
                <w:rFonts w:asciiTheme="minorHAnsi" w:hAnsiTheme="minorHAnsi" w:cstheme="minorHAnsi"/>
              </w:rPr>
              <w:t>20</w:t>
            </w:r>
          </w:p>
        </w:tc>
        <w:tc>
          <w:tcPr>
            <w:tcW w:w="2061" w:type="dxa"/>
            <w:vAlign w:val="bottom"/>
          </w:tcPr>
          <w:p w14:paraId="77EF97B1" w14:textId="649F2080" w:rsidR="00580D45" w:rsidRPr="00A94043" w:rsidRDefault="00580D45" w:rsidP="00580D45">
            <w:pPr>
              <w:pStyle w:val="NoSpacing"/>
              <w:jc w:val="center"/>
              <w:rPr>
                <w:rFonts w:asciiTheme="minorHAnsi" w:hAnsiTheme="minorHAnsi" w:cstheme="minorHAnsi"/>
              </w:rPr>
            </w:pPr>
            <w:r w:rsidRPr="00A94043">
              <w:rPr>
                <w:rFonts w:cs="Calibri"/>
                <w:color w:val="000000"/>
                <w:szCs w:val="22"/>
              </w:rPr>
              <w:t>Solid Fuel Heater</w:t>
            </w:r>
          </w:p>
        </w:tc>
        <w:tc>
          <w:tcPr>
            <w:tcW w:w="1717" w:type="dxa"/>
            <w:noWrap/>
            <w:hideMark/>
          </w:tcPr>
          <w:p w14:paraId="3191FB7D" w14:textId="2F99586B"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1343</w:t>
            </w:r>
          </w:p>
        </w:tc>
        <w:tc>
          <w:tcPr>
            <w:tcW w:w="1718" w:type="dxa"/>
            <w:noWrap/>
            <w:hideMark/>
          </w:tcPr>
          <w:p w14:paraId="4869A7A0"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8761</w:t>
            </w:r>
          </w:p>
        </w:tc>
        <w:tc>
          <w:tcPr>
            <w:tcW w:w="1717" w:type="dxa"/>
            <w:noWrap/>
            <w:hideMark/>
          </w:tcPr>
          <w:p w14:paraId="18508E54"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21399</w:t>
            </w:r>
          </w:p>
        </w:tc>
        <w:tc>
          <w:tcPr>
            <w:tcW w:w="1718" w:type="dxa"/>
            <w:noWrap/>
            <w:hideMark/>
          </w:tcPr>
          <w:p w14:paraId="6570E0E3"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0.75</w:t>
            </w:r>
          </w:p>
        </w:tc>
        <w:tc>
          <w:tcPr>
            <w:tcW w:w="1717" w:type="dxa"/>
            <w:noWrap/>
            <w:hideMark/>
          </w:tcPr>
          <w:p w14:paraId="36706365"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0.74</w:t>
            </w:r>
          </w:p>
        </w:tc>
        <w:tc>
          <w:tcPr>
            <w:tcW w:w="1718" w:type="dxa"/>
            <w:noWrap/>
            <w:hideMark/>
          </w:tcPr>
          <w:p w14:paraId="10A1E7FF" w14:textId="77777777" w:rsidR="00580D45" w:rsidRPr="00A94043" w:rsidRDefault="00580D45" w:rsidP="00580D45">
            <w:pPr>
              <w:pStyle w:val="NoSpacing"/>
              <w:jc w:val="center"/>
              <w:rPr>
                <w:rFonts w:asciiTheme="minorHAnsi" w:hAnsiTheme="minorHAnsi" w:cstheme="minorHAnsi"/>
              </w:rPr>
            </w:pPr>
            <w:r w:rsidRPr="00A94043">
              <w:rPr>
                <w:rFonts w:asciiTheme="minorHAnsi" w:hAnsiTheme="minorHAnsi" w:cstheme="minorHAnsi"/>
              </w:rPr>
              <w:t>0.73</w:t>
            </w:r>
          </w:p>
        </w:tc>
      </w:tr>
    </w:tbl>
    <w:p w14:paraId="1113D363" w14:textId="77777777" w:rsidR="009A1625" w:rsidRDefault="009A1625" w:rsidP="00B7452B">
      <w:pPr>
        <w:pStyle w:val="NoSpacing"/>
      </w:pPr>
    </w:p>
    <w:p w14:paraId="435D7B12" w14:textId="500A0DFD" w:rsidR="00B7452B" w:rsidRPr="00A94043" w:rsidRDefault="00B7452B" w:rsidP="00B7452B">
      <w:pPr>
        <w:pStyle w:val="NoSpacing"/>
        <w:rPr>
          <w:rFonts w:asciiTheme="minorHAnsi" w:hAnsiTheme="minorHAnsi" w:cstheme="minorHAnsi"/>
          <w:b/>
          <w:bCs/>
        </w:rPr>
        <w:sectPr w:rsidR="00B7452B" w:rsidRPr="00A94043" w:rsidSect="002351D4">
          <w:pgSz w:w="16838" w:h="11906" w:orient="landscape" w:code="9"/>
          <w:pgMar w:top="1140" w:right="1729" w:bottom="1140" w:left="1701" w:header="578" w:footer="720" w:gutter="0"/>
          <w:cols w:space="708"/>
          <w:docGrid w:linePitch="360"/>
        </w:sectPr>
      </w:pPr>
    </w:p>
    <w:p w14:paraId="1C7E0834" w14:textId="5D74B0AD" w:rsidR="0046253F" w:rsidRPr="004F5C1E" w:rsidRDefault="0046253F" w:rsidP="004F5C1E">
      <w:pPr>
        <w:pStyle w:val="Heading1"/>
      </w:pPr>
      <w:bookmarkStart w:id="107" w:name="_Toc175311943"/>
      <w:r w:rsidRPr="004F5C1E">
        <w:lastRenderedPageBreak/>
        <w:t xml:space="preserve">Appendix </w:t>
      </w:r>
      <w:r w:rsidR="00CA24FD" w:rsidRPr="004F5C1E">
        <w:t>5</w:t>
      </w:r>
      <w:r w:rsidRPr="004F5C1E">
        <w:t>:  Relevant AU/NZ Standards</w:t>
      </w:r>
      <w:bookmarkEnd w:id="107"/>
    </w:p>
    <w:p w14:paraId="2A0D8025" w14:textId="77777777" w:rsidR="0046253F" w:rsidRPr="00A94043" w:rsidRDefault="0046253F" w:rsidP="008D5753">
      <w:pPr>
        <w:pStyle w:val="tDefn"/>
        <w:spacing w:before="0" w:after="200" w:line="276" w:lineRule="auto"/>
        <w:ind w:left="0"/>
        <w:rPr>
          <w:rFonts w:asciiTheme="minorHAnsi" w:hAnsiTheme="minorHAnsi"/>
          <w:iCs/>
        </w:rPr>
      </w:pPr>
      <w:r w:rsidRPr="00A94043">
        <w:rPr>
          <w:rFonts w:asciiTheme="minorHAnsi" w:hAnsiTheme="minorHAnsi"/>
          <w:b/>
          <w:iCs/>
        </w:rPr>
        <w:t xml:space="preserve">AS/NZS 3823.1.1:2012 </w:t>
      </w:r>
      <w:r w:rsidRPr="00A94043">
        <w:rPr>
          <w:rFonts w:asciiTheme="minorHAnsi" w:hAnsiTheme="minorHAnsi"/>
          <w:iCs/>
        </w:rPr>
        <w:t>Performance of electrical appliances – air conditioners and heat pumps – Part 1.1: Non</w:t>
      </w:r>
      <w:r w:rsidRPr="00A94043">
        <w:rPr>
          <w:rFonts w:asciiTheme="minorHAnsi" w:hAnsiTheme="minorHAnsi"/>
          <w:iCs/>
        </w:rPr>
        <w:noBreakHyphen/>
        <w:t>ducted air conditioners and heat pumps – Testing and rating for performance (ISO 5151:2010, MOD).</w:t>
      </w:r>
    </w:p>
    <w:p w14:paraId="69955977" w14:textId="0BDE41B2" w:rsidR="00680FF2" w:rsidRPr="00A94043" w:rsidRDefault="00680FF2" w:rsidP="00680FF2">
      <w:pPr>
        <w:pStyle w:val="tDefn"/>
        <w:spacing w:before="0" w:after="200" w:line="276" w:lineRule="auto"/>
        <w:ind w:left="0"/>
        <w:rPr>
          <w:rFonts w:asciiTheme="minorHAnsi" w:hAnsiTheme="minorHAnsi"/>
          <w:iCs/>
        </w:rPr>
      </w:pPr>
      <w:r w:rsidRPr="00A94043">
        <w:rPr>
          <w:rFonts w:asciiTheme="minorHAnsi" w:hAnsiTheme="minorHAnsi"/>
          <w:b/>
          <w:iCs/>
        </w:rPr>
        <w:t>AS/NZS 3823.1.</w:t>
      </w:r>
      <w:r w:rsidR="00805DB9" w:rsidRPr="00A94043">
        <w:rPr>
          <w:rFonts w:asciiTheme="minorHAnsi" w:hAnsiTheme="minorHAnsi"/>
          <w:b/>
          <w:iCs/>
        </w:rPr>
        <w:t>2</w:t>
      </w:r>
      <w:r w:rsidRPr="00A94043">
        <w:rPr>
          <w:rFonts w:asciiTheme="minorHAnsi" w:hAnsiTheme="minorHAnsi"/>
          <w:b/>
          <w:iCs/>
        </w:rPr>
        <w:t xml:space="preserve">:2012 </w:t>
      </w:r>
      <w:r w:rsidRPr="00A94043">
        <w:rPr>
          <w:rFonts w:asciiTheme="minorHAnsi" w:hAnsiTheme="minorHAnsi"/>
          <w:iCs/>
        </w:rPr>
        <w:t>Performance of electrical appliances – air conditioners and heat pumps – Part 1.</w:t>
      </w:r>
      <w:r w:rsidR="00805DB9" w:rsidRPr="00A94043">
        <w:rPr>
          <w:rFonts w:asciiTheme="minorHAnsi" w:hAnsiTheme="minorHAnsi"/>
          <w:iCs/>
        </w:rPr>
        <w:t>2</w:t>
      </w:r>
      <w:r w:rsidRPr="00A94043">
        <w:rPr>
          <w:rFonts w:asciiTheme="minorHAnsi" w:hAnsiTheme="minorHAnsi"/>
          <w:iCs/>
        </w:rPr>
        <w:t xml:space="preserve">: </w:t>
      </w:r>
      <w:r w:rsidR="00805DB9" w:rsidRPr="00A94043">
        <w:rPr>
          <w:rFonts w:asciiTheme="minorHAnsi" w:hAnsiTheme="minorHAnsi"/>
          <w:iCs/>
        </w:rPr>
        <w:t>D</w:t>
      </w:r>
      <w:r w:rsidRPr="00A94043">
        <w:rPr>
          <w:rFonts w:asciiTheme="minorHAnsi" w:hAnsiTheme="minorHAnsi"/>
          <w:iCs/>
        </w:rPr>
        <w:t>ucted air conditioners and</w:t>
      </w:r>
      <w:r w:rsidR="00805DB9" w:rsidRPr="00A94043">
        <w:rPr>
          <w:rFonts w:asciiTheme="minorHAnsi" w:hAnsiTheme="minorHAnsi"/>
          <w:iCs/>
        </w:rPr>
        <w:t xml:space="preserve"> air-to-air</w:t>
      </w:r>
      <w:r w:rsidRPr="00A94043">
        <w:rPr>
          <w:rFonts w:asciiTheme="minorHAnsi" w:hAnsiTheme="minorHAnsi"/>
          <w:iCs/>
        </w:rPr>
        <w:t xml:space="preserve"> heat pumps – Testing and rating for performance (ISO </w:t>
      </w:r>
      <w:r w:rsidR="00805DB9" w:rsidRPr="00A94043">
        <w:rPr>
          <w:rFonts w:asciiTheme="minorHAnsi" w:hAnsiTheme="minorHAnsi"/>
          <w:iCs/>
        </w:rPr>
        <w:t>13253</w:t>
      </w:r>
      <w:r w:rsidRPr="00A94043">
        <w:rPr>
          <w:rFonts w:asciiTheme="minorHAnsi" w:hAnsiTheme="minorHAnsi"/>
          <w:iCs/>
        </w:rPr>
        <w:t>:201</w:t>
      </w:r>
      <w:r w:rsidR="00805DB9" w:rsidRPr="00A94043">
        <w:rPr>
          <w:rFonts w:asciiTheme="minorHAnsi" w:hAnsiTheme="minorHAnsi"/>
          <w:iCs/>
        </w:rPr>
        <w:t>1</w:t>
      </w:r>
      <w:r w:rsidRPr="00A94043">
        <w:rPr>
          <w:rFonts w:asciiTheme="minorHAnsi" w:hAnsiTheme="minorHAnsi"/>
          <w:iCs/>
        </w:rPr>
        <w:t>, MOD).</w:t>
      </w:r>
    </w:p>
    <w:p w14:paraId="252F562E" w14:textId="1B7A5DF3" w:rsidR="00680FF2" w:rsidRPr="00A94043" w:rsidRDefault="00680FF2" w:rsidP="00680FF2">
      <w:pPr>
        <w:pStyle w:val="tDefn"/>
        <w:spacing w:before="0" w:after="200" w:line="276" w:lineRule="auto"/>
        <w:ind w:left="0"/>
        <w:rPr>
          <w:rFonts w:asciiTheme="minorHAnsi" w:hAnsiTheme="minorHAnsi"/>
          <w:iCs/>
        </w:rPr>
      </w:pPr>
      <w:r w:rsidRPr="00A94043">
        <w:rPr>
          <w:rFonts w:asciiTheme="minorHAnsi" w:hAnsiTheme="minorHAnsi"/>
          <w:b/>
          <w:iCs/>
        </w:rPr>
        <w:t>AS/NZS 3823.1.</w:t>
      </w:r>
      <w:r w:rsidR="00805DB9" w:rsidRPr="00A94043">
        <w:rPr>
          <w:rFonts w:asciiTheme="minorHAnsi" w:hAnsiTheme="minorHAnsi"/>
          <w:b/>
          <w:iCs/>
        </w:rPr>
        <w:t>3</w:t>
      </w:r>
      <w:r w:rsidRPr="00A94043">
        <w:rPr>
          <w:rFonts w:asciiTheme="minorHAnsi" w:hAnsiTheme="minorHAnsi"/>
          <w:b/>
          <w:iCs/>
        </w:rPr>
        <w:t>:20</w:t>
      </w:r>
      <w:r w:rsidR="00805DB9" w:rsidRPr="00A94043">
        <w:rPr>
          <w:rFonts w:asciiTheme="minorHAnsi" w:hAnsiTheme="minorHAnsi"/>
          <w:b/>
          <w:iCs/>
        </w:rPr>
        <w:t>05</w:t>
      </w:r>
      <w:r w:rsidRPr="00A94043">
        <w:rPr>
          <w:rFonts w:asciiTheme="minorHAnsi" w:hAnsiTheme="minorHAnsi"/>
          <w:b/>
          <w:iCs/>
        </w:rPr>
        <w:t xml:space="preserve"> </w:t>
      </w:r>
      <w:r w:rsidRPr="00A94043">
        <w:rPr>
          <w:rFonts w:asciiTheme="minorHAnsi" w:hAnsiTheme="minorHAnsi"/>
          <w:iCs/>
        </w:rPr>
        <w:t>Performance of electrical appliances – air conditioners and heat pumps – Part 1.</w:t>
      </w:r>
      <w:r w:rsidR="00805DB9" w:rsidRPr="00A94043">
        <w:rPr>
          <w:rFonts w:asciiTheme="minorHAnsi" w:hAnsiTheme="minorHAnsi"/>
          <w:iCs/>
        </w:rPr>
        <w:t>3</w:t>
      </w:r>
      <w:r w:rsidRPr="00A94043">
        <w:rPr>
          <w:rFonts w:asciiTheme="minorHAnsi" w:hAnsiTheme="minorHAnsi"/>
          <w:iCs/>
        </w:rPr>
        <w:t xml:space="preserve">: </w:t>
      </w:r>
      <w:r w:rsidR="00805DB9" w:rsidRPr="00A94043">
        <w:rPr>
          <w:rFonts w:asciiTheme="minorHAnsi" w:hAnsiTheme="minorHAnsi"/>
          <w:iCs/>
        </w:rPr>
        <w:t>Water-source</w:t>
      </w:r>
      <w:r w:rsidRPr="00A94043">
        <w:rPr>
          <w:rFonts w:asciiTheme="minorHAnsi" w:hAnsiTheme="minorHAnsi"/>
          <w:iCs/>
        </w:rPr>
        <w:t xml:space="preserve"> heat pumps –</w:t>
      </w:r>
      <w:r w:rsidR="00805DB9" w:rsidRPr="00A94043">
        <w:rPr>
          <w:rFonts w:asciiTheme="minorHAnsi" w:hAnsiTheme="minorHAnsi"/>
          <w:iCs/>
        </w:rPr>
        <w:t xml:space="preserve"> Water-to-air and brine-to-air heat pumps -</w:t>
      </w:r>
      <w:r w:rsidRPr="00A94043">
        <w:rPr>
          <w:rFonts w:asciiTheme="minorHAnsi" w:hAnsiTheme="minorHAnsi"/>
          <w:iCs/>
        </w:rPr>
        <w:t xml:space="preserve"> Testing and rating </w:t>
      </w:r>
      <w:r w:rsidR="00805DB9" w:rsidRPr="00A94043">
        <w:rPr>
          <w:rFonts w:asciiTheme="minorHAnsi" w:hAnsiTheme="minorHAnsi"/>
          <w:iCs/>
        </w:rPr>
        <w:t>of</w:t>
      </w:r>
      <w:r w:rsidRPr="00A94043">
        <w:rPr>
          <w:rFonts w:asciiTheme="minorHAnsi" w:hAnsiTheme="minorHAnsi"/>
          <w:iCs/>
        </w:rPr>
        <w:t xml:space="preserve"> performance (ISO </w:t>
      </w:r>
      <w:r w:rsidR="00805DB9" w:rsidRPr="00A94043">
        <w:rPr>
          <w:rFonts w:asciiTheme="minorHAnsi" w:hAnsiTheme="minorHAnsi"/>
          <w:iCs/>
        </w:rPr>
        <w:t xml:space="preserve">13256-1, Ed. 01 (1998) </w:t>
      </w:r>
      <w:r w:rsidRPr="00A94043">
        <w:rPr>
          <w:rFonts w:asciiTheme="minorHAnsi" w:hAnsiTheme="minorHAnsi"/>
          <w:iCs/>
        </w:rPr>
        <w:t>MOD).</w:t>
      </w:r>
    </w:p>
    <w:p w14:paraId="5EC57781" w14:textId="2918CD17" w:rsidR="00680FF2" w:rsidRPr="00A94043" w:rsidRDefault="00680FF2" w:rsidP="00680FF2">
      <w:pPr>
        <w:pStyle w:val="tDefn"/>
        <w:spacing w:before="0" w:after="200" w:line="276" w:lineRule="auto"/>
        <w:ind w:left="0"/>
        <w:rPr>
          <w:rFonts w:asciiTheme="minorHAnsi" w:hAnsiTheme="minorHAnsi"/>
          <w:iCs/>
        </w:rPr>
      </w:pPr>
      <w:r w:rsidRPr="00A94043">
        <w:rPr>
          <w:rFonts w:asciiTheme="minorHAnsi" w:hAnsiTheme="minorHAnsi"/>
          <w:b/>
          <w:iCs/>
        </w:rPr>
        <w:t>AS/NZS 3823.1.</w:t>
      </w:r>
      <w:r w:rsidR="00805DB9" w:rsidRPr="00A94043">
        <w:rPr>
          <w:rFonts w:asciiTheme="minorHAnsi" w:hAnsiTheme="minorHAnsi"/>
          <w:b/>
          <w:iCs/>
        </w:rPr>
        <w:t>4</w:t>
      </w:r>
      <w:r w:rsidRPr="00A94043">
        <w:rPr>
          <w:rFonts w:asciiTheme="minorHAnsi" w:hAnsiTheme="minorHAnsi"/>
          <w:b/>
          <w:iCs/>
        </w:rPr>
        <w:t xml:space="preserve">:2012 </w:t>
      </w:r>
      <w:r w:rsidRPr="00A94043">
        <w:rPr>
          <w:rFonts w:asciiTheme="minorHAnsi" w:hAnsiTheme="minorHAnsi"/>
          <w:iCs/>
        </w:rPr>
        <w:t>Performance of electrical appliances – air conditioners and heat pumps – Part 1.</w:t>
      </w:r>
      <w:r w:rsidR="00805DB9" w:rsidRPr="00A94043">
        <w:rPr>
          <w:rFonts w:asciiTheme="minorHAnsi" w:hAnsiTheme="minorHAnsi"/>
          <w:iCs/>
        </w:rPr>
        <w:t>4</w:t>
      </w:r>
      <w:r w:rsidRPr="00A94043">
        <w:rPr>
          <w:rFonts w:asciiTheme="minorHAnsi" w:hAnsiTheme="minorHAnsi"/>
          <w:iCs/>
        </w:rPr>
        <w:t xml:space="preserve">: </w:t>
      </w:r>
      <w:r w:rsidR="00805DB9" w:rsidRPr="00A94043">
        <w:rPr>
          <w:rFonts w:asciiTheme="minorHAnsi" w:hAnsiTheme="minorHAnsi"/>
          <w:iCs/>
        </w:rPr>
        <w:t>Multiple split-system</w:t>
      </w:r>
      <w:r w:rsidRPr="00A94043">
        <w:rPr>
          <w:rFonts w:asciiTheme="minorHAnsi" w:hAnsiTheme="minorHAnsi"/>
          <w:iCs/>
        </w:rPr>
        <w:t xml:space="preserve"> air conditioners and </w:t>
      </w:r>
      <w:r w:rsidR="00805DB9" w:rsidRPr="00A94043">
        <w:rPr>
          <w:rFonts w:asciiTheme="minorHAnsi" w:hAnsiTheme="minorHAnsi"/>
          <w:iCs/>
        </w:rPr>
        <w:t xml:space="preserve">air-to-air </w:t>
      </w:r>
      <w:r w:rsidRPr="00A94043">
        <w:rPr>
          <w:rFonts w:asciiTheme="minorHAnsi" w:hAnsiTheme="minorHAnsi"/>
          <w:iCs/>
        </w:rPr>
        <w:t>heat pumps – Testing and rating for performance (ISO </w:t>
      </w:r>
      <w:r w:rsidR="00805DB9" w:rsidRPr="00A94043">
        <w:rPr>
          <w:rFonts w:asciiTheme="minorHAnsi" w:hAnsiTheme="minorHAnsi"/>
          <w:iCs/>
        </w:rPr>
        <w:t>15042</w:t>
      </w:r>
      <w:r w:rsidRPr="00A94043">
        <w:rPr>
          <w:rFonts w:asciiTheme="minorHAnsi" w:hAnsiTheme="minorHAnsi"/>
          <w:iCs/>
        </w:rPr>
        <w:t>:201</w:t>
      </w:r>
      <w:r w:rsidR="00805DB9" w:rsidRPr="00A94043">
        <w:rPr>
          <w:rFonts w:asciiTheme="minorHAnsi" w:hAnsiTheme="minorHAnsi"/>
          <w:iCs/>
        </w:rPr>
        <w:t>1</w:t>
      </w:r>
      <w:r w:rsidRPr="00A94043">
        <w:rPr>
          <w:rFonts w:asciiTheme="minorHAnsi" w:hAnsiTheme="minorHAnsi"/>
          <w:iCs/>
        </w:rPr>
        <w:t>, MOD).</w:t>
      </w:r>
    </w:p>
    <w:p w14:paraId="38A054C6" w14:textId="7F2FB85D" w:rsidR="00680FF2" w:rsidRPr="00A94043" w:rsidRDefault="00680FF2" w:rsidP="008D5753">
      <w:pPr>
        <w:pStyle w:val="tDefn"/>
        <w:spacing w:before="0" w:after="200" w:line="276" w:lineRule="auto"/>
        <w:ind w:left="0"/>
        <w:rPr>
          <w:rFonts w:asciiTheme="minorHAnsi" w:hAnsiTheme="minorHAnsi"/>
          <w:iCs/>
        </w:rPr>
      </w:pPr>
      <w:r w:rsidRPr="00A94043">
        <w:rPr>
          <w:rFonts w:asciiTheme="minorHAnsi" w:hAnsiTheme="minorHAnsi"/>
          <w:b/>
          <w:iCs/>
        </w:rPr>
        <w:t>AS/NZS 3823.1.</w:t>
      </w:r>
      <w:r w:rsidR="00805DB9" w:rsidRPr="00A94043">
        <w:rPr>
          <w:rFonts w:asciiTheme="minorHAnsi" w:hAnsiTheme="minorHAnsi"/>
          <w:b/>
          <w:iCs/>
        </w:rPr>
        <w:t>5</w:t>
      </w:r>
      <w:r w:rsidRPr="00A94043">
        <w:rPr>
          <w:rFonts w:asciiTheme="minorHAnsi" w:hAnsiTheme="minorHAnsi"/>
          <w:b/>
          <w:iCs/>
        </w:rPr>
        <w:t>:201</w:t>
      </w:r>
      <w:r w:rsidR="00805DB9" w:rsidRPr="00A94043">
        <w:rPr>
          <w:rFonts w:asciiTheme="minorHAnsi" w:hAnsiTheme="minorHAnsi"/>
          <w:b/>
          <w:iCs/>
        </w:rPr>
        <w:t>5</w:t>
      </w:r>
      <w:r w:rsidRPr="00A94043">
        <w:rPr>
          <w:rFonts w:asciiTheme="minorHAnsi" w:hAnsiTheme="minorHAnsi"/>
          <w:b/>
          <w:iCs/>
        </w:rPr>
        <w:t xml:space="preserve"> </w:t>
      </w:r>
      <w:r w:rsidRPr="00A94043">
        <w:rPr>
          <w:rFonts w:asciiTheme="minorHAnsi" w:hAnsiTheme="minorHAnsi"/>
          <w:iCs/>
        </w:rPr>
        <w:t>Performance of electrical appliances – air conditioners and heat pumps – Part 1.</w:t>
      </w:r>
      <w:r w:rsidR="00805DB9" w:rsidRPr="00A94043">
        <w:rPr>
          <w:rFonts w:asciiTheme="minorHAnsi" w:hAnsiTheme="minorHAnsi"/>
          <w:iCs/>
        </w:rPr>
        <w:t>5</w:t>
      </w:r>
      <w:r w:rsidRPr="00A94043">
        <w:rPr>
          <w:rFonts w:asciiTheme="minorHAnsi" w:hAnsiTheme="minorHAnsi"/>
          <w:iCs/>
        </w:rPr>
        <w:t>: Non</w:t>
      </w:r>
      <w:r w:rsidRPr="00A94043">
        <w:rPr>
          <w:rFonts w:asciiTheme="minorHAnsi" w:hAnsiTheme="minorHAnsi"/>
          <w:iCs/>
        </w:rPr>
        <w:noBreakHyphen/>
        <w:t>ducted</w:t>
      </w:r>
      <w:r w:rsidR="00805DB9" w:rsidRPr="00A94043">
        <w:rPr>
          <w:rFonts w:asciiTheme="minorHAnsi" w:hAnsiTheme="minorHAnsi"/>
          <w:iCs/>
        </w:rPr>
        <w:t xml:space="preserve"> portable</w:t>
      </w:r>
      <w:r w:rsidRPr="00A94043">
        <w:rPr>
          <w:rFonts w:asciiTheme="minorHAnsi" w:hAnsiTheme="minorHAnsi"/>
          <w:iCs/>
        </w:rPr>
        <w:t xml:space="preserve"> </w:t>
      </w:r>
      <w:r w:rsidR="00805DB9" w:rsidRPr="00A94043">
        <w:rPr>
          <w:rFonts w:asciiTheme="minorHAnsi" w:hAnsiTheme="minorHAnsi"/>
          <w:iCs/>
        </w:rPr>
        <w:t xml:space="preserve">air-cooled </w:t>
      </w:r>
      <w:r w:rsidRPr="00A94043">
        <w:rPr>
          <w:rFonts w:asciiTheme="minorHAnsi" w:hAnsiTheme="minorHAnsi"/>
          <w:iCs/>
        </w:rPr>
        <w:t>air conditioners and</w:t>
      </w:r>
      <w:r w:rsidR="00805DB9" w:rsidRPr="00A94043">
        <w:rPr>
          <w:rFonts w:asciiTheme="minorHAnsi" w:hAnsiTheme="minorHAnsi"/>
          <w:iCs/>
        </w:rPr>
        <w:t xml:space="preserve"> air-to-air</w:t>
      </w:r>
      <w:r w:rsidRPr="00A94043">
        <w:rPr>
          <w:rFonts w:asciiTheme="minorHAnsi" w:hAnsiTheme="minorHAnsi"/>
          <w:iCs/>
        </w:rPr>
        <w:t xml:space="preserve"> heat pumps </w:t>
      </w:r>
      <w:r w:rsidR="00805DB9" w:rsidRPr="00A94043">
        <w:rPr>
          <w:rFonts w:asciiTheme="minorHAnsi" w:hAnsiTheme="minorHAnsi"/>
          <w:iCs/>
        </w:rPr>
        <w:t xml:space="preserve">having a single exhaust duct </w:t>
      </w:r>
      <w:r w:rsidRPr="00A94043">
        <w:rPr>
          <w:rFonts w:asciiTheme="minorHAnsi" w:hAnsiTheme="minorHAnsi"/>
          <w:iCs/>
        </w:rPr>
        <w:t>– Testing and rating for performance.</w:t>
      </w:r>
    </w:p>
    <w:p w14:paraId="62F9C955" w14:textId="322E6332" w:rsidR="0046253F" w:rsidRPr="00A94043" w:rsidRDefault="0046253F" w:rsidP="008D5753">
      <w:pPr>
        <w:pStyle w:val="tDefn"/>
        <w:spacing w:before="0" w:after="200" w:line="276" w:lineRule="auto"/>
        <w:ind w:left="0"/>
        <w:rPr>
          <w:rFonts w:asciiTheme="minorHAnsi" w:hAnsiTheme="minorHAnsi"/>
          <w:iCs/>
          <w:color w:val="000000"/>
        </w:rPr>
      </w:pPr>
      <w:r w:rsidRPr="00A94043">
        <w:rPr>
          <w:rFonts w:asciiTheme="minorHAnsi" w:hAnsiTheme="minorHAnsi"/>
          <w:b/>
          <w:iCs/>
        </w:rPr>
        <w:t>AS/NZS 3823.4.1:2014</w:t>
      </w:r>
      <w:r w:rsidRPr="00A94043">
        <w:rPr>
          <w:rFonts w:asciiTheme="minorHAnsi" w:hAnsiTheme="minorHAnsi"/>
          <w:iCs/>
        </w:rPr>
        <w:t xml:space="preserve"> Performance of electrical appliances – Air conditioners and heat pumps.  Part 4.1: Air</w:t>
      </w:r>
      <w:r w:rsidRPr="00A94043">
        <w:rPr>
          <w:rFonts w:asciiTheme="minorHAnsi" w:hAnsiTheme="minorHAnsi"/>
          <w:iCs/>
        </w:rPr>
        <w:noBreakHyphen/>
        <w:t>cooled air conditioners and air-to-air heat pumps–Testing and calculating methods for seasonal performance factors – Cooling seasonal performance factor (ISO 16358</w:t>
      </w:r>
      <w:r w:rsidRPr="00A94043">
        <w:rPr>
          <w:rFonts w:asciiTheme="minorHAnsi" w:hAnsiTheme="minorHAnsi"/>
          <w:iCs/>
        </w:rPr>
        <w:noBreakHyphen/>
        <w:t>1:2013, (MOD))</w:t>
      </w:r>
      <w:r w:rsidRPr="00A94043">
        <w:rPr>
          <w:rFonts w:asciiTheme="minorHAnsi" w:hAnsiTheme="minorHAnsi"/>
          <w:iCs/>
          <w:color w:val="000000"/>
        </w:rPr>
        <w:t>.</w:t>
      </w:r>
    </w:p>
    <w:p w14:paraId="23AD9D12" w14:textId="77777777" w:rsidR="0046253F" w:rsidRPr="00A94043" w:rsidRDefault="0046253F" w:rsidP="008D5753">
      <w:pPr>
        <w:pStyle w:val="tDefn"/>
        <w:spacing w:before="0" w:after="200" w:line="276" w:lineRule="auto"/>
        <w:ind w:left="0"/>
        <w:rPr>
          <w:rFonts w:asciiTheme="minorHAnsi" w:hAnsiTheme="minorHAnsi"/>
          <w:iCs/>
          <w:color w:val="000000"/>
        </w:rPr>
      </w:pPr>
      <w:r w:rsidRPr="00A94043">
        <w:rPr>
          <w:rFonts w:asciiTheme="minorHAnsi" w:hAnsiTheme="minorHAnsi"/>
          <w:b/>
          <w:iCs/>
        </w:rPr>
        <w:t>AS/NZS 3823.4.2:2014</w:t>
      </w:r>
      <w:r w:rsidRPr="00A94043">
        <w:rPr>
          <w:rFonts w:asciiTheme="minorHAnsi" w:hAnsiTheme="minorHAnsi"/>
          <w:iCs/>
        </w:rPr>
        <w:t xml:space="preserve"> Performance of electrical appliances – Air conditioners and heat pumps.  Part 4.2: Air</w:t>
      </w:r>
      <w:r w:rsidRPr="00A94043">
        <w:rPr>
          <w:rFonts w:asciiTheme="minorHAnsi" w:hAnsiTheme="minorHAnsi"/>
          <w:iCs/>
        </w:rPr>
        <w:noBreakHyphen/>
        <w:t>cooled air conditioners and air-to-air heat pumps–Testing and calculating methods for seasonal performance factors – Heating seasonal performance factor (ISO 16358</w:t>
      </w:r>
      <w:r w:rsidRPr="00A94043">
        <w:rPr>
          <w:rFonts w:asciiTheme="minorHAnsi" w:hAnsiTheme="minorHAnsi"/>
          <w:iCs/>
        </w:rPr>
        <w:noBreakHyphen/>
        <w:t>2:2013, (MOD))</w:t>
      </w:r>
      <w:r w:rsidRPr="00A94043">
        <w:rPr>
          <w:rFonts w:asciiTheme="minorHAnsi" w:hAnsiTheme="minorHAnsi"/>
          <w:iCs/>
          <w:color w:val="000000"/>
        </w:rPr>
        <w:t>.</w:t>
      </w:r>
    </w:p>
    <w:p w14:paraId="27269557" w14:textId="4286E89F" w:rsidR="008D5753" w:rsidRPr="00A94043" w:rsidRDefault="008D5753" w:rsidP="008D5753">
      <w:pPr>
        <w:pStyle w:val="tDefn"/>
        <w:spacing w:before="0" w:after="200" w:line="276" w:lineRule="auto"/>
        <w:ind w:left="0"/>
        <w:rPr>
          <w:rFonts w:asciiTheme="minorHAnsi" w:hAnsiTheme="minorHAnsi"/>
          <w:iCs/>
          <w:color w:val="000000"/>
        </w:rPr>
      </w:pPr>
      <w:r w:rsidRPr="00A94043">
        <w:rPr>
          <w:rFonts w:asciiTheme="minorHAnsi" w:hAnsiTheme="minorHAnsi"/>
          <w:b/>
          <w:bCs/>
          <w:iCs/>
          <w:color w:val="000000"/>
        </w:rPr>
        <w:t>AS/NZS 4012:2014 Amdt 1</w:t>
      </w:r>
      <w:r w:rsidRPr="00A94043">
        <w:rPr>
          <w:rFonts w:asciiTheme="minorHAnsi" w:hAnsiTheme="minorHAnsi"/>
          <w:iCs/>
          <w:color w:val="000000"/>
        </w:rPr>
        <w:t xml:space="preserve"> Domestic solid fuel burning appliances – Method for determination of power output and efficiency.</w:t>
      </w:r>
    </w:p>
    <w:p w14:paraId="566F7130" w14:textId="5874506B" w:rsidR="0046253F" w:rsidRPr="00A94043" w:rsidRDefault="0046253F" w:rsidP="008D5753">
      <w:pPr>
        <w:pStyle w:val="tDefn"/>
        <w:spacing w:before="0" w:after="200" w:line="276" w:lineRule="auto"/>
        <w:ind w:left="0"/>
        <w:rPr>
          <w:rFonts w:asciiTheme="minorHAnsi" w:hAnsiTheme="minorHAnsi"/>
          <w:b/>
          <w:bCs/>
          <w:iCs/>
          <w:color w:val="000000"/>
        </w:rPr>
      </w:pPr>
      <w:r w:rsidRPr="00A94043">
        <w:rPr>
          <w:rFonts w:asciiTheme="minorHAnsi" w:hAnsiTheme="minorHAnsi"/>
          <w:b/>
          <w:bCs/>
          <w:iCs/>
          <w:color w:val="000000"/>
        </w:rPr>
        <w:t xml:space="preserve">AS 4553: 2008 </w:t>
      </w:r>
      <w:r w:rsidRPr="00A94043">
        <w:rPr>
          <w:rFonts w:asciiTheme="minorHAnsi" w:hAnsiTheme="minorHAnsi"/>
          <w:iCs/>
          <w:color w:val="000000"/>
        </w:rPr>
        <w:t>Gas Space Heating Appliances</w:t>
      </w:r>
      <w:r w:rsidR="0081052E">
        <w:rPr>
          <w:rFonts w:asciiTheme="minorHAnsi" w:hAnsiTheme="minorHAnsi"/>
          <w:iCs/>
          <w:color w:val="000000"/>
        </w:rPr>
        <w:t>.</w:t>
      </w:r>
    </w:p>
    <w:p w14:paraId="0C561A61" w14:textId="77777777" w:rsidR="0046253F" w:rsidRPr="00A94043" w:rsidRDefault="0046253F" w:rsidP="008D5753">
      <w:r w:rsidRPr="00A94043">
        <w:rPr>
          <w:b/>
          <w:bCs/>
        </w:rPr>
        <w:t>AS/NZS 5263.0:2017</w:t>
      </w:r>
      <w:r w:rsidRPr="00A94043">
        <w:t xml:space="preserve"> Gas appliances. Part 0: General requirements.</w:t>
      </w:r>
    </w:p>
    <w:p w14:paraId="5E3EA9D8" w14:textId="77777777" w:rsidR="0046253F" w:rsidRPr="00A94043" w:rsidRDefault="0046253F" w:rsidP="008D5753">
      <w:r w:rsidRPr="00A94043">
        <w:rPr>
          <w:b/>
          <w:bCs/>
        </w:rPr>
        <w:t>AS/NZS 5263.1.3:2016</w:t>
      </w:r>
      <w:r w:rsidRPr="00A94043">
        <w:t xml:space="preserve"> Gas appliances. Part 1.3: Gas space heating appliances.</w:t>
      </w:r>
    </w:p>
    <w:p w14:paraId="25069C8F" w14:textId="77777777" w:rsidR="0046253F" w:rsidRPr="00A94043" w:rsidRDefault="0046253F" w:rsidP="008D5753">
      <w:r w:rsidRPr="00A94043">
        <w:rPr>
          <w:b/>
          <w:bCs/>
        </w:rPr>
        <w:t>AS/NZS 5263.1.3:2021 Amdt1</w:t>
      </w:r>
      <w:r w:rsidRPr="00A94043">
        <w:t xml:space="preserve"> Gas appliances. Part 1.3: Gas space heating appliances.</w:t>
      </w:r>
    </w:p>
    <w:p w14:paraId="09B0F2AB" w14:textId="71BE83D7" w:rsidR="0046253F" w:rsidRPr="00A94043" w:rsidRDefault="0046253F" w:rsidP="008D5753">
      <w:r w:rsidRPr="00A94043">
        <w:rPr>
          <w:b/>
          <w:bCs/>
        </w:rPr>
        <w:t>AS/NZS 5263.1.6:2020</w:t>
      </w:r>
      <w:r w:rsidRPr="00A94043">
        <w:t xml:space="preserve"> Gas appliances. Part 1.</w:t>
      </w:r>
      <w:r w:rsidR="007426D0" w:rsidRPr="00A94043">
        <w:t>6</w:t>
      </w:r>
      <w:r w:rsidRPr="00A94043">
        <w:t>: Indirect gas-fired ducted air heaters.</w:t>
      </w:r>
    </w:p>
    <w:p w14:paraId="427596ED" w14:textId="3E9FEB7D" w:rsidR="007426D0" w:rsidRPr="00A94043" w:rsidRDefault="007426D0" w:rsidP="007426D0">
      <w:bookmarkStart w:id="108" w:name="_Hlk162424529"/>
      <w:r w:rsidRPr="00A94043">
        <w:rPr>
          <w:b/>
          <w:bCs/>
        </w:rPr>
        <w:t>AS/NZS 5263.1.8:2020</w:t>
      </w:r>
      <w:r w:rsidRPr="00A94043">
        <w:t xml:space="preserve"> </w:t>
      </w:r>
      <w:bookmarkEnd w:id="108"/>
      <w:r w:rsidRPr="00A94043">
        <w:t xml:space="preserve">Gas appliances. Part 1.8: </w:t>
      </w:r>
      <w:bookmarkStart w:id="109" w:name="_Hlk162424633"/>
      <w:r w:rsidRPr="00A94043">
        <w:t xml:space="preserve">Decorative </w:t>
      </w:r>
      <w:r w:rsidR="004F1D54">
        <w:t xml:space="preserve">effect </w:t>
      </w:r>
      <w:r w:rsidRPr="00A94043">
        <w:t>gas</w:t>
      </w:r>
      <w:r w:rsidR="004F1D54">
        <w:t xml:space="preserve"> appliances</w:t>
      </w:r>
      <w:bookmarkEnd w:id="109"/>
      <w:r w:rsidRPr="00A94043">
        <w:t>.</w:t>
      </w:r>
    </w:p>
    <w:p w14:paraId="313AF356" w14:textId="0C067C2B" w:rsidR="008D5753" w:rsidRPr="00A94043" w:rsidRDefault="008D5753" w:rsidP="008D5753">
      <w:pPr>
        <w:pStyle w:val="tDefn"/>
        <w:spacing w:before="0" w:after="200" w:line="276" w:lineRule="auto"/>
        <w:ind w:left="0"/>
        <w:rPr>
          <w:rFonts w:asciiTheme="minorHAnsi" w:hAnsiTheme="minorHAnsi"/>
          <w:b/>
          <w:iCs/>
        </w:rPr>
      </w:pPr>
      <w:r w:rsidRPr="00A94043">
        <w:rPr>
          <w:rFonts w:asciiTheme="minorHAnsi" w:hAnsiTheme="minorHAnsi"/>
          <w:b/>
          <w:iCs/>
        </w:rPr>
        <w:t xml:space="preserve">AS/NZS 60335.1:2020 (Excludes IEC text) </w:t>
      </w:r>
      <w:r w:rsidRPr="00A94043">
        <w:rPr>
          <w:rFonts w:asciiTheme="minorHAnsi" w:hAnsiTheme="minorHAnsi"/>
          <w:bCs/>
          <w:iCs/>
        </w:rPr>
        <w:t>Household and similar electrical appliances - Safety - Part 1: General requirements</w:t>
      </w:r>
      <w:r w:rsidR="0081052E">
        <w:rPr>
          <w:rFonts w:asciiTheme="minorHAnsi" w:hAnsiTheme="minorHAnsi"/>
          <w:bCs/>
          <w:iCs/>
        </w:rPr>
        <w:t>.</w:t>
      </w:r>
    </w:p>
    <w:p w14:paraId="50B50D92" w14:textId="133C77FC" w:rsidR="008D5753" w:rsidRPr="00A94043" w:rsidRDefault="008D5753" w:rsidP="008D5753">
      <w:r w:rsidRPr="00A94043">
        <w:rPr>
          <w:rFonts w:asciiTheme="minorHAnsi" w:hAnsiTheme="minorHAnsi"/>
          <w:b/>
          <w:iCs/>
        </w:rPr>
        <w:lastRenderedPageBreak/>
        <w:t xml:space="preserve">AS/NZS 60335.2.102:2018 (Excludes IEC text) </w:t>
      </w:r>
      <w:r w:rsidRPr="00A94043">
        <w:rPr>
          <w:rFonts w:asciiTheme="minorHAnsi" w:hAnsiTheme="minorHAnsi"/>
          <w:bCs/>
          <w:iCs/>
        </w:rPr>
        <w:t>Household and similar electrical appliances – Safety – Part 2.102: Particular requirements for gas, oil and solid-fuel burning appliances having electrical connections</w:t>
      </w:r>
      <w:r w:rsidR="0081052E">
        <w:rPr>
          <w:rFonts w:asciiTheme="minorHAnsi" w:hAnsiTheme="minorHAnsi"/>
          <w:bCs/>
          <w:iCs/>
        </w:rPr>
        <w:t>.</w:t>
      </w:r>
    </w:p>
    <w:p w14:paraId="64966E81" w14:textId="07842814" w:rsidR="003954FF" w:rsidRPr="004E73D2" w:rsidRDefault="00F325D4" w:rsidP="00A84974">
      <w:r w:rsidRPr="00A94043">
        <w:rPr>
          <w:b/>
          <w:bCs/>
        </w:rPr>
        <w:t>AS/NZS IEC 62301</w:t>
      </w:r>
      <w:r w:rsidR="00805DB9" w:rsidRPr="00A94043">
        <w:rPr>
          <w:b/>
          <w:bCs/>
        </w:rPr>
        <w:t>: 2014</w:t>
      </w:r>
      <w:r w:rsidR="00805DB9" w:rsidRPr="00A94043">
        <w:t xml:space="preserve"> Household electrical appliances – Measurement of standby power</w:t>
      </w:r>
      <w:r w:rsidR="0081052E">
        <w:t>.</w:t>
      </w:r>
    </w:p>
    <w:sectPr w:rsidR="003954FF" w:rsidRPr="004E73D2" w:rsidSect="002351D4">
      <w:type w:val="continuous"/>
      <w:pgSz w:w="11906" w:h="16838" w:code="9"/>
      <w:pgMar w:top="1729" w:right="1140" w:bottom="1701" w:left="1140" w:header="57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885C" w14:textId="77777777" w:rsidR="0086607F" w:rsidRPr="00A94043" w:rsidRDefault="0086607F" w:rsidP="00A860BD">
      <w:pPr>
        <w:spacing w:after="0" w:line="240" w:lineRule="auto"/>
      </w:pPr>
      <w:r w:rsidRPr="00A94043">
        <w:separator/>
      </w:r>
    </w:p>
  </w:endnote>
  <w:endnote w:type="continuationSeparator" w:id="0">
    <w:p w14:paraId="5212BEF7" w14:textId="77777777" w:rsidR="0086607F" w:rsidRPr="00A94043" w:rsidRDefault="0086607F" w:rsidP="00A860BD">
      <w:pPr>
        <w:spacing w:after="0" w:line="240" w:lineRule="auto"/>
      </w:pPr>
      <w:r w:rsidRPr="00A94043">
        <w:continuationSeparator/>
      </w:r>
    </w:p>
  </w:endnote>
  <w:endnote w:type="continuationNotice" w:id="1">
    <w:p w14:paraId="6B30B38A" w14:textId="77777777" w:rsidR="0086607F" w:rsidRPr="00A94043" w:rsidRDefault="00866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DCA8" w14:textId="05DC5070" w:rsidR="00CD3888" w:rsidRDefault="000E44D7">
    <w:pPr>
      <w:pStyle w:val="Footer"/>
    </w:pPr>
    <w:r>
      <w:rPr>
        <w:noProof/>
      </w:rPr>
      <mc:AlternateContent>
        <mc:Choice Requires="wps">
          <w:drawing>
            <wp:anchor distT="0" distB="0" distL="0" distR="0" simplePos="0" relativeHeight="251658244" behindDoc="0" locked="0" layoutInCell="1" allowOverlap="1" wp14:anchorId="70068318" wp14:editId="3EA7D478">
              <wp:simplePos x="635" y="635"/>
              <wp:positionH relativeFrom="page">
                <wp:align>center</wp:align>
              </wp:positionH>
              <wp:positionV relativeFrom="page">
                <wp:align>bottom</wp:align>
              </wp:positionV>
              <wp:extent cx="551815" cy="404495"/>
              <wp:effectExtent l="0" t="0" r="635" b="0"/>
              <wp:wrapNone/>
              <wp:docPr id="1764467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5DBFC2" w14:textId="0E92413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68318" id="_x0000_t202" coordsize="21600,21600" o:spt="202" path="m,l,21600r21600,l21600,xe">
              <v:stroke joinstyle="miter"/>
              <v:path gradientshapeok="t" o:connecttype="rect"/>
            </v:shapetype>
            <v:shape id="Text Box 11"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35DBFC2" w14:textId="0E92413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039F" w14:textId="5428CE47" w:rsidR="00DB6391" w:rsidRPr="00A94043" w:rsidRDefault="009E48D5" w:rsidP="004A498B">
    <w:pPr>
      <w:pStyle w:val="Footer"/>
    </w:pPr>
    <w:fldSimple w:instr="STYLEREF  ReportTitle  \* MERGEFORMAT">
      <w:r w:rsidR="007068DD">
        <w:rPr>
          <w:noProof/>
        </w:rPr>
        <w:t>Space Heating Comparison Methodology: Public Consultation</w:t>
      </w:r>
    </w:fldSimple>
    <w:r w:rsidR="00DB6391" w:rsidRPr="00A94043">
      <w:tab/>
    </w:r>
    <w:r w:rsidR="00DB6391" w:rsidRPr="00A94043">
      <w:rPr>
        <w:color w:val="2B579A"/>
        <w:shd w:val="clear" w:color="auto" w:fill="E6E6E6"/>
      </w:rPr>
      <w:fldChar w:fldCharType="begin"/>
    </w:r>
    <w:r w:rsidR="00DB6391" w:rsidRPr="00A94043">
      <w:instrText xml:space="preserve"> PAGE   \* MERGEFORMAT </w:instrText>
    </w:r>
    <w:r w:rsidR="00DB6391" w:rsidRPr="00A94043">
      <w:rPr>
        <w:color w:val="2B579A"/>
        <w:shd w:val="clear" w:color="auto" w:fill="E6E6E6"/>
      </w:rPr>
      <w:fldChar w:fldCharType="separate"/>
    </w:r>
    <w:r w:rsidR="00DB6391" w:rsidRPr="00A94043">
      <w:t>iii</w:t>
    </w:r>
    <w:r w:rsidR="00DB6391" w:rsidRPr="00A9404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64E1" w14:textId="73150CB7" w:rsidR="00DB6391" w:rsidRPr="00A94043" w:rsidRDefault="00DB6391" w:rsidP="00FD791E">
    <w:pPr>
      <w:pStyle w:val="Footer"/>
      <w:pBdr>
        <w:top w:val="none" w:sz="0" w:space="0" w:color="auto"/>
      </w:pBdr>
      <w:jc w:val="center"/>
    </w:pPr>
    <w:r w:rsidRPr="00A94043">
      <w:t>A joint initiative of Australia, State and Territory and New Zealand Governments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573A" w14:textId="4727813C" w:rsidR="000E44D7" w:rsidRDefault="000E44D7">
    <w:pPr>
      <w:pStyle w:val="Footer"/>
    </w:pPr>
    <w:r>
      <w:rPr>
        <w:noProof/>
      </w:rPr>
      <mc:AlternateContent>
        <mc:Choice Requires="wps">
          <w:drawing>
            <wp:anchor distT="0" distB="0" distL="0" distR="0" simplePos="0" relativeHeight="251658246" behindDoc="0" locked="0" layoutInCell="1" allowOverlap="1" wp14:anchorId="5195A2A7" wp14:editId="63D21983">
              <wp:simplePos x="635" y="635"/>
              <wp:positionH relativeFrom="page">
                <wp:align>center</wp:align>
              </wp:positionH>
              <wp:positionV relativeFrom="page">
                <wp:align>bottom</wp:align>
              </wp:positionV>
              <wp:extent cx="551815" cy="404495"/>
              <wp:effectExtent l="0" t="0" r="635" b="0"/>
              <wp:wrapNone/>
              <wp:docPr id="150915298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206EA32" w14:textId="6E535428"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5A2A7" id="_x0000_t202" coordsize="21600,21600" o:spt="202" path="m,l,21600r21600,l21600,xe">
              <v:stroke joinstyle="miter"/>
              <v:path gradientshapeok="t" o:connecttype="rect"/>
            </v:shapetype>
            <v:shape id="Text Box 14" o:spid="_x0000_s1029" type="#_x0000_t202" alt="OFFICIAL" style="position:absolute;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206EA32" w14:textId="6E535428"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F4B0" w14:textId="71882284" w:rsidR="00DB6391" w:rsidRPr="00A94043" w:rsidRDefault="009E48D5" w:rsidP="008F674B">
    <w:pPr>
      <w:pStyle w:val="Footer"/>
    </w:pPr>
    <w:fldSimple w:instr="STYLEREF  ReportTitle  \* MERGEFORMAT">
      <w:r w:rsidR="00D73D08">
        <w:rPr>
          <w:noProof/>
        </w:rPr>
        <w:t>Space Heating Comparison Methodology: Public Consultation</w:t>
      </w:r>
    </w:fldSimple>
    <w:r w:rsidR="00DB6391" w:rsidRPr="00A94043">
      <w:tab/>
    </w:r>
    <w:r w:rsidR="00DB6391" w:rsidRPr="00A94043">
      <w:rPr>
        <w:color w:val="2B579A"/>
        <w:shd w:val="clear" w:color="auto" w:fill="E6E6E6"/>
      </w:rPr>
      <w:fldChar w:fldCharType="begin"/>
    </w:r>
    <w:r w:rsidR="00DB6391" w:rsidRPr="00A94043">
      <w:instrText xml:space="preserve"> PAGE   \* MERGEFORMAT </w:instrText>
    </w:r>
    <w:r w:rsidR="00DB6391" w:rsidRPr="00A94043">
      <w:rPr>
        <w:color w:val="2B579A"/>
        <w:shd w:val="clear" w:color="auto" w:fill="E6E6E6"/>
      </w:rPr>
      <w:fldChar w:fldCharType="separate"/>
    </w:r>
    <w:r w:rsidR="005120AD" w:rsidRPr="00A94043">
      <w:t>xv</w:t>
    </w:r>
    <w:r w:rsidR="00DB6391" w:rsidRPr="00A94043">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7FAE" w14:textId="5224A3DC" w:rsidR="00DB6391" w:rsidRPr="00A94043" w:rsidRDefault="000E44D7" w:rsidP="00FD791E">
    <w:pPr>
      <w:pStyle w:val="Footer"/>
      <w:pBdr>
        <w:top w:val="none" w:sz="0" w:space="0" w:color="auto"/>
      </w:pBdr>
      <w:jc w:val="center"/>
    </w:pPr>
    <w:r>
      <w:rPr>
        <w:noProof/>
      </w:rPr>
      <mc:AlternateContent>
        <mc:Choice Requires="wps">
          <w:drawing>
            <wp:anchor distT="0" distB="0" distL="0" distR="0" simplePos="0" relativeHeight="251658245" behindDoc="0" locked="0" layoutInCell="1" allowOverlap="1" wp14:anchorId="62AF065D" wp14:editId="12692A01">
              <wp:simplePos x="635" y="635"/>
              <wp:positionH relativeFrom="page">
                <wp:align>center</wp:align>
              </wp:positionH>
              <wp:positionV relativeFrom="page">
                <wp:align>bottom</wp:align>
              </wp:positionV>
              <wp:extent cx="551815" cy="404495"/>
              <wp:effectExtent l="0" t="0" r="635" b="0"/>
              <wp:wrapNone/>
              <wp:docPr id="20640964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9FB8FE" w14:textId="0B88DEF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F065D" id="_x0000_t202" coordsize="21600,21600" o:spt="202" path="m,l,21600r21600,l21600,xe">
              <v:stroke joinstyle="miter"/>
              <v:path gradientshapeok="t" o:connecttype="rect"/>
            </v:shapetype>
            <v:shape id="Text Box 13" o:spid="_x0000_s1031"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59FB8FE" w14:textId="0B88DEF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r w:rsidR="00DB6391" w:rsidRPr="00A94043">
      <w:t>A joint initiative of Australia, State and Territory and New Zealand Governments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06D7" w14:textId="0D337E78" w:rsidR="000E44D7" w:rsidRDefault="000E44D7">
    <w:pPr>
      <w:pStyle w:val="Footer"/>
    </w:pPr>
    <w:r>
      <w:rPr>
        <w:noProof/>
      </w:rPr>
      <mc:AlternateContent>
        <mc:Choice Requires="wps">
          <w:drawing>
            <wp:anchor distT="0" distB="0" distL="0" distR="0" simplePos="0" relativeHeight="251658247" behindDoc="0" locked="0" layoutInCell="1" allowOverlap="1" wp14:anchorId="0B876E8E" wp14:editId="3460031F">
              <wp:simplePos x="635" y="635"/>
              <wp:positionH relativeFrom="page">
                <wp:align>center</wp:align>
              </wp:positionH>
              <wp:positionV relativeFrom="page">
                <wp:align>bottom</wp:align>
              </wp:positionV>
              <wp:extent cx="551815" cy="404495"/>
              <wp:effectExtent l="0" t="0" r="635" b="0"/>
              <wp:wrapNone/>
              <wp:docPr id="161617306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2F5350" w14:textId="249BEF4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876E8E" id="_x0000_t202" coordsize="21600,21600" o:spt="202" path="m,l,21600r21600,l21600,xe">
              <v:stroke joinstyle="miter"/>
              <v:path gradientshapeok="t" o:connecttype="rect"/>
            </v:shapetype>
            <v:shape id="Text Box 17" o:spid="_x0000_s1033" type="#_x0000_t202" alt="OFFICIAL" style="position:absolute;margin-left:0;margin-top:0;width:43.45pt;height:31.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1A2F5350" w14:textId="249BEF4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5FF9" w14:textId="28B206FE" w:rsidR="00DB6391" w:rsidRPr="00A94043" w:rsidRDefault="009E48D5" w:rsidP="00975B56">
    <w:pPr>
      <w:pStyle w:val="Footer"/>
    </w:pPr>
    <w:fldSimple w:instr="STYLEREF  ReportTitle  \* MERGEFORMAT">
      <w:r w:rsidR="00D73D08">
        <w:rPr>
          <w:noProof/>
        </w:rPr>
        <w:t>Space Heating Comparison Methodology: Public Consultation</w:t>
      </w:r>
    </w:fldSimple>
    <w:r w:rsidR="00DB6391" w:rsidRPr="00A94043">
      <w:tab/>
    </w:r>
    <w:r w:rsidR="00DB6391" w:rsidRPr="00A94043">
      <w:rPr>
        <w:color w:val="2B579A"/>
        <w:shd w:val="clear" w:color="auto" w:fill="E6E6E6"/>
      </w:rPr>
      <w:fldChar w:fldCharType="begin"/>
    </w:r>
    <w:r w:rsidR="00DB6391" w:rsidRPr="00A94043">
      <w:instrText xml:space="preserve"> PAGE   \* MERGEFORMAT </w:instrText>
    </w:r>
    <w:r w:rsidR="00DB6391" w:rsidRPr="00A94043">
      <w:rPr>
        <w:color w:val="2B579A"/>
        <w:shd w:val="clear" w:color="auto" w:fill="E6E6E6"/>
      </w:rPr>
      <w:fldChar w:fldCharType="separate"/>
    </w:r>
    <w:r w:rsidR="005120AD" w:rsidRPr="00A94043">
      <w:t>5</w:t>
    </w:r>
    <w:r w:rsidR="00DB6391" w:rsidRPr="00A94043">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36E" w14:textId="300E5680" w:rsidR="00DB6391" w:rsidRPr="00A94043" w:rsidRDefault="009E48D5" w:rsidP="00EE3996">
    <w:pPr>
      <w:pStyle w:val="Footer"/>
      <w:tabs>
        <w:tab w:val="left" w:pos="9525"/>
      </w:tabs>
    </w:pPr>
    <w:fldSimple w:instr="STYLEREF  ReportTitle  \* MERGEFORMAT">
      <w:r w:rsidR="007068DD">
        <w:rPr>
          <w:noProof/>
        </w:rPr>
        <w:t>Space Heating Comparison Methodology: Public Consultation</w:t>
      </w:r>
    </w:fldSimple>
    <w:bookmarkStart w:id="71" w:name="_Hlk137646676"/>
    <w:r w:rsidR="00DB6391" w:rsidRPr="00A94043">
      <w:tab/>
    </w:r>
    <w:r w:rsidR="00AA4AE7" w:rsidRPr="00A94043">
      <w:tab/>
    </w:r>
    <w:r w:rsidR="00DB6391" w:rsidRPr="00A94043">
      <w:rPr>
        <w:color w:val="2B579A"/>
        <w:shd w:val="clear" w:color="auto" w:fill="E6E6E6"/>
      </w:rPr>
      <w:fldChar w:fldCharType="begin"/>
    </w:r>
    <w:r w:rsidR="00DB6391" w:rsidRPr="00A94043">
      <w:instrText xml:space="preserve"> PAGE  \* Arabic  \* MERGEFORMAT </w:instrText>
    </w:r>
    <w:r w:rsidR="00DB6391" w:rsidRPr="00A94043">
      <w:rPr>
        <w:color w:val="2B579A"/>
        <w:shd w:val="clear" w:color="auto" w:fill="E6E6E6"/>
      </w:rPr>
      <w:fldChar w:fldCharType="separate"/>
    </w:r>
    <w:r w:rsidR="005120AD" w:rsidRPr="00A94043">
      <w:t>1</w:t>
    </w:r>
    <w:r w:rsidR="00DB6391" w:rsidRPr="00A94043">
      <w:rPr>
        <w:color w:val="2B579A"/>
        <w:shd w:val="clear" w:color="auto" w:fill="E6E6E6"/>
      </w:rPr>
      <w:fldChar w:fldCharType="end"/>
    </w:r>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539FA" w14:textId="77777777" w:rsidR="0086607F" w:rsidRPr="00A94043" w:rsidRDefault="0086607F" w:rsidP="00A860BD">
      <w:pPr>
        <w:spacing w:after="0" w:line="240" w:lineRule="auto"/>
      </w:pPr>
      <w:r w:rsidRPr="00A94043">
        <w:separator/>
      </w:r>
    </w:p>
  </w:footnote>
  <w:footnote w:type="continuationSeparator" w:id="0">
    <w:p w14:paraId="46526819" w14:textId="77777777" w:rsidR="0086607F" w:rsidRPr="00A94043" w:rsidRDefault="0086607F" w:rsidP="00A860BD">
      <w:pPr>
        <w:spacing w:after="0" w:line="240" w:lineRule="auto"/>
      </w:pPr>
      <w:r w:rsidRPr="00A94043">
        <w:continuationSeparator/>
      </w:r>
    </w:p>
  </w:footnote>
  <w:footnote w:type="continuationNotice" w:id="1">
    <w:p w14:paraId="0E7C35CE" w14:textId="77777777" w:rsidR="0086607F" w:rsidRPr="00A94043" w:rsidRDefault="0086607F">
      <w:pPr>
        <w:spacing w:after="0" w:line="240" w:lineRule="auto"/>
      </w:pPr>
    </w:p>
  </w:footnote>
  <w:footnote w:id="2">
    <w:p w14:paraId="73190B9B" w14:textId="24368198" w:rsidR="00842C87" w:rsidRPr="00A94043" w:rsidRDefault="00842C87">
      <w:pPr>
        <w:pStyle w:val="FootnoteText"/>
      </w:pPr>
      <w:r w:rsidRPr="00A94043">
        <w:rPr>
          <w:rStyle w:val="FootnoteReference"/>
        </w:rPr>
        <w:footnoteRef/>
      </w:r>
      <w:r w:rsidRPr="00A94043">
        <w:t xml:space="preserve"> </w:t>
      </w:r>
      <w:r w:rsidRPr="00D91791">
        <w:t>While these products do not have a rated heating capacity, they do provide some heat output, and are often considered by consumers to be space heaters</w:t>
      </w:r>
      <w:r w:rsidR="00D91791">
        <w:t>.</w:t>
      </w:r>
    </w:p>
  </w:footnote>
  <w:footnote w:id="3">
    <w:p w14:paraId="262C5DA2" w14:textId="087DED1E" w:rsidR="00793027" w:rsidRPr="00A94043" w:rsidRDefault="00793027" w:rsidP="00793027">
      <w:pPr>
        <w:pStyle w:val="FootnoteText"/>
      </w:pPr>
      <w:r w:rsidRPr="00A94043">
        <w:rPr>
          <w:rStyle w:val="FootnoteReference"/>
        </w:rPr>
        <w:footnoteRef/>
      </w:r>
      <w:r w:rsidRPr="00A94043">
        <w:t xml:space="preserve"> </w:t>
      </w:r>
      <w:r w:rsidRPr="00D91791">
        <w:t>Performance of electrical appliances - Air conditioners and heat pumps, Part 4.2: Air-cooled air conditioners and air-to-air heat pumps - Testing and calculating methods for seasonal performance factors - Heating seasonal performance factor</w:t>
      </w:r>
      <w:r w:rsidR="00D91791">
        <w:t>.</w:t>
      </w:r>
    </w:p>
  </w:footnote>
  <w:footnote w:id="4">
    <w:p w14:paraId="01217159" w14:textId="62110909" w:rsidR="00C65F87" w:rsidRPr="00EC1116" w:rsidRDefault="00C65F87" w:rsidP="00C65F87">
      <w:pPr>
        <w:pStyle w:val="FootnoteText"/>
        <w:rPr>
          <w:rFonts w:asciiTheme="minorHAnsi" w:hAnsiTheme="minorHAnsi" w:cstheme="minorHAnsi"/>
        </w:rPr>
      </w:pPr>
      <w:r w:rsidRPr="00EC1116">
        <w:rPr>
          <w:rStyle w:val="FootnoteReference"/>
          <w:rFonts w:asciiTheme="minorHAnsi" w:hAnsiTheme="minorHAnsi" w:cstheme="minorHAnsi"/>
        </w:rPr>
        <w:footnoteRef/>
      </w:r>
      <w:r w:rsidRPr="00EC1116">
        <w:rPr>
          <w:rFonts w:asciiTheme="minorHAnsi" w:hAnsiTheme="minorHAnsi" w:cstheme="minorHAnsi"/>
        </w:rPr>
        <w:t xml:space="preserve"> Potentially hydrogen gas could become a substitute in the future. In the medium term its most likely effect on gas heating </w:t>
      </w:r>
      <w:r w:rsidR="005E4861" w:rsidRPr="00EC1116">
        <w:rPr>
          <w:rFonts w:asciiTheme="minorHAnsi" w:hAnsiTheme="minorHAnsi" w:cstheme="minorHAnsi"/>
        </w:rPr>
        <w:t>c</w:t>
      </w:r>
      <w:r w:rsidRPr="00EC1116">
        <w:rPr>
          <w:rFonts w:asciiTheme="minorHAnsi" w:hAnsiTheme="minorHAnsi" w:cstheme="minorHAnsi"/>
        </w:rPr>
        <w:t>ould be for reticulated natural gas to contain a small proportion of hydrogen. In that case, the greenhouse gas emissions associated with gas heater use could be reduced.</w:t>
      </w:r>
      <w:r w:rsidR="00793594" w:rsidRPr="00EC1116">
        <w:rPr>
          <w:rFonts w:asciiTheme="minorHAnsi" w:hAnsiTheme="minorHAnsi" w:cstheme="minorHAnsi"/>
        </w:rPr>
        <w:t xml:space="preserve"> </w:t>
      </w:r>
    </w:p>
  </w:footnote>
  <w:footnote w:id="5">
    <w:p w14:paraId="298C64A2" w14:textId="691CF69F" w:rsidR="00CB1543" w:rsidRPr="000108A2" w:rsidRDefault="00CB1543" w:rsidP="00CB1543">
      <w:pPr>
        <w:pStyle w:val="FootnoteText"/>
      </w:pPr>
      <w:r w:rsidRPr="00A94043">
        <w:rPr>
          <w:rStyle w:val="FootnoteReference"/>
        </w:rPr>
        <w:footnoteRef/>
      </w:r>
      <w:r w:rsidRPr="00A94043">
        <w:t xml:space="preserve"> </w:t>
      </w:r>
      <w:r w:rsidRPr="000108A2">
        <w:t>The amount of heat energy that would need to be added to a space to achieve a certain temperature.</w:t>
      </w:r>
    </w:p>
  </w:footnote>
  <w:footnote w:id="6">
    <w:p w14:paraId="4B70E8CC" w14:textId="28587B9A" w:rsidR="00992AD7" w:rsidRPr="00630987" w:rsidRDefault="00992AD7">
      <w:pPr>
        <w:pStyle w:val="FootnoteText"/>
      </w:pPr>
      <w:r>
        <w:rPr>
          <w:rStyle w:val="FootnoteReference"/>
        </w:rPr>
        <w:footnoteRef/>
      </w:r>
      <w:r>
        <w:t xml:space="preserve"> </w:t>
      </w:r>
      <w:r w:rsidRPr="000108A2">
        <w:t>Performance of electrical appliances - Air conditioners and heat pumps, Part 4.2: Air-cooled air conditioners and air-to-air heat pumps - Testing and calculating methods for seasonal performance factors - Heating seasonal performance factor</w:t>
      </w:r>
      <w:r w:rsidR="000108A2" w:rsidRPr="000108A2">
        <w:t>.</w:t>
      </w:r>
    </w:p>
  </w:footnote>
  <w:footnote w:id="7">
    <w:p w14:paraId="15FAADF7" w14:textId="77777777" w:rsidR="00A974C1" w:rsidRPr="008A1047" w:rsidRDefault="00A974C1" w:rsidP="00A974C1">
      <w:pPr>
        <w:pStyle w:val="FootnoteText"/>
        <w:rPr>
          <w:lang w:val="en-US"/>
        </w:rPr>
      </w:pPr>
      <w:r>
        <w:rPr>
          <w:rStyle w:val="FootnoteReference"/>
        </w:rPr>
        <w:footnoteRef/>
      </w:r>
      <w:r>
        <w:t xml:space="preserve"> Note: Capacity, Input Power, Energy Use and Product Efficiency are all based on the total energy use (e.g. gas plus electricity for gas space heaters).  Input Power and Energy Use would also be separated out by fuel type in order to calculate running costs and greenhouse gas emissions.</w:t>
      </w:r>
    </w:p>
  </w:footnote>
  <w:footnote w:id="8">
    <w:p w14:paraId="150DB62F" w14:textId="7F7E3F0B" w:rsidR="008F1F89" w:rsidRPr="00BE666F" w:rsidRDefault="008F1F89" w:rsidP="008F1F89">
      <w:pPr>
        <w:rPr>
          <w:sz w:val="20"/>
        </w:rPr>
      </w:pPr>
      <w:r w:rsidRPr="008F1F89">
        <w:rPr>
          <w:rStyle w:val="FootnoteReference"/>
          <w:szCs w:val="22"/>
        </w:rPr>
        <w:t>*</w:t>
      </w:r>
      <w:r>
        <w:t xml:space="preserve"> </w:t>
      </w:r>
      <w:r>
        <w:rPr>
          <w:sz w:val="20"/>
        </w:rPr>
        <w:t xml:space="preserve">Explanation of air conditioner values are </w:t>
      </w:r>
      <w:r w:rsidRPr="00CE3C9A">
        <w:rPr>
          <w:sz w:val="20"/>
        </w:rPr>
        <w:t>provided in</w:t>
      </w:r>
      <w:r>
        <w:rPr>
          <w:sz w:val="20"/>
        </w:rPr>
        <w:t xml:space="preserve"> </w:t>
      </w:r>
      <w:r w:rsidRPr="00BE666F">
        <w:rPr>
          <w:sz w:val="20"/>
        </w:rPr>
        <w:fldChar w:fldCharType="begin"/>
      </w:r>
      <w:r w:rsidRPr="00BE666F">
        <w:rPr>
          <w:sz w:val="20"/>
        </w:rPr>
        <w:instrText xml:space="preserve"> REF _Ref159309845 \h </w:instrText>
      </w:r>
      <w:r>
        <w:rPr>
          <w:sz w:val="20"/>
        </w:rPr>
        <w:instrText xml:space="preserve"> \* MERGEFORMAT </w:instrText>
      </w:r>
      <w:r w:rsidRPr="00BE666F">
        <w:rPr>
          <w:sz w:val="20"/>
        </w:rPr>
      </w:r>
      <w:r w:rsidRPr="00BE666F">
        <w:rPr>
          <w:sz w:val="20"/>
        </w:rPr>
        <w:fldChar w:fldCharType="separate"/>
      </w:r>
      <w:r w:rsidR="007068DD" w:rsidRPr="007068DD">
        <w:rPr>
          <w:sz w:val="20"/>
        </w:rPr>
        <w:t>Appendix 4:  Example data and results</w:t>
      </w:r>
      <w:r w:rsidRPr="00BE666F">
        <w:rPr>
          <w:sz w:val="20"/>
        </w:rPr>
        <w:fldChar w:fldCharType="end"/>
      </w:r>
      <w:r w:rsidRPr="00BE666F">
        <w:rPr>
          <w:sz w:val="20"/>
        </w:rPr>
        <w:t>.</w:t>
      </w:r>
    </w:p>
    <w:p w14:paraId="7A6B4F8E" w14:textId="4A12F666" w:rsidR="008F1F89" w:rsidRDefault="008F1F89">
      <w:pPr>
        <w:pStyle w:val="FootnoteText"/>
      </w:pPr>
    </w:p>
  </w:footnote>
  <w:footnote w:id="9">
    <w:p w14:paraId="3F937D1F" w14:textId="71B5D393" w:rsidR="002746B1" w:rsidRPr="002746B1" w:rsidRDefault="002746B1" w:rsidP="002746B1">
      <w:pPr>
        <w:rPr>
          <w:sz w:val="20"/>
        </w:rPr>
      </w:pPr>
      <w:r>
        <w:rPr>
          <w:rStyle w:val="FootnoteReference"/>
        </w:rPr>
        <w:t>□</w:t>
      </w:r>
      <w:r>
        <w:t xml:space="preserve"> </w:t>
      </w:r>
      <w:r w:rsidRPr="00A94043">
        <w:rPr>
          <w:sz w:val="20"/>
        </w:rPr>
        <w:t>For air conditioners, an average of the GEMS register data was used to define inputs; the two values of rated capacity at 2</w:t>
      </w:r>
      <w:r w:rsidRPr="00A94043">
        <w:rPr>
          <w:rFonts w:ascii="Cambria" w:hAnsi="Cambria"/>
          <w:sz w:val="20"/>
        </w:rPr>
        <w:t>°</w:t>
      </w:r>
      <w:r w:rsidRPr="00A94043">
        <w:rPr>
          <w:sz w:val="20"/>
        </w:rPr>
        <w:t>C are the default value provided by the ACCM and the average of the GEMS data for this product size; the rated input power is defined at 7</w:t>
      </w:r>
      <w:r w:rsidRPr="00A94043">
        <w:rPr>
          <w:rFonts w:ascii="Cambria" w:hAnsi="Cambria"/>
          <w:sz w:val="20"/>
        </w:rPr>
        <w:t>°</w:t>
      </w:r>
      <w:r w:rsidRPr="00A94043">
        <w:rPr>
          <w:sz w:val="20"/>
        </w:rPr>
        <w:t>C; and the rated efficiency is the average A</w:t>
      </w:r>
      <w:r>
        <w:rPr>
          <w:sz w:val="20"/>
        </w:rPr>
        <w:t>COP</w:t>
      </w:r>
      <w:r w:rsidRPr="00A94043">
        <w:rPr>
          <w:sz w:val="20"/>
        </w:rPr>
        <w:t>.</w:t>
      </w:r>
    </w:p>
  </w:footnote>
  <w:footnote w:id="10">
    <w:p w14:paraId="3C8C64CD" w14:textId="575E13E8" w:rsidR="00F367F9" w:rsidRDefault="00F367F9">
      <w:pPr>
        <w:pStyle w:val="FootnoteText"/>
      </w:pPr>
      <w:r>
        <w:rPr>
          <w:rStyle w:val="FootnoteReference"/>
        </w:rPr>
        <w:t>◊</w:t>
      </w:r>
      <w:r>
        <w:t xml:space="preserve"> </w:t>
      </w:r>
      <w:r w:rsidRPr="00F367F9">
        <w:rPr>
          <w:rStyle w:val="FootnoteTextChar"/>
        </w:rPr>
        <w:t>For air conditioners (AC), an average of the GEMS register data was used to define inputs; the two values of rated capacity at 2°C are the default value provided by the ACCM and the average of the GEMS data for this product size; the rated input power is defined at 7°C; and the rated efficiency is the average ACOP.</w:t>
      </w:r>
    </w:p>
  </w:footnote>
  <w:footnote w:id="11">
    <w:p w14:paraId="1C7C6E93" w14:textId="28EFF8E9" w:rsidR="0001235F" w:rsidRDefault="0001235F">
      <w:pPr>
        <w:pStyle w:val="FootnoteText"/>
      </w:pPr>
      <w:r>
        <w:rPr>
          <w:rStyle w:val="FootnoteReference"/>
        </w:rPr>
        <w:t>^</w:t>
      </w:r>
      <w:r>
        <w:t xml:space="preserve"> </w:t>
      </w:r>
      <w:r w:rsidR="00E35A6A" w:rsidRPr="00CC55BF">
        <w:t>For air conditioners</w:t>
      </w:r>
      <w:r w:rsidR="0059666C">
        <w:t xml:space="preserve"> (AC)</w:t>
      </w:r>
      <w:r w:rsidR="00E35A6A" w:rsidRPr="00CC55BF">
        <w:t>, an average of the GEMS register data was used to define inputs; inactive energy consumption was calculated from the 0.4 multiplied by the standby power (Pia) times inactive hours, as per the ACCM; HSEC was determined from Annual Energy Use minus Inactive Energy Consumption; and Overall Product Efficiency was calculated from the ratio of HSTL to HSEC.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292A" w14:textId="2B6E01C6" w:rsidR="00CD3888" w:rsidRDefault="000E44D7">
    <w:pPr>
      <w:pStyle w:val="Header"/>
    </w:pPr>
    <w:r>
      <w:rPr>
        <w:noProof/>
      </w:rPr>
      <mc:AlternateContent>
        <mc:Choice Requires="wps">
          <w:drawing>
            <wp:anchor distT="0" distB="0" distL="0" distR="0" simplePos="0" relativeHeight="251658240" behindDoc="0" locked="0" layoutInCell="1" allowOverlap="1" wp14:anchorId="54B037CA" wp14:editId="5A0DCAA9">
              <wp:simplePos x="635" y="635"/>
              <wp:positionH relativeFrom="page">
                <wp:align>center</wp:align>
              </wp:positionH>
              <wp:positionV relativeFrom="page">
                <wp:align>top</wp:align>
              </wp:positionV>
              <wp:extent cx="551815" cy="404495"/>
              <wp:effectExtent l="0" t="0" r="635" b="14605"/>
              <wp:wrapNone/>
              <wp:docPr id="1855850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386840" w14:textId="66043DE2"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037CA"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386840" w14:textId="66043DE2"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2"/>
      <w:gridCol w:w="3466"/>
      <w:gridCol w:w="3009"/>
    </w:tblGrid>
    <w:tr w:rsidR="00DB6391" w:rsidRPr="000A75A1" w14:paraId="56858DC7" w14:textId="77777777" w:rsidTr="00333A74">
      <w:tc>
        <w:tcPr>
          <w:tcW w:w="2552" w:type="dxa"/>
        </w:tcPr>
        <w:p w14:paraId="202FC294" w14:textId="4B10964C" w:rsidR="00DB6391" w:rsidRPr="000A75A1" w:rsidRDefault="00DB6391" w:rsidP="00E65AD4">
          <w:pPr>
            <w:pStyle w:val="Header"/>
            <w:ind w:left="-115"/>
            <w:rPr>
              <w:color w:val="CB101A"/>
            </w:rPr>
          </w:pPr>
        </w:p>
      </w:tc>
      <w:tc>
        <w:tcPr>
          <w:tcW w:w="3466" w:type="dxa"/>
        </w:tcPr>
        <w:p w14:paraId="6348697A" w14:textId="5CFBE47B" w:rsidR="00DB6391" w:rsidRPr="000A75A1" w:rsidRDefault="00DB6391" w:rsidP="00E65AD4">
          <w:pPr>
            <w:pStyle w:val="Header"/>
            <w:jc w:val="center"/>
            <w:rPr>
              <w:color w:val="CB101A"/>
            </w:rPr>
          </w:pPr>
        </w:p>
      </w:tc>
      <w:tc>
        <w:tcPr>
          <w:tcW w:w="3009" w:type="dxa"/>
        </w:tcPr>
        <w:p w14:paraId="6C03529F" w14:textId="77777777" w:rsidR="00DB6391" w:rsidRPr="000A75A1" w:rsidRDefault="00DB6391" w:rsidP="00E65AD4">
          <w:pPr>
            <w:pStyle w:val="Header"/>
            <w:ind w:right="-115"/>
            <w:jc w:val="right"/>
            <w:rPr>
              <w:color w:val="CB101A"/>
            </w:rPr>
          </w:pPr>
        </w:p>
      </w:tc>
    </w:tr>
  </w:tbl>
  <w:p w14:paraId="383DAC16" w14:textId="3646C77F" w:rsidR="00DB6391" w:rsidRPr="000A75A1" w:rsidRDefault="00DB6391" w:rsidP="00E65AD4">
    <w:pPr>
      <w:pStyle w:val="Header"/>
      <w:rPr>
        <w:color w:val="CB101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D404" w14:textId="78929BC0" w:rsidR="00DB6391" w:rsidRPr="00A94043" w:rsidRDefault="00DB6391" w:rsidP="00FD791E">
    <w:pPr>
      <w:pStyle w:val="Header"/>
      <w:spacing w:before="560" w:after="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2858" w14:textId="06C47A5A" w:rsidR="00CD3888" w:rsidRDefault="000E44D7">
    <w:pPr>
      <w:pStyle w:val="Header"/>
    </w:pPr>
    <w:r>
      <w:rPr>
        <w:noProof/>
      </w:rPr>
      <mc:AlternateContent>
        <mc:Choice Requires="wps">
          <w:drawing>
            <wp:anchor distT="0" distB="0" distL="0" distR="0" simplePos="0" relativeHeight="251658242" behindDoc="0" locked="0" layoutInCell="1" allowOverlap="1" wp14:anchorId="7EF28021" wp14:editId="64209F77">
              <wp:simplePos x="635" y="635"/>
              <wp:positionH relativeFrom="page">
                <wp:align>center</wp:align>
              </wp:positionH>
              <wp:positionV relativeFrom="page">
                <wp:align>top</wp:align>
              </wp:positionV>
              <wp:extent cx="551815" cy="404495"/>
              <wp:effectExtent l="0" t="0" r="635" b="14605"/>
              <wp:wrapNone/>
              <wp:docPr id="121049919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46A0E4" w14:textId="29971E86"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28021"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4D46A0E4" w14:textId="29971E86"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39D3" w14:textId="36158180" w:rsidR="00CD3888" w:rsidRDefault="00CD38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DEC3" w14:textId="54602050" w:rsidR="00CD3888" w:rsidRDefault="000E44D7">
    <w:pPr>
      <w:pStyle w:val="Header"/>
    </w:pPr>
    <w:r>
      <w:rPr>
        <w:noProof/>
      </w:rPr>
      <mc:AlternateContent>
        <mc:Choice Requires="wps">
          <w:drawing>
            <wp:anchor distT="0" distB="0" distL="0" distR="0" simplePos="0" relativeHeight="251658241" behindDoc="0" locked="0" layoutInCell="1" allowOverlap="1" wp14:anchorId="297C6CD1" wp14:editId="716C92C4">
              <wp:simplePos x="635" y="635"/>
              <wp:positionH relativeFrom="page">
                <wp:align>center</wp:align>
              </wp:positionH>
              <wp:positionV relativeFrom="page">
                <wp:align>top</wp:align>
              </wp:positionV>
              <wp:extent cx="551815" cy="404495"/>
              <wp:effectExtent l="0" t="0" r="635" b="14605"/>
              <wp:wrapNone/>
              <wp:docPr id="124207214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833663" w14:textId="19CA548D"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C6CD1" id="_x0000_t202" coordsize="21600,21600" o:spt="202" path="m,l,21600r21600,l21600,xe">
              <v:stroke joinstyle="miter"/>
              <v:path gradientshapeok="t" o:connecttype="rect"/>
            </v:shapetype>
            <v:shape id="Text Box 4"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9833663" w14:textId="19CA548D"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54CD" w14:textId="61036F70" w:rsidR="00CD3888" w:rsidRDefault="000E44D7">
    <w:pPr>
      <w:pStyle w:val="Header"/>
    </w:pPr>
    <w:r>
      <w:rPr>
        <w:noProof/>
      </w:rPr>
      <mc:AlternateContent>
        <mc:Choice Requires="wps">
          <w:drawing>
            <wp:anchor distT="0" distB="0" distL="0" distR="0" simplePos="0" relativeHeight="251658243" behindDoc="0" locked="0" layoutInCell="1" allowOverlap="1" wp14:anchorId="0C4E87FE" wp14:editId="0FCA2F5D">
              <wp:simplePos x="635" y="635"/>
              <wp:positionH relativeFrom="page">
                <wp:align>center</wp:align>
              </wp:positionH>
              <wp:positionV relativeFrom="page">
                <wp:align>top</wp:align>
              </wp:positionV>
              <wp:extent cx="551815" cy="404495"/>
              <wp:effectExtent l="0" t="0" r="635" b="14605"/>
              <wp:wrapNone/>
              <wp:docPr id="207095074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3AAE73" w14:textId="1C43414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E87FE" id="_x0000_t202" coordsize="21600,21600" o:spt="202" path="m,l,21600r21600,l21600,xe">
              <v:stroke joinstyle="miter"/>
              <v:path gradientshapeok="t" o:connecttype="rect"/>
            </v:shapetype>
            <v:shape id="Text Box 8" o:spid="_x0000_s1032"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2E3AAE73" w14:textId="1C43414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2439" w14:textId="6D99645C" w:rsidR="00CD3888" w:rsidRDefault="00CD38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2"/>
      <w:gridCol w:w="3466"/>
      <w:gridCol w:w="3009"/>
    </w:tblGrid>
    <w:tr w:rsidR="00DB6391" w:rsidRPr="00A94043" w14:paraId="0BBDF4F1" w14:textId="77777777" w:rsidTr="00333A74">
      <w:tc>
        <w:tcPr>
          <w:tcW w:w="2552" w:type="dxa"/>
        </w:tcPr>
        <w:p w14:paraId="10C9CC7B" w14:textId="6D419E2F" w:rsidR="00DB6391" w:rsidRPr="00A94043" w:rsidRDefault="00DB6391" w:rsidP="00F62B44">
          <w:pPr>
            <w:pStyle w:val="Header"/>
            <w:ind w:left="-115"/>
          </w:pPr>
        </w:p>
      </w:tc>
      <w:tc>
        <w:tcPr>
          <w:tcW w:w="3466" w:type="dxa"/>
        </w:tcPr>
        <w:p w14:paraId="28B654DD" w14:textId="1D9240D3" w:rsidR="00DB6391" w:rsidRPr="00A94043" w:rsidRDefault="00DB6391" w:rsidP="00F62B44">
          <w:pPr>
            <w:pStyle w:val="Header"/>
            <w:jc w:val="center"/>
          </w:pPr>
        </w:p>
      </w:tc>
      <w:tc>
        <w:tcPr>
          <w:tcW w:w="3009" w:type="dxa"/>
        </w:tcPr>
        <w:p w14:paraId="75E27561" w14:textId="77777777" w:rsidR="00DB6391" w:rsidRPr="00A94043" w:rsidRDefault="00DB6391" w:rsidP="00F62B44">
          <w:pPr>
            <w:pStyle w:val="Header"/>
            <w:ind w:right="-115"/>
            <w:jc w:val="right"/>
          </w:pPr>
        </w:p>
      </w:tc>
    </w:tr>
  </w:tbl>
  <w:p w14:paraId="1CEDAACB" w14:textId="3BDE7A37" w:rsidR="00DB6391" w:rsidRPr="00A94043" w:rsidRDefault="00DB6391" w:rsidP="00F6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269"/>
    <w:multiLevelType w:val="hybridMultilevel"/>
    <w:tmpl w:val="2C2AAF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1FB"/>
    <w:multiLevelType w:val="hybridMultilevel"/>
    <w:tmpl w:val="129E9774"/>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740BF"/>
    <w:multiLevelType w:val="hybridMultilevel"/>
    <w:tmpl w:val="73F4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81CB7"/>
    <w:multiLevelType w:val="hybridMultilevel"/>
    <w:tmpl w:val="6902C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916F6"/>
    <w:multiLevelType w:val="multilevel"/>
    <w:tmpl w:val="460CA05C"/>
    <w:lvl w:ilvl="0">
      <w:start w:val="1"/>
      <w:numFmt w:val="bullet"/>
      <w:pStyle w:val="Bullets-Minor"/>
      <w:lvlText w:val=""/>
      <w:lvlJc w:val="left"/>
      <w:pPr>
        <w:ind w:left="185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A008B7"/>
    <w:multiLevelType w:val="hybridMultilevel"/>
    <w:tmpl w:val="F342D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8F26B3"/>
    <w:multiLevelType w:val="hybridMultilevel"/>
    <w:tmpl w:val="B25AA1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F37A42"/>
    <w:multiLevelType w:val="hybridMultilevel"/>
    <w:tmpl w:val="45D20108"/>
    <w:lvl w:ilvl="0" w:tplc="CC4068AC">
      <w:numFmt w:val="bullet"/>
      <w:pStyle w:val="ListNumber2"/>
      <w:lvlText w:val="-"/>
      <w:lvlJc w:val="left"/>
      <w:pPr>
        <w:ind w:left="720" w:hanging="360"/>
      </w:pPr>
      <w:rPr>
        <w:rFonts w:ascii="Calibri" w:eastAsia="Times New Roman"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A0CD3"/>
    <w:multiLevelType w:val="hybridMultilevel"/>
    <w:tmpl w:val="4C9C7E5E"/>
    <w:lvl w:ilvl="0" w:tplc="4E7078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BB1781"/>
    <w:multiLevelType w:val="hybridMultilevel"/>
    <w:tmpl w:val="A524F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4A2BCA"/>
    <w:multiLevelType w:val="hybridMultilevel"/>
    <w:tmpl w:val="42BCA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E21D51"/>
    <w:multiLevelType w:val="hybridMultilevel"/>
    <w:tmpl w:val="D5AA84CA"/>
    <w:lvl w:ilvl="0" w:tplc="CE72976A">
      <w:start w:val="1"/>
      <w:numFmt w:val="bullet"/>
      <w:pStyle w:val="Bullets-Major"/>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B13BD3"/>
    <w:multiLevelType w:val="hybridMultilevel"/>
    <w:tmpl w:val="00FAC58E"/>
    <w:lvl w:ilvl="0" w:tplc="27A8B9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D2FFC"/>
    <w:multiLevelType w:val="hybridMultilevel"/>
    <w:tmpl w:val="9FF87D04"/>
    <w:lvl w:ilvl="0" w:tplc="A808E3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22663F"/>
    <w:multiLevelType w:val="hybridMultilevel"/>
    <w:tmpl w:val="95D21012"/>
    <w:lvl w:ilvl="0" w:tplc="BC42BBEE">
      <w:start w:val="1"/>
      <w:numFmt w:val="bullet"/>
      <w:pStyle w:val="EEATbullets"/>
      <w:lvlText w:val="•"/>
      <w:lvlJc w:val="left"/>
      <w:pPr>
        <w:ind w:left="360" w:hanging="360"/>
      </w:pPr>
      <w:rPr>
        <w:rFonts w:ascii="Calibri" w:hAnsi="Calibri" w:hint="default"/>
        <w:color w:val="0070C0"/>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2C205B"/>
    <w:multiLevelType w:val="hybridMultilevel"/>
    <w:tmpl w:val="114E3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C825DE"/>
    <w:multiLevelType w:val="hybridMultilevel"/>
    <w:tmpl w:val="23282AD8"/>
    <w:lvl w:ilvl="0" w:tplc="47C238A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8B0724"/>
    <w:multiLevelType w:val="hybridMultilevel"/>
    <w:tmpl w:val="2D84892A"/>
    <w:lvl w:ilvl="0" w:tplc="7D2C6E62">
      <w:start w:val="1"/>
      <w:numFmt w:val="bullet"/>
      <w:lvlText w:val=""/>
      <w:lvlJc w:val="left"/>
      <w:pPr>
        <w:ind w:left="720" w:hanging="360"/>
      </w:pPr>
      <w:rPr>
        <w:rFonts w:ascii="Symbol" w:hAnsi="Symbol" w:hint="default"/>
      </w:rPr>
    </w:lvl>
    <w:lvl w:ilvl="1" w:tplc="17FC6AA8">
      <w:start w:val="1"/>
      <w:numFmt w:val="bullet"/>
      <w:lvlText w:val="o"/>
      <w:lvlJc w:val="left"/>
      <w:pPr>
        <w:ind w:left="1440" w:hanging="360"/>
      </w:pPr>
      <w:rPr>
        <w:rFonts w:ascii="Courier New" w:hAnsi="Courier New" w:hint="default"/>
      </w:rPr>
    </w:lvl>
    <w:lvl w:ilvl="2" w:tplc="389653E8">
      <w:start w:val="1"/>
      <w:numFmt w:val="bullet"/>
      <w:lvlText w:val=""/>
      <w:lvlJc w:val="left"/>
      <w:pPr>
        <w:ind w:left="2160" w:hanging="360"/>
      </w:pPr>
      <w:rPr>
        <w:rFonts w:ascii="Wingdings" w:hAnsi="Wingdings" w:hint="default"/>
      </w:rPr>
    </w:lvl>
    <w:lvl w:ilvl="3" w:tplc="3B36E7D2">
      <w:start w:val="1"/>
      <w:numFmt w:val="bullet"/>
      <w:lvlText w:val=""/>
      <w:lvlJc w:val="left"/>
      <w:pPr>
        <w:ind w:left="2880" w:hanging="360"/>
      </w:pPr>
      <w:rPr>
        <w:rFonts w:ascii="Symbol" w:hAnsi="Symbol" w:hint="default"/>
      </w:rPr>
    </w:lvl>
    <w:lvl w:ilvl="4" w:tplc="1FDA2F92">
      <w:start w:val="1"/>
      <w:numFmt w:val="bullet"/>
      <w:lvlText w:val="o"/>
      <w:lvlJc w:val="left"/>
      <w:pPr>
        <w:ind w:left="3600" w:hanging="360"/>
      </w:pPr>
      <w:rPr>
        <w:rFonts w:ascii="Courier New" w:hAnsi="Courier New" w:hint="default"/>
      </w:rPr>
    </w:lvl>
    <w:lvl w:ilvl="5" w:tplc="3DA2F780">
      <w:start w:val="1"/>
      <w:numFmt w:val="bullet"/>
      <w:lvlText w:val=""/>
      <w:lvlJc w:val="left"/>
      <w:pPr>
        <w:ind w:left="4320" w:hanging="360"/>
      </w:pPr>
      <w:rPr>
        <w:rFonts w:ascii="Wingdings" w:hAnsi="Wingdings" w:hint="default"/>
      </w:rPr>
    </w:lvl>
    <w:lvl w:ilvl="6" w:tplc="9620E030">
      <w:start w:val="1"/>
      <w:numFmt w:val="bullet"/>
      <w:lvlText w:val=""/>
      <w:lvlJc w:val="left"/>
      <w:pPr>
        <w:ind w:left="5040" w:hanging="360"/>
      </w:pPr>
      <w:rPr>
        <w:rFonts w:ascii="Symbol" w:hAnsi="Symbol" w:hint="default"/>
      </w:rPr>
    </w:lvl>
    <w:lvl w:ilvl="7" w:tplc="26E45D3E">
      <w:start w:val="1"/>
      <w:numFmt w:val="bullet"/>
      <w:lvlText w:val="o"/>
      <w:lvlJc w:val="left"/>
      <w:pPr>
        <w:ind w:left="5760" w:hanging="360"/>
      </w:pPr>
      <w:rPr>
        <w:rFonts w:ascii="Courier New" w:hAnsi="Courier New" w:hint="default"/>
      </w:rPr>
    </w:lvl>
    <w:lvl w:ilvl="8" w:tplc="6A2204B8">
      <w:start w:val="1"/>
      <w:numFmt w:val="bullet"/>
      <w:lvlText w:val=""/>
      <w:lvlJc w:val="left"/>
      <w:pPr>
        <w:ind w:left="6480" w:hanging="360"/>
      </w:pPr>
      <w:rPr>
        <w:rFonts w:ascii="Wingdings" w:hAnsi="Wingdings" w:hint="default"/>
      </w:rPr>
    </w:lvl>
  </w:abstractNum>
  <w:abstractNum w:abstractNumId="19" w15:restartNumberingAfterBreak="0">
    <w:nsid w:val="63FD1A45"/>
    <w:multiLevelType w:val="hybridMultilevel"/>
    <w:tmpl w:val="AF4C6E8A"/>
    <w:lvl w:ilvl="0" w:tplc="6EE009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1278DA"/>
    <w:multiLevelType w:val="hybridMultilevel"/>
    <w:tmpl w:val="0D9684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5033279">
    <w:abstractNumId w:val="18"/>
  </w:num>
  <w:num w:numId="2" w16cid:durableId="18510158">
    <w:abstractNumId w:val="12"/>
  </w:num>
  <w:num w:numId="3" w16cid:durableId="603541192">
    <w:abstractNumId w:val="5"/>
  </w:num>
  <w:num w:numId="4" w16cid:durableId="1780179445">
    <w:abstractNumId w:val="1"/>
  </w:num>
  <w:num w:numId="5" w16cid:durableId="980161229">
    <w:abstractNumId w:val="15"/>
  </w:num>
  <w:num w:numId="6" w16cid:durableId="1544050308">
    <w:abstractNumId w:val="4"/>
  </w:num>
  <w:num w:numId="7" w16cid:durableId="75053636">
    <w:abstractNumId w:val="0"/>
  </w:num>
  <w:num w:numId="8" w16cid:durableId="751977056">
    <w:abstractNumId w:val="17"/>
  </w:num>
  <w:num w:numId="9" w16cid:durableId="139150973">
    <w:abstractNumId w:val="2"/>
  </w:num>
  <w:num w:numId="10" w16cid:durableId="1619752528">
    <w:abstractNumId w:val="7"/>
  </w:num>
  <w:num w:numId="11" w16cid:durableId="700939632">
    <w:abstractNumId w:val="8"/>
  </w:num>
  <w:num w:numId="12" w16cid:durableId="1498307084">
    <w:abstractNumId w:val="20"/>
  </w:num>
  <w:num w:numId="13" w16cid:durableId="1957323901">
    <w:abstractNumId w:val="10"/>
  </w:num>
  <w:num w:numId="14" w16cid:durableId="1298291459">
    <w:abstractNumId w:val="16"/>
  </w:num>
  <w:num w:numId="15" w16cid:durableId="605232607">
    <w:abstractNumId w:val="6"/>
  </w:num>
  <w:num w:numId="16" w16cid:durableId="147864255">
    <w:abstractNumId w:val="3"/>
  </w:num>
  <w:num w:numId="17" w16cid:durableId="1451362515">
    <w:abstractNumId w:val="11"/>
  </w:num>
  <w:num w:numId="18" w16cid:durableId="1848792608">
    <w:abstractNumId w:val="14"/>
  </w:num>
  <w:num w:numId="19" w16cid:durableId="387068344">
    <w:abstractNumId w:val="9"/>
  </w:num>
  <w:num w:numId="20" w16cid:durableId="303047442">
    <w:abstractNumId w:val="13"/>
  </w:num>
  <w:num w:numId="21" w16cid:durableId="119743078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activeWritingStyle w:appName="MSWord" w:lang="en-US" w:vendorID="64" w:dllVersion="0" w:nlCheck="1" w:checkStyle="0"/>
  <w:activeWritingStyle w:appName="MSWord" w:lang="en-AU"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DE0MzA2MjIzNzFR0lEKTi0uzszPAykwM6gFAKLC4cktAAAA"/>
  </w:docVars>
  <w:rsids>
    <w:rsidRoot w:val="00365595"/>
    <w:rsid w:val="000003B8"/>
    <w:rsid w:val="000004EF"/>
    <w:rsid w:val="0000066A"/>
    <w:rsid w:val="000006DD"/>
    <w:rsid w:val="00000871"/>
    <w:rsid w:val="00000AD0"/>
    <w:rsid w:val="00001216"/>
    <w:rsid w:val="00001FC4"/>
    <w:rsid w:val="00002111"/>
    <w:rsid w:val="00002A3D"/>
    <w:rsid w:val="000037B3"/>
    <w:rsid w:val="00003DA2"/>
    <w:rsid w:val="00004E59"/>
    <w:rsid w:val="000051CE"/>
    <w:rsid w:val="00005409"/>
    <w:rsid w:val="00005C6F"/>
    <w:rsid w:val="00005DE8"/>
    <w:rsid w:val="0000609E"/>
    <w:rsid w:val="00006559"/>
    <w:rsid w:val="000067F3"/>
    <w:rsid w:val="00006847"/>
    <w:rsid w:val="00006A49"/>
    <w:rsid w:val="00006C3E"/>
    <w:rsid w:val="0000756B"/>
    <w:rsid w:val="000076CF"/>
    <w:rsid w:val="00007899"/>
    <w:rsid w:val="00007FD9"/>
    <w:rsid w:val="000108A2"/>
    <w:rsid w:val="00010CE6"/>
    <w:rsid w:val="00010DE9"/>
    <w:rsid w:val="00011499"/>
    <w:rsid w:val="00011B79"/>
    <w:rsid w:val="00011DA4"/>
    <w:rsid w:val="0001235F"/>
    <w:rsid w:val="000125E9"/>
    <w:rsid w:val="00012C45"/>
    <w:rsid w:val="00012E1F"/>
    <w:rsid w:val="000136E9"/>
    <w:rsid w:val="00014494"/>
    <w:rsid w:val="00014609"/>
    <w:rsid w:val="00014867"/>
    <w:rsid w:val="00015646"/>
    <w:rsid w:val="0001564A"/>
    <w:rsid w:val="00015747"/>
    <w:rsid w:val="00015773"/>
    <w:rsid w:val="00016188"/>
    <w:rsid w:val="00016613"/>
    <w:rsid w:val="0001712E"/>
    <w:rsid w:val="0001743F"/>
    <w:rsid w:val="000200F3"/>
    <w:rsid w:val="00020879"/>
    <w:rsid w:val="00021010"/>
    <w:rsid w:val="00021503"/>
    <w:rsid w:val="00021AA8"/>
    <w:rsid w:val="00021E4C"/>
    <w:rsid w:val="000223DE"/>
    <w:rsid w:val="00022B03"/>
    <w:rsid w:val="00022E5E"/>
    <w:rsid w:val="0002369E"/>
    <w:rsid w:val="00023ADE"/>
    <w:rsid w:val="00023C7B"/>
    <w:rsid w:val="00023E0D"/>
    <w:rsid w:val="00024195"/>
    <w:rsid w:val="00024437"/>
    <w:rsid w:val="00024C68"/>
    <w:rsid w:val="000254CB"/>
    <w:rsid w:val="000254D8"/>
    <w:rsid w:val="00025623"/>
    <w:rsid w:val="000256F4"/>
    <w:rsid w:val="0002581F"/>
    <w:rsid w:val="000259BB"/>
    <w:rsid w:val="000259BE"/>
    <w:rsid w:val="00025C65"/>
    <w:rsid w:val="000270B1"/>
    <w:rsid w:val="00027A00"/>
    <w:rsid w:val="00027C57"/>
    <w:rsid w:val="00027D16"/>
    <w:rsid w:val="00030B7B"/>
    <w:rsid w:val="0003151D"/>
    <w:rsid w:val="000320F3"/>
    <w:rsid w:val="0003403E"/>
    <w:rsid w:val="000343DD"/>
    <w:rsid w:val="0003460E"/>
    <w:rsid w:val="00034692"/>
    <w:rsid w:val="00034A2F"/>
    <w:rsid w:val="0003530E"/>
    <w:rsid w:val="000358A0"/>
    <w:rsid w:val="000358C5"/>
    <w:rsid w:val="00035C1E"/>
    <w:rsid w:val="00036516"/>
    <w:rsid w:val="00036837"/>
    <w:rsid w:val="000370A9"/>
    <w:rsid w:val="000372E5"/>
    <w:rsid w:val="000373EA"/>
    <w:rsid w:val="00037F84"/>
    <w:rsid w:val="00040236"/>
    <w:rsid w:val="00040373"/>
    <w:rsid w:val="000405DE"/>
    <w:rsid w:val="000407E3"/>
    <w:rsid w:val="000408B8"/>
    <w:rsid w:val="00041781"/>
    <w:rsid w:val="00041842"/>
    <w:rsid w:val="000419CB"/>
    <w:rsid w:val="00042465"/>
    <w:rsid w:val="00042528"/>
    <w:rsid w:val="000425A3"/>
    <w:rsid w:val="000429B6"/>
    <w:rsid w:val="00042C1E"/>
    <w:rsid w:val="00042D7B"/>
    <w:rsid w:val="000431EC"/>
    <w:rsid w:val="00043502"/>
    <w:rsid w:val="00044000"/>
    <w:rsid w:val="00044315"/>
    <w:rsid w:val="0004442E"/>
    <w:rsid w:val="00044573"/>
    <w:rsid w:val="00044F67"/>
    <w:rsid w:val="000454AA"/>
    <w:rsid w:val="00045C53"/>
    <w:rsid w:val="00046030"/>
    <w:rsid w:val="00046288"/>
    <w:rsid w:val="00046DBA"/>
    <w:rsid w:val="0004719E"/>
    <w:rsid w:val="00047599"/>
    <w:rsid w:val="00047617"/>
    <w:rsid w:val="00047C34"/>
    <w:rsid w:val="00050E57"/>
    <w:rsid w:val="000513B3"/>
    <w:rsid w:val="00051C90"/>
    <w:rsid w:val="00052643"/>
    <w:rsid w:val="00052BAA"/>
    <w:rsid w:val="00052ECC"/>
    <w:rsid w:val="00052F2C"/>
    <w:rsid w:val="00052F9A"/>
    <w:rsid w:val="000537C6"/>
    <w:rsid w:val="000539BA"/>
    <w:rsid w:val="000539E7"/>
    <w:rsid w:val="00053DB5"/>
    <w:rsid w:val="00053DD9"/>
    <w:rsid w:val="00054020"/>
    <w:rsid w:val="000541C5"/>
    <w:rsid w:val="000542F6"/>
    <w:rsid w:val="00054CF0"/>
    <w:rsid w:val="00055726"/>
    <w:rsid w:val="00055C37"/>
    <w:rsid w:val="00055EE0"/>
    <w:rsid w:val="00057320"/>
    <w:rsid w:val="00057656"/>
    <w:rsid w:val="00057CA9"/>
    <w:rsid w:val="00057F54"/>
    <w:rsid w:val="000604A5"/>
    <w:rsid w:val="00060997"/>
    <w:rsid w:val="00060BBE"/>
    <w:rsid w:val="000616F7"/>
    <w:rsid w:val="00061D89"/>
    <w:rsid w:val="000620B7"/>
    <w:rsid w:val="0006234B"/>
    <w:rsid w:val="00062AC1"/>
    <w:rsid w:val="0006323D"/>
    <w:rsid w:val="000634B3"/>
    <w:rsid w:val="00063C99"/>
    <w:rsid w:val="000642E6"/>
    <w:rsid w:val="00064A4A"/>
    <w:rsid w:val="0006513D"/>
    <w:rsid w:val="000651ED"/>
    <w:rsid w:val="00065321"/>
    <w:rsid w:val="00065D8B"/>
    <w:rsid w:val="00065DF2"/>
    <w:rsid w:val="000663C6"/>
    <w:rsid w:val="00066BBD"/>
    <w:rsid w:val="0006717E"/>
    <w:rsid w:val="00067E23"/>
    <w:rsid w:val="00070482"/>
    <w:rsid w:val="00070930"/>
    <w:rsid w:val="00070AC8"/>
    <w:rsid w:val="00070B21"/>
    <w:rsid w:val="000710EC"/>
    <w:rsid w:val="0007121D"/>
    <w:rsid w:val="00071416"/>
    <w:rsid w:val="00071439"/>
    <w:rsid w:val="0007162B"/>
    <w:rsid w:val="00071727"/>
    <w:rsid w:val="000718CB"/>
    <w:rsid w:val="00071CF6"/>
    <w:rsid w:val="00071D34"/>
    <w:rsid w:val="00072177"/>
    <w:rsid w:val="0007278B"/>
    <w:rsid w:val="000728AB"/>
    <w:rsid w:val="00072D50"/>
    <w:rsid w:val="00072E0A"/>
    <w:rsid w:val="00072EBE"/>
    <w:rsid w:val="00072F19"/>
    <w:rsid w:val="00073638"/>
    <w:rsid w:val="000738CB"/>
    <w:rsid w:val="00073EEC"/>
    <w:rsid w:val="00074480"/>
    <w:rsid w:val="000745AC"/>
    <w:rsid w:val="000749C7"/>
    <w:rsid w:val="000752EF"/>
    <w:rsid w:val="00075471"/>
    <w:rsid w:val="0007591C"/>
    <w:rsid w:val="00075984"/>
    <w:rsid w:val="00075DDC"/>
    <w:rsid w:val="00076100"/>
    <w:rsid w:val="000762AA"/>
    <w:rsid w:val="0007654A"/>
    <w:rsid w:val="00076615"/>
    <w:rsid w:val="0007764F"/>
    <w:rsid w:val="00077C96"/>
    <w:rsid w:val="00077E5C"/>
    <w:rsid w:val="00080513"/>
    <w:rsid w:val="00080607"/>
    <w:rsid w:val="000806D9"/>
    <w:rsid w:val="0008086D"/>
    <w:rsid w:val="000812E4"/>
    <w:rsid w:val="00082F01"/>
    <w:rsid w:val="00082FFC"/>
    <w:rsid w:val="000833AA"/>
    <w:rsid w:val="00083569"/>
    <w:rsid w:val="00083891"/>
    <w:rsid w:val="00083CF9"/>
    <w:rsid w:val="00083D53"/>
    <w:rsid w:val="00083E5F"/>
    <w:rsid w:val="000845A1"/>
    <w:rsid w:val="0008467E"/>
    <w:rsid w:val="00084BD6"/>
    <w:rsid w:val="0008587D"/>
    <w:rsid w:val="000858F8"/>
    <w:rsid w:val="00085A6E"/>
    <w:rsid w:val="00085BE2"/>
    <w:rsid w:val="00085CFE"/>
    <w:rsid w:val="00085DF9"/>
    <w:rsid w:val="00086804"/>
    <w:rsid w:val="00086A1B"/>
    <w:rsid w:val="00086AB4"/>
    <w:rsid w:val="00086B75"/>
    <w:rsid w:val="00086C5A"/>
    <w:rsid w:val="00086FEC"/>
    <w:rsid w:val="0008777F"/>
    <w:rsid w:val="00087B63"/>
    <w:rsid w:val="0009001A"/>
    <w:rsid w:val="000900B6"/>
    <w:rsid w:val="000902DE"/>
    <w:rsid w:val="000904AA"/>
    <w:rsid w:val="000906E1"/>
    <w:rsid w:val="00091721"/>
    <w:rsid w:val="000917DC"/>
    <w:rsid w:val="000922D4"/>
    <w:rsid w:val="00092539"/>
    <w:rsid w:val="000925AE"/>
    <w:rsid w:val="00092C24"/>
    <w:rsid w:val="00092CBE"/>
    <w:rsid w:val="00092DAE"/>
    <w:rsid w:val="0009300E"/>
    <w:rsid w:val="00093661"/>
    <w:rsid w:val="00093F5E"/>
    <w:rsid w:val="00094648"/>
    <w:rsid w:val="00094E75"/>
    <w:rsid w:val="00095014"/>
    <w:rsid w:val="00095017"/>
    <w:rsid w:val="0009534B"/>
    <w:rsid w:val="0009545B"/>
    <w:rsid w:val="00095D35"/>
    <w:rsid w:val="00096228"/>
    <w:rsid w:val="000968AF"/>
    <w:rsid w:val="00096E92"/>
    <w:rsid w:val="00097073"/>
    <w:rsid w:val="000976CE"/>
    <w:rsid w:val="00097DA5"/>
    <w:rsid w:val="000A019B"/>
    <w:rsid w:val="000A0862"/>
    <w:rsid w:val="000A10A9"/>
    <w:rsid w:val="000A17F7"/>
    <w:rsid w:val="000A1FB4"/>
    <w:rsid w:val="000A21A4"/>
    <w:rsid w:val="000A23BD"/>
    <w:rsid w:val="000A32DD"/>
    <w:rsid w:val="000A3AE6"/>
    <w:rsid w:val="000A3DEA"/>
    <w:rsid w:val="000A404F"/>
    <w:rsid w:val="000A4767"/>
    <w:rsid w:val="000A47D1"/>
    <w:rsid w:val="000A49B1"/>
    <w:rsid w:val="000A4A31"/>
    <w:rsid w:val="000A50A8"/>
    <w:rsid w:val="000A5E4E"/>
    <w:rsid w:val="000A64B4"/>
    <w:rsid w:val="000A6676"/>
    <w:rsid w:val="000A67B1"/>
    <w:rsid w:val="000A7526"/>
    <w:rsid w:val="000A75A1"/>
    <w:rsid w:val="000A7C12"/>
    <w:rsid w:val="000A7C57"/>
    <w:rsid w:val="000B00BF"/>
    <w:rsid w:val="000B07BB"/>
    <w:rsid w:val="000B0EEE"/>
    <w:rsid w:val="000B1CDC"/>
    <w:rsid w:val="000B1FCF"/>
    <w:rsid w:val="000B266A"/>
    <w:rsid w:val="000B301E"/>
    <w:rsid w:val="000B3454"/>
    <w:rsid w:val="000B37E9"/>
    <w:rsid w:val="000B3A4E"/>
    <w:rsid w:val="000B410B"/>
    <w:rsid w:val="000B4A9C"/>
    <w:rsid w:val="000B4D89"/>
    <w:rsid w:val="000B4E89"/>
    <w:rsid w:val="000B4F85"/>
    <w:rsid w:val="000B54A5"/>
    <w:rsid w:val="000B57CA"/>
    <w:rsid w:val="000B5A34"/>
    <w:rsid w:val="000B635E"/>
    <w:rsid w:val="000B63F2"/>
    <w:rsid w:val="000B65A2"/>
    <w:rsid w:val="000B6970"/>
    <w:rsid w:val="000B6E45"/>
    <w:rsid w:val="000B7297"/>
    <w:rsid w:val="000B730C"/>
    <w:rsid w:val="000B7977"/>
    <w:rsid w:val="000C0464"/>
    <w:rsid w:val="000C07D7"/>
    <w:rsid w:val="000C0A79"/>
    <w:rsid w:val="000C0CDD"/>
    <w:rsid w:val="000C140A"/>
    <w:rsid w:val="000C1C41"/>
    <w:rsid w:val="000C20F0"/>
    <w:rsid w:val="000C2245"/>
    <w:rsid w:val="000C2376"/>
    <w:rsid w:val="000C2B57"/>
    <w:rsid w:val="000C2D0A"/>
    <w:rsid w:val="000C2E1B"/>
    <w:rsid w:val="000C32E3"/>
    <w:rsid w:val="000C386F"/>
    <w:rsid w:val="000C3B9B"/>
    <w:rsid w:val="000C4346"/>
    <w:rsid w:val="000C44B6"/>
    <w:rsid w:val="000C48FA"/>
    <w:rsid w:val="000C50E0"/>
    <w:rsid w:val="000C520B"/>
    <w:rsid w:val="000C5E4A"/>
    <w:rsid w:val="000C5E6A"/>
    <w:rsid w:val="000C60EE"/>
    <w:rsid w:val="000C6425"/>
    <w:rsid w:val="000C6525"/>
    <w:rsid w:val="000C6758"/>
    <w:rsid w:val="000C6ABB"/>
    <w:rsid w:val="000C726C"/>
    <w:rsid w:val="000C73E0"/>
    <w:rsid w:val="000D080A"/>
    <w:rsid w:val="000D0ADE"/>
    <w:rsid w:val="000D0E5E"/>
    <w:rsid w:val="000D1484"/>
    <w:rsid w:val="000D196A"/>
    <w:rsid w:val="000D1C9C"/>
    <w:rsid w:val="000D24AE"/>
    <w:rsid w:val="000D2621"/>
    <w:rsid w:val="000D28EF"/>
    <w:rsid w:val="000D3178"/>
    <w:rsid w:val="000D31BC"/>
    <w:rsid w:val="000D31D2"/>
    <w:rsid w:val="000D3C07"/>
    <w:rsid w:val="000D428F"/>
    <w:rsid w:val="000D4694"/>
    <w:rsid w:val="000D47B2"/>
    <w:rsid w:val="000D4924"/>
    <w:rsid w:val="000D51B1"/>
    <w:rsid w:val="000D5939"/>
    <w:rsid w:val="000D5E48"/>
    <w:rsid w:val="000D60DA"/>
    <w:rsid w:val="000D6A80"/>
    <w:rsid w:val="000D6EBC"/>
    <w:rsid w:val="000D7ACD"/>
    <w:rsid w:val="000D7BFD"/>
    <w:rsid w:val="000E03CA"/>
    <w:rsid w:val="000E04F5"/>
    <w:rsid w:val="000E0797"/>
    <w:rsid w:val="000E0820"/>
    <w:rsid w:val="000E08A5"/>
    <w:rsid w:val="000E0EC7"/>
    <w:rsid w:val="000E116C"/>
    <w:rsid w:val="000E128A"/>
    <w:rsid w:val="000E1DF7"/>
    <w:rsid w:val="000E23EC"/>
    <w:rsid w:val="000E28F0"/>
    <w:rsid w:val="000E2C83"/>
    <w:rsid w:val="000E2F16"/>
    <w:rsid w:val="000E36A8"/>
    <w:rsid w:val="000E3F2D"/>
    <w:rsid w:val="000E432F"/>
    <w:rsid w:val="000E44D7"/>
    <w:rsid w:val="000E45C6"/>
    <w:rsid w:val="000E59CA"/>
    <w:rsid w:val="000E616A"/>
    <w:rsid w:val="000E62E0"/>
    <w:rsid w:val="000E672D"/>
    <w:rsid w:val="000E6F80"/>
    <w:rsid w:val="000E7191"/>
    <w:rsid w:val="000E71B9"/>
    <w:rsid w:val="000E7292"/>
    <w:rsid w:val="000E7554"/>
    <w:rsid w:val="000E7CDB"/>
    <w:rsid w:val="000E7EAE"/>
    <w:rsid w:val="000F035A"/>
    <w:rsid w:val="000F041F"/>
    <w:rsid w:val="000F049E"/>
    <w:rsid w:val="000F053C"/>
    <w:rsid w:val="000F09AB"/>
    <w:rsid w:val="000F0BE4"/>
    <w:rsid w:val="000F10DA"/>
    <w:rsid w:val="000F1369"/>
    <w:rsid w:val="000F1439"/>
    <w:rsid w:val="000F170D"/>
    <w:rsid w:val="000F1871"/>
    <w:rsid w:val="000F19D2"/>
    <w:rsid w:val="000F1A5C"/>
    <w:rsid w:val="000F1AD5"/>
    <w:rsid w:val="000F242E"/>
    <w:rsid w:val="000F294D"/>
    <w:rsid w:val="000F2E1F"/>
    <w:rsid w:val="000F2FBF"/>
    <w:rsid w:val="000F302C"/>
    <w:rsid w:val="000F34A7"/>
    <w:rsid w:val="000F38C0"/>
    <w:rsid w:val="000F3FB1"/>
    <w:rsid w:val="000F4552"/>
    <w:rsid w:val="000F5575"/>
    <w:rsid w:val="000F58BA"/>
    <w:rsid w:val="000F5D9A"/>
    <w:rsid w:val="000F5E16"/>
    <w:rsid w:val="000F6D30"/>
    <w:rsid w:val="000F7C57"/>
    <w:rsid w:val="00100014"/>
    <w:rsid w:val="00100462"/>
    <w:rsid w:val="00100473"/>
    <w:rsid w:val="001007BD"/>
    <w:rsid w:val="00100938"/>
    <w:rsid w:val="00100C69"/>
    <w:rsid w:val="00100C6A"/>
    <w:rsid w:val="00101490"/>
    <w:rsid w:val="0010174A"/>
    <w:rsid w:val="0010178C"/>
    <w:rsid w:val="001017A6"/>
    <w:rsid w:val="00101CC2"/>
    <w:rsid w:val="00101E65"/>
    <w:rsid w:val="00101E66"/>
    <w:rsid w:val="00101E76"/>
    <w:rsid w:val="0010242E"/>
    <w:rsid w:val="001025CD"/>
    <w:rsid w:val="00103018"/>
    <w:rsid w:val="001030E9"/>
    <w:rsid w:val="00103105"/>
    <w:rsid w:val="00103278"/>
    <w:rsid w:val="001035B5"/>
    <w:rsid w:val="0010363D"/>
    <w:rsid w:val="00104693"/>
    <w:rsid w:val="001048D4"/>
    <w:rsid w:val="00104AA8"/>
    <w:rsid w:val="00104D43"/>
    <w:rsid w:val="00106F9B"/>
    <w:rsid w:val="001073B3"/>
    <w:rsid w:val="00107CA9"/>
    <w:rsid w:val="0011012C"/>
    <w:rsid w:val="00110B70"/>
    <w:rsid w:val="00111A63"/>
    <w:rsid w:val="00112756"/>
    <w:rsid w:val="00112D69"/>
    <w:rsid w:val="00112F7C"/>
    <w:rsid w:val="001130D9"/>
    <w:rsid w:val="00113243"/>
    <w:rsid w:val="00113390"/>
    <w:rsid w:val="00113D76"/>
    <w:rsid w:val="0011575F"/>
    <w:rsid w:val="00115F27"/>
    <w:rsid w:val="00116F57"/>
    <w:rsid w:val="00117150"/>
    <w:rsid w:val="00117A0C"/>
    <w:rsid w:val="00117A12"/>
    <w:rsid w:val="00117C5B"/>
    <w:rsid w:val="00117F5B"/>
    <w:rsid w:val="00120814"/>
    <w:rsid w:val="0012081C"/>
    <w:rsid w:val="00120935"/>
    <w:rsid w:val="00120C1D"/>
    <w:rsid w:val="00121174"/>
    <w:rsid w:val="001212D4"/>
    <w:rsid w:val="0012131F"/>
    <w:rsid w:val="00121C07"/>
    <w:rsid w:val="00123094"/>
    <w:rsid w:val="00123FE6"/>
    <w:rsid w:val="001240EC"/>
    <w:rsid w:val="00124A77"/>
    <w:rsid w:val="0012503E"/>
    <w:rsid w:val="0012527C"/>
    <w:rsid w:val="0012598D"/>
    <w:rsid w:val="00125B54"/>
    <w:rsid w:val="00125CBF"/>
    <w:rsid w:val="00125F53"/>
    <w:rsid w:val="00125FC1"/>
    <w:rsid w:val="00126015"/>
    <w:rsid w:val="001262F5"/>
    <w:rsid w:val="001269E3"/>
    <w:rsid w:val="00126E91"/>
    <w:rsid w:val="00127353"/>
    <w:rsid w:val="001279C5"/>
    <w:rsid w:val="00127A96"/>
    <w:rsid w:val="001306D4"/>
    <w:rsid w:val="00130ACB"/>
    <w:rsid w:val="00130D55"/>
    <w:rsid w:val="00130E83"/>
    <w:rsid w:val="0013173E"/>
    <w:rsid w:val="00131AE2"/>
    <w:rsid w:val="00132938"/>
    <w:rsid w:val="00132AF4"/>
    <w:rsid w:val="00132C29"/>
    <w:rsid w:val="00132F41"/>
    <w:rsid w:val="00133484"/>
    <w:rsid w:val="00133D7C"/>
    <w:rsid w:val="00133E26"/>
    <w:rsid w:val="00133E61"/>
    <w:rsid w:val="001341FE"/>
    <w:rsid w:val="0013422F"/>
    <w:rsid w:val="001344E4"/>
    <w:rsid w:val="00134DB3"/>
    <w:rsid w:val="00135337"/>
    <w:rsid w:val="001355C3"/>
    <w:rsid w:val="00135DB6"/>
    <w:rsid w:val="00135E52"/>
    <w:rsid w:val="0013655B"/>
    <w:rsid w:val="001368AD"/>
    <w:rsid w:val="001371F2"/>
    <w:rsid w:val="00140B1B"/>
    <w:rsid w:val="0014175C"/>
    <w:rsid w:val="00141B06"/>
    <w:rsid w:val="00142176"/>
    <w:rsid w:val="00142478"/>
    <w:rsid w:val="00142921"/>
    <w:rsid w:val="00142C46"/>
    <w:rsid w:val="00143825"/>
    <w:rsid w:val="001454E8"/>
    <w:rsid w:val="00145768"/>
    <w:rsid w:val="001458BE"/>
    <w:rsid w:val="00145BF5"/>
    <w:rsid w:val="00146D34"/>
    <w:rsid w:val="00146DBF"/>
    <w:rsid w:val="00147347"/>
    <w:rsid w:val="001476C4"/>
    <w:rsid w:val="00147C4E"/>
    <w:rsid w:val="0015069E"/>
    <w:rsid w:val="00150734"/>
    <w:rsid w:val="00151279"/>
    <w:rsid w:val="00151A63"/>
    <w:rsid w:val="00151C72"/>
    <w:rsid w:val="00151DEE"/>
    <w:rsid w:val="0015223F"/>
    <w:rsid w:val="001528E1"/>
    <w:rsid w:val="00152D2D"/>
    <w:rsid w:val="001531DC"/>
    <w:rsid w:val="00153A04"/>
    <w:rsid w:val="00153C24"/>
    <w:rsid w:val="00153CDC"/>
    <w:rsid w:val="00153D95"/>
    <w:rsid w:val="00153FC7"/>
    <w:rsid w:val="00155B24"/>
    <w:rsid w:val="00155EA1"/>
    <w:rsid w:val="00155F22"/>
    <w:rsid w:val="00155F7F"/>
    <w:rsid w:val="001561D8"/>
    <w:rsid w:val="001563BF"/>
    <w:rsid w:val="0015660F"/>
    <w:rsid w:val="00156B6F"/>
    <w:rsid w:val="00156C04"/>
    <w:rsid w:val="0015781A"/>
    <w:rsid w:val="00157A66"/>
    <w:rsid w:val="00157C21"/>
    <w:rsid w:val="00157D9F"/>
    <w:rsid w:val="001612D1"/>
    <w:rsid w:val="00161C13"/>
    <w:rsid w:val="001620D0"/>
    <w:rsid w:val="001622A3"/>
    <w:rsid w:val="001629D4"/>
    <w:rsid w:val="00162D0A"/>
    <w:rsid w:val="00163657"/>
    <w:rsid w:val="00163894"/>
    <w:rsid w:val="00163AD2"/>
    <w:rsid w:val="001647BC"/>
    <w:rsid w:val="00164FE0"/>
    <w:rsid w:val="0016536F"/>
    <w:rsid w:val="001655D4"/>
    <w:rsid w:val="0016614F"/>
    <w:rsid w:val="001666FC"/>
    <w:rsid w:val="0016678D"/>
    <w:rsid w:val="00166EB4"/>
    <w:rsid w:val="0016711D"/>
    <w:rsid w:val="00167534"/>
    <w:rsid w:val="00167E3E"/>
    <w:rsid w:val="001704B3"/>
    <w:rsid w:val="001704BF"/>
    <w:rsid w:val="00170602"/>
    <w:rsid w:val="0017062D"/>
    <w:rsid w:val="00170E09"/>
    <w:rsid w:val="0017192B"/>
    <w:rsid w:val="00172888"/>
    <w:rsid w:val="00172F1D"/>
    <w:rsid w:val="001731B4"/>
    <w:rsid w:val="001732DF"/>
    <w:rsid w:val="001733CF"/>
    <w:rsid w:val="00173941"/>
    <w:rsid w:val="00173BAA"/>
    <w:rsid w:val="00173C16"/>
    <w:rsid w:val="00173DA8"/>
    <w:rsid w:val="00173E86"/>
    <w:rsid w:val="001744AA"/>
    <w:rsid w:val="00174517"/>
    <w:rsid w:val="001768C9"/>
    <w:rsid w:val="001769D2"/>
    <w:rsid w:val="00176CE2"/>
    <w:rsid w:val="0017798B"/>
    <w:rsid w:val="001804DA"/>
    <w:rsid w:val="001804F2"/>
    <w:rsid w:val="00180844"/>
    <w:rsid w:val="001808F0"/>
    <w:rsid w:val="00180EF7"/>
    <w:rsid w:val="001810C0"/>
    <w:rsid w:val="0018134F"/>
    <w:rsid w:val="00181D51"/>
    <w:rsid w:val="00181EE9"/>
    <w:rsid w:val="00181EFE"/>
    <w:rsid w:val="00182AB8"/>
    <w:rsid w:val="00182BB7"/>
    <w:rsid w:val="00183C7E"/>
    <w:rsid w:val="00183EB8"/>
    <w:rsid w:val="0018472C"/>
    <w:rsid w:val="0018490B"/>
    <w:rsid w:val="00184FF7"/>
    <w:rsid w:val="001854B4"/>
    <w:rsid w:val="0018583B"/>
    <w:rsid w:val="001865D7"/>
    <w:rsid w:val="001865F2"/>
    <w:rsid w:val="00186778"/>
    <w:rsid w:val="00186A7E"/>
    <w:rsid w:val="00186BD4"/>
    <w:rsid w:val="00187301"/>
    <w:rsid w:val="00187A6F"/>
    <w:rsid w:val="0019034D"/>
    <w:rsid w:val="00190916"/>
    <w:rsid w:val="00190A0F"/>
    <w:rsid w:val="00191929"/>
    <w:rsid w:val="00191982"/>
    <w:rsid w:val="00191C7D"/>
    <w:rsid w:val="00191DFC"/>
    <w:rsid w:val="00191FB4"/>
    <w:rsid w:val="00192209"/>
    <w:rsid w:val="00192282"/>
    <w:rsid w:val="00192F90"/>
    <w:rsid w:val="00193074"/>
    <w:rsid w:val="00193143"/>
    <w:rsid w:val="00193850"/>
    <w:rsid w:val="0019392A"/>
    <w:rsid w:val="00193EEB"/>
    <w:rsid w:val="00193F2C"/>
    <w:rsid w:val="0019429F"/>
    <w:rsid w:val="00194428"/>
    <w:rsid w:val="00194641"/>
    <w:rsid w:val="00194E0E"/>
    <w:rsid w:val="00194F29"/>
    <w:rsid w:val="001953E7"/>
    <w:rsid w:val="001956A2"/>
    <w:rsid w:val="00195827"/>
    <w:rsid w:val="00195E0D"/>
    <w:rsid w:val="00195E54"/>
    <w:rsid w:val="001961AF"/>
    <w:rsid w:val="00196BD1"/>
    <w:rsid w:val="0019708E"/>
    <w:rsid w:val="001974AA"/>
    <w:rsid w:val="001979AA"/>
    <w:rsid w:val="00197B4A"/>
    <w:rsid w:val="001A0501"/>
    <w:rsid w:val="001A06BC"/>
    <w:rsid w:val="001A076F"/>
    <w:rsid w:val="001A0E53"/>
    <w:rsid w:val="001A0F6C"/>
    <w:rsid w:val="001A151D"/>
    <w:rsid w:val="001A1727"/>
    <w:rsid w:val="001A1914"/>
    <w:rsid w:val="001A3CE4"/>
    <w:rsid w:val="001A3F7D"/>
    <w:rsid w:val="001A400D"/>
    <w:rsid w:val="001A46AA"/>
    <w:rsid w:val="001A4A30"/>
    <w:rsid w:val="001A4E37"/>
    <w:rsid w:val="001A50EA"/>
    <w:rsid w:val="001A50EF"/>
    <w:rsid w:val="001A53BF"/>
    <w:rsid w:val="001A54B1"/>
    <w:rsid w:val="001A5E1E"/>
    <w:rsid w:val="001A5E93"/>
    <w:rsid w:val="001A65BF"/>
    <w:rsid w:val="001A6FC8"/>
    <w:rsid w:val="001A76DF"/>
    <w:rsid w:val="001A7B70"/>
    <w:rsid w:val="001B009C"/>
    <w:rsid w:val="001B02B1"/>
    <w:rsid w:val="001B0903"/>
    <w:rsid w:val="001B0A09"/>
    <w:rsid w:val="001B0ECC"/>
    <w:rsid w:val="001B1365"/>
    <w:rsid w:val="001B1812"/>
    <w:rsid w:val="001B1B54"/>
    <w:rsid w:val="001B2C4C"/>
    <w:rsid w:val="001B30B3"/>
    <w:rsid w:val="001B31E0"/>
    <w:rsid w:val="001B3470"/>
    <w:rsid w:val="001B380E"/>
    <w:rsid w:val="001B3889"/>
    <w:rsid w:val="001B4182"/>
    <w:rsid w:val="001B43FC"/>
    <w:rsid w:val="001B466D"/>
    <w:rsid w:val="001B49E6"/>
    <w:rsid w:val="001B504A"/>
    <w:rsid w:val="001B5492"/>
    <w:rsid w:val="001B593D"/>
    <w:rsid w:val="001B59D2"/>
    <w:rsid w:val="001B5C1B"/>
    <w:rsid w:val="001B6300"/>
    <w:rsid w:val="001B6415"/>
    <w:rsid w:val="001B6904"/>
    <w:rsid w:val="001B7CA2"/>
    <w:rsid w:val="001C077A"/>
    <w:rsid w:val="001C088A"/>
    <w:rsid w:val="001C0F83"/>
    <w:rsid w:val="001C15B4"/>
    <w:rsid w:val="001C1A83"/>
    <w:rsid w:val="001C1CBE"/>
    <w:rsid w:val="001C1DAA"/>
    <w:rsid w:val="001C2A0F"/>
    <w:rsid w:val="001C3537"/>
    <w:rsid w:val="001C3D1F"/>
    <w:rsid w:val="001C4F8D"/>
    <w:rsid w:val="001C4F94"/>
    <w:rsid w:val="001C5032"/>
    <w:rsid w:val="001C540A"/>
    <w:rsid w:val="001C551B"/>
    <w:rsid w:val="001C5CC0"/>
    <w:rsid w:val="001C6C36"/>
    <w:rsid w:val="001C7FCF"/>
    <w:rsid w:val="001D01EB"/>
    <w:rsid w:val="001D0957"/>
    <w:rsid w:val="001D0DBD"/>
    <w:rsid w:val="001D1AAF"/>
    <w:rsid w:val="001D1ECE"/>
    <w:rsid w:val="001D2132"/>
    <w:rsid w:val="001D2296"/>
    <w:rsid w:val="001D2BCA"/>
    <w:rsid w:val="001D30EE"/>
    <w:rsid w:val="001D35A6"/>
    <w:rsid w:val="001D3E62"/>
    <w:rsid w:val="001D40FF"/>
    <w:rsid w:val="001D420A"/>
    <w:rsid w:val="001D4259"/>
    <w:rsid w:val="001D4283"/>
    <w:rsid w:val="001D45C4"/>
    <w:rsid w:val="001D4DFD"/>
    <w:rsid w:val="001D5187"/>
    <w:rsid w:val="001D56AA"/>
    <w:rsid w:val="001D5AEC"/>
    <w:rsid w:val="001D5E4B"/>
    <w:rsid w:val="001D6041"/>
    <w:rsid w:val="001D6C3C"/>
    <w:rsid w:val="001D6C44"/>
    <w:rsid w:val="001D7A86"/>
    <w:rsid w:val="001D7D37"/>
    <w:rsid w:val="001D7D39"/>
    <w:rsid w:val="001D7EFB"/>
    <w:rsid w:val="001E0868"/>
    <w:rsid w:val="001E0F7E"/>
    <w:rsid w:val="001E113D"/>
    <w:rsid w:val="001E1422"/>
    <w:rsid w:val="001E15A0"/>
    <w:rsid w:val="001E1BF7"/>
    <w:rsid w:val="001E331D"/>
    <w:rsid w:val="001E3A29"/>
    <w:rsid w:val="001E3BE6"/>
    <w:rsid w:val="001E4ADA"/>
    <w:rsid w:val="001E57B9"/>
    <w:rsid w:val="001E5A84"/>
    <w:rsid w:val="001E63BE"/>
    <w:rsid w:val="001E66BC"/>
    <w:rsid w:val="001E682C"/>
    <w:rsid w:val="001E6902"/>
    <w:rsid w:val="001E6C75"/>
    <w:rsid w:val="001F044F"/>
    <w:rsid w:val="001F0EC6"/>
    <w:rsid w:val="001F0F1D"/>
    <w:rsid w:val="001F10CB"/>
    <w:rsid w:val="001F1484"/>
    <w:rsid w:val="001F1713"/>
    <w:rsid w:val="001F1734"/>
    <w:rsid w:val="001F1878"/>
    <w:rsid w:val="001F1937"/>
    <w:rsid w:val="001F2179"/>
    <w:rsid w:val="001F21BC"/>
    <w:rsid w:val="001F28AD"/>
    <w:rsid w:val="001F2ACD"/>
    <w:rsid w:val="001F2E2E"/>
    <w:rsid w:val="001F3250"/>
    <w:rsid w:val="001F33A6"/>
    <w:rsid w:val="001F35DC"/>
    <w:rsid w:val="001F37EB"/>
    <w:rsid w:val="001F3B4A"/>
    <w:rsid w:val="001F40C4"/>
    <w:rsid w:val="001F4601"/>
    <w:rsid w:val="001F4DBF"/>
    <w:rsid w:val="001F50D0"/>
    <w:rsid w:val="001F53AC"/>
    <w:rsid w:val="001F5B89"/>
    <w:rsid w:val="001F636C"/>
    <w:rsid w:val="001F696E"/>
    <w:rsid w:val="001F7261"/>
    <w:rsid w:val="001F7B60"/>
    <w:rsid w:val="001F7C8E"/>
    <w:rsid w:val="0020006D"/>
    <w:rsid w:val="002002AF"/>
    <w:rsid w:val="002004FF"/>
    <w:rsid w:val="002008A1"/>
    <w:rsid w:val="00200B1D"/>
    <w:rsid w:val="00200E5B"/>
    <w:rsid w:val="00201111"/>
    <w:rsid w:val="00201554"/>
    <w:rsid w:val="0020185F"/>
    <w:rsid w:val="00201B5B"/>
    <w:rsid w:val="002025E7"/>
    <w:rsid w:val="00202725"/>
    <w:rsid w:val="00203337"/>
    <w:rsid w:val="00203545"/>
    <w:rsid w:val="0020364E"/>
    <w:rsid w:val="002037A6"/>
    <w:rsid w:val="00203BC8"/>
    <w:rsid w:val="00203DED"/>
    <w:rsid w:val="00203F35"/>
    <w:rsid w:val="00204656"/>
    <w:rsid w:val="00204DD7"/>
    <w:rsid w:val="0020542B"/>
    <w:rsid w:val="00205480"/>
    <w:rsid w:val="00205589"/>
    <w:rsid w:val="00205615"/>
    <w:rsid w:val="002056E8"/>
    <w:rsid w:val="002065B6"/>
    <w:rsid w:val="00207219"/>
    <w:rsid w:val="00207806"/>
    <w:rsid w:val="00207D61"/>
    <w:rsid w:val="00210E6A"/>
    <w:rsid w:val="00211760"/>
    <w:rsid w:val="00211805"/>
    <w:rsid w:val="00211E21"/>
    <w:rsid w:val="002131F2"/>
    <w:rsid w:val="00213BB7"/>
    <w:rsid w:val="0021400B"/>
    <w:rsid w:val="00214410"/>
    <w:rsid w:val="002148B3"/>
    <w:rsid w:val="002148CD"/>
    <w:rsid w:val="00214EA4"/>
    <w:rsid w:val="00214FC1"/>
    <w:rsid w:val="00215055"/>
    <w:rsid w:val="0021517A"/>
    <w:rsid w:val="00215417"/>
    <w:rsid w:val="002155C0"/>
    <w:rsid w:val="00215608"/>
    <w:rsid w:val="00215CCF"/>
    <w:rsid w:val="002160F8"/>
    <w:rsid w:val="002162B4"/>
    <w:rsid w:val="002165C5"/>
    <w:rsid w:val="002168F2"/>
    <w:rsid w:val="00216F09"/>
    <w:rsid w:val="002170B0"/>
    <w:rsid w:val="002170E4"/>
    <w:rsid w:val="00217411"/>
    <w:rsid w:val="00217BA2"/>
    <w:rsid w:val="00217CCE"/>
    <w:rsid w:val="00217E25"/>
    <w:rsid w:val="00217F3A"/>
    <w:rsid w:val="0022004E"/>
    <w:rsid w:val="002204A4"/>
    <w:rsid w:val="0022109C"/>
    <w:rsid w:val="002213A9"/>
    <w:rsid w:val="002217FF"/>
    <w:rsid w:val="00221AE6"/>
    <w:rsid w:val="00222942"/>
    <w:rsid w:val="002232A3"/>
    <w:rsid w:val="00223629"/>
    <w:rsid w:val="00223649"/>
    <w:rsid w:val="00223882"/>
    <w:rsid w:val="00223A59"/>
    <w:rsid w:val="00223D70"/>
    <w:rsid w:val="00224220"/>
    <w:rsid w:val="002246D9"/>
    <w:rsid w:val="00224CE0"/>
    <w:rsid w:val="00225167"/>
    <w:rsid w:val="00225247"/>
    <w:rsid w:val="0022556A"/>
    <w:rsid w:val="00225E18"/>
    <w:rsid w:val="00225E50"/>
    <w:rsid w:val="00225F85"/>
    <w:rsid w:val="00226636"/>
    <w:rsid w:val="00226DE9"/>
    <w:rsid w:val="002273DC"/>
    <w:rsid w:val="002275D6"/>
    <w:rsid w:val="00227C37"/>
    <w:rsid w:val="00227FAC"/>
    <w:rsid w:val="002300BE"/>
    <w:rsid w:val="00230435"/>
    <w:rsid w:val="002304DA"/>
    <w:rsid w:val="002304FD"/>
    <w:rsid w:val="002307C9"/>
    <w:rsid w:val="00230BCE"/>
    <w:rsid w:val="00231213"/>
    <w:rsid w:val="00231252"/>
    <w:rsid w:val="00231429"/>
    <w:rsid w:val="0023142C"/>
    <w:rsid w:val="002315CC"/>
    <w:rsid w:val="002317C4"/>
    <w:rsid w:val="00231C10"/>
    <w:rsid w:val="00232041"/>
    <w:rsid w:val="002322AE"/>
    <w:rsid w:val="002336B2"/>
    <w:rsid w:val="0023382A"/>
    <w:rsid w:val="00233982"/>
    <w:rsid w:val="00233C5D"/>
    <w:rsid w:val="00234A43"/>
    <w:rsid w:val="00234DDD"/>
    <w:rsid w:val="002351D0"/>
    <w:rsid w:val="002351D4"/>
    <w:rsid w:val="0023544D"/>
    <w:rsid w:val="00235C09"/>
    <w:rsid w:val="002361FB"/>
    <w:rsid w:val="00236F00"/>
    <w:rsid w:val="00237A0D"/>
    <w:rsid w:val="00237C3F"/>
    <w:rsid w:val="00237CD7"/>
    <w:rsid w:val="00240398"/>
    <w:rsid w:val="00240A37"/>
    <w:rsid w:val="00240D18"/>
    <w:rsid w:val="00240DC5"/>
    <w:rsid w:val="00240E98"/>
    <w:rsid w:val="002416F3"/>
    <w:rsid w:val="002418CA"/>
    <w:rsid w:val="00241B9B"/>
    <w:rsid w:val="00242590"/>
    <w:rsid w:val="002428EC"/>
    <w:rsid w:val="00243699"/>
    <w:rsid w:val="00243CF7"/>
    <w:rsid w:val="00243F5B"/>
    <w:rsid w:val="00243F8A"/>
    <w:rsid w:val="00244274"/>
    <w:rsid w:val="002444ED"/>
    <w:rsid w:val="00245099"/>
    <w:rsid w:val="002459A5"/>
    <w:rsid w:val="00245E26"/>
    <w:rsid w:val="00246436"/>
    <w:rsid w:val="002467F6"/>
    <w:rsid w:val="00246C2A"/>
    <w:rsid w:val="00246F67"/>
    <w:rsid w:val="0024779E"/>
    <w:rsid w:val="0024798D"/>
    <w:rsid w:val="00247B9E"/>
    <w:rsid w:val="0025070F"/>
    <w:rsid w:val="00250DE0"/>
    <w:rsid w:val="00251EFE"/>
    <w:rsid w:val="00252245"/>
    <w:rsid w:val="00252837"/>
    <w:rsid w:val="00252CAB"/>
    <w:rsid w:val="00252E80"/>
    <w:rsid w:val="00253068"/>
    <w:rsid w:val="002532A5"/>
    <w:rsid w:val="0025483B"/>
    <w:rsid w:val="002550D8"/>
    <w:rsid w:val="002554FB"/>
    <w:rsid w:val="00255D36"/>
    <w:rsid w:val="00255E48"/>
    <w:rsid w:val="00256550"/>
    <w:rsid w:val="0025694C"/>
    <w:rsid w:val="00256A23"/>
    <w:rsid w:val="00256B55"/>
    <w:rsid w:val="00256D2E"/>
    <w:rsid w:val="00257099"/>
    <w:rsid w:val="002571CE"/>
    <w:rsid w:val="0025724F"/>
    <w:rsid w:val="0025731C"/>
    <w:rsid w:val="00257E7E"/>
    <w:rsid w:val="0026022C"/>
    <w:rsid w:val="00260FBB"/>
    <w:rsid w:val="002612D1"/>
    <w:rsid w:val="00261339"/>
    <w:rsid w:val="00262969"/>
    <w:rsid w:val="00262FF7"/>
    <w:rsid w:val="0026381E"/>
    <w:rsid w:val="00263959"/>
    <w:rsid w:val="00263F07"/>
    <w:rsid w:val="00264297"/>
    <w:rsid w:val="0026456E"/>
    <w:rsid w:val="002645E5"/>
    <w:rsid w:val="00264821"/>
    <w:rsid w:val="00265182"/>
    <w:rsid w:val="00265289"/>
    <w:rsid w:val="00265B73"/>
    <w:rsid w:val="00265E6A"/>
    <w:rsid w:val="00265F84"/>
    <w:rsid w:val="00265FDA"/>
    <w:rsid w:val="002663E4"/>
    <w:rsid w:val="00266C1F"/>
    <w:rsid w:val="00267036"/>
    <w:rsid w:val="002676D6"/>
    <w:rsid w:val="00267889"/>
    <w:rsid w:val="002678D6"/>
    <w:rsid w:val="002678E1"/>
    <w:rsid w:val="00267ED1"/>
    <w:rsid w:val="0027033E"/>
    <w:rsid w:val="00270694"/>
    <w:rsid w:val="00271680"/>
    <w:rsid w:val="00271F57"/>
    <w:rsid w:val="00272639"/>
    <w:rsid w:val="00272CD3"/>
    <w:rsid w:val="00272E83"/>
    <w:rsid w:val="002730A1"/>
    <w:rsid w:val="00273129"/>
    <w:rsid w:val="002731D5"/>
    <w:rsid w:val="00273288"/>
    <w:rsid w:val="002733FA"/>
    <w:rsid w:val="0027349C"/>
    <w:rsid w:val="00273737"/>
    <w:rsid w:val="002746B1"/>
    <w:rsid w:val="00274735"/>
    <w:rsid w:val="002748D9"/>
    <w:rsid w:val="00274AD4"/>
    <w:rsid w:val="00276411"/>
    <w:rsid w:val="0027672D"/>
    <w:rsid w:val="00276CDD"/>
    <w:rsid w:val="00276E72"/>
    <w:rsid w:val="00276EFD"/>
    <w:rsid w:val="002770B5"/>
    <w:rsid w:val="0027725E"/>
    <w:rsid w:val="00277693"/>
    <w:rsid w:val="00277978"/>
    <w:rsid w:val="00277C03"/>
    <w:rsid w:val="00277E73"/>
    <w:rsid w:val="002801A1"/>
    <w:rsid w:val="002803AE"/>
    <w:rsid w:val="00280785"/>
    <w:rsid w:val="00280CD6"/>
    <w:rsid w:val="00281160"/>
    <w:rsid w:val="0028174C"/>
    <w:rsid w:val="00282611"/>
    <w:rsid w:val="00282A21"/>
    <w:rsid w:val="00282AC2"/>
    <w:rsid w:val="00282FBC"/>
    <w:rsid w:val="002838D7"/>
    <w:rsid w:val="002838EC"/>
    <w:rsid w:val="00283927"/>
    <w:rsid w:val="00283BA6"/>
    <w:rsid w:val="00284415"/>
    <w:rsid w:val="00284804"/>
    <w:rsid w:val="00284ECF"/>
    <w:rsid w:val="00285BFF"/>
    <w:rsid w:val="00286132"/>
    <w:rsid w:val="002868BA"/>
    <w:rsid w:val="00286929"/>
    <w:rsid w:val="00286A10"/>
    <w:rsid w:val="00286F1B"/>
    <w:rsid w:val="00287A91"/>
    <w:rsid w:val="0029062B"/>
    <w:rsid w:val="002906DF"/>
    <w:rsid w:val="00290F49"/>
    <w:rsid w:val="0029127D"/>
    <w:rsid w:val="002913D8"/>
    <w:rsid w:val="00291429"/>
    <w:rsid w:val="00291F21"/>
    <w:rsid w:val="00292174"/>
    <w:rsid w:val="002927AF"/>
    <w:rsid w:val="00292A9F"/>
    <w:rsid w:val="00292AAC"/>
    <w:rsid w:val="00292C72"/>
    <w:rsid w:val="002932DD"/>
    <w:rsid w:val="00294D48"/>
    <w:rsid w:val="00294F9E"/>
    <w:rsid w:val="002950DF"/>
    <w:rsid w:val="002958D3"/>
    <w:rsid w:val="00295969"/>
    <w:rsid w:val="00295A41"/>
    <w:rsid w:val="00295AEF"/>
    <w:rsid w:val="00295FFD"/>
    <w:rsid w:val="00296115"/>
    <w:rsid w:val="00296AD4"/>
    <w:rsid w:val="002978A7"/>
    <w:rsid w:val="00297A24"/>
    <w:rsid w:val="00297BCC"/>
    <w:rsid w:val="00297EAF"/>
    <w:rsid w:val="002A006C"/>
    <w:rsid w:val="002A0139"/>
    <w:rsid w:val="002A0431"/>
    <w:rsid w:val="002A049E"/>
    <w:rsid w:val="002A075C"/>
    <w:rsid w:val="002A0C38"/>
    <w:rsid w:val="002A0E37"/>
    <w:rsid w:val="002A111F"/>
    <w:rsid w:val="002A158A"/>
    <w:rsid w:val="002A3CCB"/>
    <w:rsid w:val="002A3EF4"/>
    <w:rsid w:val="002A3F0C"/>
    <w:rsid w:val="002A415D"/>
    <w:rsid w:val="002A4304"/>
    <w:rsid w:val="002A440C"/>
    <w:rsid w:val="002A4958"/>
    <w:rsid w:val="002A4C3F"/>
    <w:rsid w:val="002A598B"/>
    <w:rsid w:val="002A5BE8"/>
    <w:rsid w:val="002A6791"/>
    <w:rsid w:val="002A67B6"/>
    <w:rsid w:val="002A6857"/>
    <w:rsid w:val="002A7DB8"/>
    <w:rsid w:val="002B0300"/>
    <w:rsid w:val="002B0357"/>
    <w:rsid w:val="002B05D5"/>
    <w:rsid w:val="002B092A"/>
    <w:rsid w:val="002B097D"/>
    <w:rsid w:val="002B09DC"/>
    <w:rsid w:val="002B0F15"/>
    <w:rsid w:val="002B0F71"/>
    <w:rsid w:val="002B121D"/>
    <w:rsid w:val="002B157D"/>
    <w:rsid w:val="002B18AB"/>
    <w:rsid w:val="002B1E28"/>
    <w:rsid w:val="002B1EA7"/>
    <w:rsid w:val="002B1ED1"/>
    <w:rsid w:val="002B23B3"/>
    <w:rsid w:val="002B24A4"/>
    <w:rsid w:val="002B30CA"/>
    <w:rsid w:val="002B3384"/>
    <w:rsid w:val="002B38F4"/>
    <w:rsid w:val="002B3B2E"/>
    <w:rsid w:val="002B4405"/>
    <w:rsid w:val="002B49E7"/>
    <w:rsid w:val="002B4AF4"/>
    <w:rsid w:val="002B554D"/>
    <w:rsid w:val="002B6CA8"/>
    <w:rsid w:val="002B7238"/>
    <w:rsid w:val="002B73BD"/>
    <w:rsid w:val="002C0037"/>
    <w:rsid w:val="002C00EF"/>
    <w:rsid w:val="002C1013"/>
    <w:rsid w:val="002C1570"/>
    <w:rsid w:val="002C21F4"/>
    <w:rsid w:val="002C2735"/>
    <w:rsid w:val="002C2899"/>
    <w:rsid w:val="002C2B38"/>
    <w:rsid w:val="002C2BF0"/>
    <w:rsid w:val="002C2C32"/>
    <w:rsid w:val="002C2DA0"/>
    <w:rsid w:val="002C3504"/>
    <w:rsid w:val="002C38CA"/>
    <w:rsid w:val="002C3A5A"/>
    <w:rsid w:val="002C4598"/>
    <w:rsid w:val="002C45BD"/>
    <w:rsid w:val="002C47CF"/>
    <w:rsid w:val="002C540E"/>
    <w:rsid w:val="002C543C"/>
    <w:rsid w:val="002C54CD"/>
    <w:rsid w:val="002C5530"/>
    <w:rsid w:val="002C597F"/>
    <w:rsid w:val="002C5BD7"/>
    <w:rsid w:val="002C5FC2"/>
    <w:rsid w:val="002C61B2"/>
    <w:rsid w:val="002C63E3"/>
    <w:rsid w:val="002C6A8C"/>
    <w:rsid w:val="002C74C9"/>
    <w:rsid w:val="002C757F"/>
    <w:rsid w:val="002C7F73"/>
    <w:rsid w:val="002D01F9"/>
    <w:rsid w:val="002D1465"/>
    <w:rsid w:val="002D213A"/>
    <w:rsid w:val="002D247C"/>
    <w:rsid w:val="002D247D"/>
    <w:rsid w:val="002D25E9"/>
    <w:rsid w:val="002D2D0B"/>
    <w:rsid w:val="002D2E0C"/>
    <w:rsid w:val="002D3550"/>
    <w:rsid w:val="002D3CC0"/>
    <w:rsid w:val="002D3E0A"/>
    <w:rsid w:val="002D4E4D"/>
    <w:rsid w:val="002D4E99"/>
    <w:rsid w:val="002D4F63"/>
    <w:rsid w:val="002D5B95"/>
    <w:rsid w:val="002D5EA7"/>
    <w:rsid w:val="002D7043"/>
    <w:rsid w:val="002D7B2E"/>
    <w:rsid w:val="002E0E6B"/>
    <w:rsid w:val="002E1BAA"/>
    <w:rsid w:val="002E2547"/>
    <w:rsid w:val="002E2C9C"/>
    <w:rsid w:val="002E2FCC"/>
    <w:rsid w:val="002E32BA"/>
    <w:rsid w:val="002E3778"/>
    <w:rsid w:val="002E3D0A"/>
    <w:rsid w:val="002E3F46"/>
    <w:rsid w:val="002E483A"/>
    <w:rsid w:val="002E48A5"/>
    <w:rsid w:val="002E4C66"/>
    <w:rsid w:val="002E4DD5"/>
    <w:rsid w:val="002E4F8C"/>
    <w:rsid w:val="002E5355"/>
    <w:rsid w:val="002E578F"/>
    <w:rsid w:val="002E5F5B"/>
    <w:rsid w:val="002E683B"/>
    <w:rsid w:val="002E6EAD"/>
    <w:rsid w:val="002E72C1"/>
    <w:rsid w:val="002E7888"/>
    <w:rsid w:val="002E79BD"/>
    <w:rsid w:val="002E7D32"/>
    <w:rsid w:val="002F014D"/>
    <w:rsid w:val="002F048C"/>
    <w:rsid w:val="002F0825"/>
    <w:rsid w:val="002F0E4D"/>
    <w:rsid w:val="002F1193"/>
    <w:rsid w:val="002F1748"/>
    <w:rsid w:val="002F1CC7"/>
    <w:rsid w:val="002F2A9E"/>
    <w:rsid w:val="002F2F20"/>
    <w:rsid w:val="002F30EE"/>
    <w:rsid w:val="002F4756"/>
    <w:rsid w:val="002F4E39"/>
    <w:rsid w:val="002F52D8"/>
    <w:rsid w:val="002F5A54"/>
    <w:rsid w:val="002F5AA1"/>
    <w:rsid w:val="002F5DF0"/>
    <w:rsid w:val="002F5F2E"/>
    <w:rsid w:val="002F663C"/>
    <w:rsid w:val="002F6688"/>
    <w:rsid w:val="002F6EF0"/>
    <w:rsid w:val="002F7412"/>
    <w:rsid w:val="002F78A4"/>
    <w:rsid w:val="002F7AA4"/>
    <w:rsid w:val="002F7BC3"/>
    <w:rsid w:val="002F7F0D"/>
    <w:rsid w:val="00300918"/>
    <w:rsid w:val="00300D5F"/>
    <w:rsid w:val="0030124E"/>
    <w:rsid w:val="0030181D"/>
    <w:rsid w:val="00301872"/>
    <w:rsid w:val="00302410"/>
    <w:rsid w:val="003024D8"/>
    <w:rsid w:val="0030265E"/>
    <w:rsid w:val="0030282C"/>
    <w:rsid w:val="00302E15"/>
    <w:rsid w:val="00303023"/>
    <w:rsid w:val="003031AD"/>
    <w:rsid w:val="003032E3"/>
    <w:rsid w:val="0030346E"/>
    <w:rsid w:val="003038CF"/>
    <w:rsid w:val="003041CC"/>
    <w:rsid w:val="0030478B"/>
    <w:rsid w:val="0030485A"/>
    <w:rsid w:val="00304ACA"/>
    <w:rsid w:val="003054C5"/>
    <w:rsid w:val="00305ED0"/>
    <w:rsid w:val="00307880"/>
    <w:rsid w:val="003078B6"/>
    <w:rsid w:val="003078D5"/>
    <w:rsid w:val="00307C3B"/>
    <w:rsid w:val="00307EA6"/>
    <w:rsid w:val="003101EF"/>
    <w:rsid w:val="00311467"/>
    <w:rsid w:val="003129B6"/>
    <w:rsid w:val="00312CD8"/>
    <w:rsid w:val="00313593"/>
    <w:rsid w:val="003138E2"/>
    <w:rsid w:val="00313F36"/>
    <w:rsid w:val="0031427F"/>
    <w:rsid w:val="00314508"/>
    <w:rsid w:val="00314AF5"/>
    <w:rsid w:val="00315272"/>
    <w:rsid w:val="003157FA"/>
    <w:rsid w:val="0031638E"/>
    <w:rsid w:val="00316FC0"/>
    <w:rsid w:val="00317004"/>
    <w:rsid w:val="00317EF4"/>
    <w:rsid w:val="00320972"/>
    <w:rsid w:val="00320FF7"/>
    <w:rsid w:val="00321865"/>
    <w:rsid w:val="00321D04"/>
    <w:rsid w:val="00321E57"/>
    <w:rsid w:val="003225D5"/>
    <w:rsid w:val="003231D5"/>
    <w:rsid w:val="00323268"/>
    <w:rsid w:val="00323C17"/>
    <w:rsid w:val="00323C24"/>
    <w:rsid w:val="00323FF5"/>
    <w:rsid w:val="0032402A"/>
    <w:rsid w:val="003242AB"/>
    <w:rsid w:val="00324CD1"/>
    <w:rsid w:val="00325090"/>
    <w:rsid w:val="003251D7"/>
    <w:rsid w:val="00325290"/>
    <w:rsid w:val="0032552E"/>
    <w:rsid w:val="003263FD"/>
    <w:rsid w:val="00326942"/>
    <w:rsid w:val="00326AFF"/>
    <w:rsid w:val="0032734D"/>
    <w:rsid w:val="00327F0A"/>
    <w:rsid w:val="00330543"/>
    <w:rsid w:val="00330A3D"/>
    <w:rsid w:val="00330E46"/>
    <w:rsid w:val="00331491"/>
    <w:rsid w:val="00331967"/>
    <w:rsid w:val="00331C8A"/>
    <w:rsid w:val="0033226E"/>
    <w:rsid w:val="003326CA"/>
    <w:rsid w:val="0033286F"/>
    <w:rsid w:val="003328F2"/>
    <w:rsid w:val="00332D7E"/>
    <w:rsid w:val="003330A6"/>
    <w:rsid w:val="003339BD"/>
    <w:rsid w:val="00333A74"/>
    <w:rsid w:val="00333B89"/>
    <w:rsid w:val="00333EE1"/>
    <w:rsid w:val="00334387"/>
    <w:rsid w:val="0033448C"/>
    <w:rsid w:val="0033455C"/>
    <w:rsid w:val="003349AC"/>
    <w:rsid w:val="00334F70"/>
    <w:rsid w:val="00335B43"/>
    <w:rsid w:val="003366CA"/>
    <w:rsid w:val="0033774C"/>
    <w:rsid w:val="003378C4"/>
    <w:rsid w:val="003378F7"/>
    <w:rsid w:val="00337E84"/>
    <w:rsid w:val="00340536"/>
    <w:rsid w:val="0034068F"/>
    <w:rsid w:val="00341434"/>
    <w:rsid w:val="0034268A"/>
    <w:rsid w:val="00342D6A"/>
    <w:rsid w:val="00342DAC"/>
    <w:rsid w:val="003431F0"/>
    <w:rsid w:val="00343DCA"/>
    <w:rsid w:val="00344917"/>
    <w:rsid w:val="003450BF"/>
    <w:rsid w:val="00345190"/>
    <w:rsid w:val="00345376"/>
    <w:rsid w:val="0034559F"/>
    <w:rsid w:val="00345D98"/>
    <w:rsid w:val="0034607F"/>
    <w:rsid w:val="0034689D"/>
    <w:rsid w:val="0034740C"/>
    <w:rsid w:val="00347AE7"/>
    <w:rsid w:val="00347B6E"/>
    <w:rsid w:val="00347D65"/>
    <w:rsid w:val="0035006E"/>
    <w:rsid w:val="003504B5"/>
    <w:rsid w:val="00350EFC"/>
    <w:rsid w:val="00351014"/>
    <w:rsid w:val="0035113A"/>
    <w:rsid w:val="0035123F"/>
    <w:rsid w:val="0035125C"/>
    <w:rsid w:val="00351A55"/>
    <w:rsid w:val="00351C0D"/>
    <w:rsid w:val="00352245"/>
    <w:rsid w:val="003523A4"/>
    <w:rsid w:val="00352729"/>
    <w:rsid w:val="0035274F"/>
    <w:rsid w:val="003527BE"/>
    <w:rsid w:val="00352ADB"/>
    <w:rsid w:val="0035331D"/>
    <w:rsid w:val="0035337F"/>
    <w:rsid w:val="0035364C"/>
    <w:rsid w:val="00353B12"/>
    <w:rsid w:val="00353CD8"/>
    <w:rsid w:val="00353CF4"/>
    <w:rsid w:val="00353FE5"/>
    <w:rsid w:val="00354735"/>
    <w:rsid w:val="003548DC"/>
    <w:rsid w:val="00354F8D"/>
    <w:rsid w:val="0035588B"/>
    <w:rsid w:val="00355944"/>
    <w:rsid w:val="0035595A"/>
    <w:rsid w:val="00355CC1"/>
    <w:rsid w:val="00356177"/>
    <w:rsid w:val="00356482"/>
    <w:rsid w:val="00356EB8"/>
    <w:rsid w:val="00356FF9"/>
    <w:rsid w:val="00357919"/>
    <w:rsid w:val="00357AFC"/>
    <w:rsid w:val="003606A1"/>
    <w:rsid w:val="00360878"/>
    <w:rsid w:val="00360C55"/>
    <w:rsid w:val="00360D4D"/>
    <w:rsid w:val="00360EEC"/>
    <w:rsid w:val="00361257"/>
    <w:rsid w:val="00361465"/>
    <w:rsid w:val="003617DD"/>
    <w:rsid w:val="003617FE"/>
    <w:rsid w:val="00361F7C"/>
    <w:rsid w:val="00362819"/>
    <w:rsid w:val="003630F8"/>
    <w:rsid w:val="00363B4E"/>
    <w:rsid w:val="00363E7D"/>
    <w:rsid w:val="003641A3"/>
    <w:rsid w:val="00364A98"/>
    <w:rsid w:val="00364B63"/>
    <w:rsid w:val="00364D3B"/>
    <w:rsid w:val="003650AD"/>
    <w:rsid w:val="003650BD"/>
    <w:rsid w:val="003651E2"/>
    <w:rsid w:val="00365312"/>
    <w:rsid w:val="0036548D"/>
    <w:rsid w:val="00365595"/>
    <w:rsid w:val="00365B26"/>
    <w:rsid w:val="00365EF8"/>
    <w:rsid w:val="00365F5F"/>
    <w:rsid w:val="00365FE8"/>
    <w:rsid w:val="0036603F"/>
    <w:rsid w:val="00366131"/>
    <w:rsid w:val="0036655B"/>
    <w:rsid w:val="00366775"/>
    <w:rsid w:val="0036687E"/>
    <w:rsid w:val="003669BA"/>
    <w:rsid w:val="00367107"/>
    <w:rsid w:val="003674B0"/>
    <w:rsid w:val="0036767A"/>
    <w:rsid w:val="00370030"/>
    <w:rsid w:val="003703B6"/>
    <w:rsid w:val="003707E3"/>
    <w:rsid w:val="003708BE"/>
    <w:rsid w:val="00370D1B"/>
    <w:rsid w:val="00370DA0"/>
    <w:rsid w:val="00371462"/>
    <w:rsid w:val="0037159A"/>
    <w:rsid w:val="003717F2"/>
    <w:rsid w:val="003724C4"/>
    <w:rsid w:val="0037357D"/>
    <w:rsid w:val="00373BC4"/>
    <w:rsid w:val="003744D5"/>
    <w:rsid w:val="003749A5"/>
    <w:rsid w:val="00374D52"/>
    <w:rsid w:val="00374E6C"/>
    <w:rsid w:val="0037532C"/>
    <w:rsid w:val="00375865"/>
    <w:rsid w:val="003759EC"/>
    <w:rsid w:val="00375CBD"/>
    <w:rsid w:val="00375EF9"/>
    <w:rsid w:val="0037646D"/>
    <w:rsid w:val="003766D6"/>
    <w:rsid w:val="003769C4"/>
    <w:rsid w:val="00377025"/>
    <w:rsid w:val="0037717E"/>
    <w:rsid w:val="003772B8"/>
    <w:rsid w:val="003776AC"/>
    <w:rsid w:val="003777AD"/>
    <w:rsid w:val="00377983"/>
    <w:rsid w:val="00377E2D"/>
    <w:rsid w:val="00380175"/>
    <w:rsid w:val="0038024B"/>
    <w:rsid w:val="00380487"/>
    <w:rsid w:val="00380A62"/>
    <w:rsid w:val="00380D5A"/>
    <w:rsid w:val="00380D63"/>
    <w:rsid w:val="00380F85"/>
    <w:rsid w:val="0038167A"/>
    <w:rsid w:val="0038199C"/>
    <w:rsid w:val="003824DD"/>
    <w:rsid w:val="003829D1"/>
    <w:rsid w:val="00382DF4"/>
    <w:rsid w:val="003833C0"/>
    <w:rsid w:val="00383E07"/>
    <w:rsid w:val="003840F3"/>
    <w:rsid w:val="00384571"/>
    <w:rsid w:val="003849EC"/>
    <w:rsid w:val="003857C3"/>
    <w:rsid w:val="00386164"/>
    <w:rsid w:val="00386694"/>
    <w:rsid w:val="00386F7C"/>
    <w:rsid w:val="00386F7E"/>
    <w:rsid w:val="00387A10"/>
    <w:rsid w:val="00387AAF"/>
    <w:rsid w:val="003906C1"/>
    <w:rsid w:val="00390728"/>
    <w:rsid w:val="00390834"/>
    <w:rsid w:val="00390B02"/>
    <w:rsid w:val="00390B6D"/>
    <w:rsid w:val="00390F1C"/>
    <w:rsid w:val="00391699"/>
    <w:rsid w:val="00391768"/>
    <w:rsid w:val="00391903"/>
    <w:rsid w:val="00391988"/>
    <w:rsid w:val="00391FF1"/>
    <w:rsid w:val="0039273D"/>
    <w:rsid w:val="00392C26"/>
    <w:rsid w:val="00392F3E"/>
    <w:rsid w:val="0039421F"/>
    <w:rsid w:val="00394801"/>
    <w:rsid w:val="003949D8"/>
    <w:rsid w:val="00394C4C"/>
    <w:rsid w:val="003954FF"/>
    <w:rsid w:val="003958D8"/>
    <w:rsid w:val="00395C90"/>
    <w:rsid w:val="00396285"/>
    <w:rsid w:val="0039654B"/>
    <w:rsid w:val="003965DF"/>
    <w:rsid w:val="003968F3"/>
    <w:rsid w:val="00396982"/>
    <w:rsid w:val="00396AD7"/>
    <w:rsid w:val="003970FD"/>
    <w:rsid w:val="00397907"/>
    <w:rsid w:val="00397A03"/>
    <w:rsid w:val="00397C12"/>
    <w:rsid w:val="00397C4C"/>
    <w:rsid w:val="003A011E"/>
    <w:rsid w:val="003A01D4"/>
    <w:rsid w:val="003A02D3"/>
    <w:rsid w:val="003A122F"/>
    <w:rsid w:val="003A1ABC"/>
    <w:rsid w:val="003A2D13"/>
    <w:rsid w:val="003A3310"/>
    <w:rsid w:val="003A3777"/>
    <w:rsid w:val="003A3CDA"/>
    <w:rsid w:val="003A3DFB"/>
    <w:rsid w:val="003A4534"/>
    <w:rsid w:val="003A47D2"/>
    <w:rsid w:val="003A4D67"/>
    <w:rsid w:val="003A50DB"/>
    <w:rsid w:val="003A523E"/>
    <w:rsid w:val="003A57B9"/>
    <w:rsid w:val="003A5C00"/>
    <w:rsid w:val="003A668A"/>
    <w:rsid w:val="003A67EA"/>
    <w:rsid w:val="003A6AA7"/>
    <w:rsid w:val="003A6D55"/>
    <w:rsid w:val="003A70D9"/>
    <w:rsid w:val="003A7B01"/>
    <w:rsid w:val="003B0267"/>
    <w:rsid w:val="003B0403"/>
    <w:rsid w:val="003B0801"/>
    <w:rsid w:val="003B09FB"/>
    <w:rsid w:val="003B0F30"/>
    <w:rsid w:val="003B14F7"/>
    <w:rsid w:val="003B1E3A"/>
    <w:rsid w:val="003B21A0"/>
    <w:rsid w:val="003B2B3E"/>
    <w:rsid w:val="003B2F10"/>
    <w:rsid w:val="003B334B"/>
    <w:rsid w:val="003B3D84"/>
    <w:rsid w:val="003B3EE0"/>
    <w:rsid w:val="003B3FBA"/>
    <w:rsid w:val="003B4750"/>
    <w:rsid w:val="003B4F81"/>
    <w:rsid w:val="003B4FAC"/>
    <w:rsid w:val="003B4FBE"/>
    <w:rsid w:val="003B5350"/>
    <w:rsid w:val="003B6058"/>
    <w:rsid w:val="003B605F"/>
    <w:rsid w:val="003B6A3E"/>
    <w:rsid w:val="003B6F4D"/>
    <w:rsid w:val="003B7071"/>
    <w:rsid w:val="003B7118"/>
    <w:rsid w:val="003B75DC"/>
    <w:rsid w:val="003C036E"/>
    <w:rsid w:val="003C03C3"/>
    <w:rsid w:val="003C10D5"/>
    <w:rsid w:val="003C1254"/>
    <w:rsid w:val="003C1480"/>
    <w:rsid w:val="003C1779"/>
    <w:rsid w:val="003C18C5"/>
    <w:rsid w:val="003C20B0"/>
    <w:rsid w:val="003C2181"/>
    <w:rsid w:val="003C22EF"/>
    <w:rsid w:val="003C2D58"/>
    <w:rsid w:val="003C36FE"/>
    <w:rsid w:val="003C3AC1"/>
    <w:rsid w:val="003C3F7E"/>
    <w:rsid w:val="003C4385"/>
    <w:rsid w:val="003C47C9"/>
    <w:rsid w:val="003C499D"/>
    <w:rsid w:val="003C5A56"/>
    <w:rsid w:val="003C5F99"/>
    <w:rsid w:val="003C66B5"/>
    <w:rsid w:val="003C6B5D"/>
    <w:rsid w:val="003C6B7B"/>
    <w:rsid w:val="003C6EE9"/>
    <w:rsid w:val="003C6F8D"/>
    <w:rsid w:val="003C6FEB"/>
    <w:rsid w:val="003C7493"/>
    <w:rsid w:val="003C7ED9"/>
    <w:rsid w:val="003D076A"/>
    <w:rsid w:val="003D07C7"/>
    <w:rsid w:val="003D0DF3"/>
    <w:rsid w:val="003D16AE"/>
    <w:rsid w:val="003D1769"/>
    <w:rsid w:val="003D180B"/>
    <w:rsid w:val="003D1F61"/>
    <w:rsid w:val="003D2487"/>
    <w:rsid w:val="003D2910"/>
    <w:rsid w:val="003D3471"/>
    <w:rsid w:val="003D3D37"/>
    <w:rsid w:val="003D3DF7"/>
    <w:rsid w:val="003D4142"/>
    <w:rsid w:val="003D5278"/>
    <w:rsid w:val="003D548B"/>
    <w:rsid w:val="003D5A41"/>
    <w:rsid w:val="003D6422"/>
    <w:rsid w:val="003D6F0D"/>
    <w:rsid w:val="003D6F94"/>
    <w:rsid w:val="003D719B"/>
    <w:rsid w:val="003D794E"/>
    <w:rsid w:val="003D79B6"/>
    <w:rsid w:val="003D7E59"/>
    <w:rsid w:val="003E01D3"/>
    <w:rsid w:val="003E0383"/>
    <w:rsid w:val="003E04C3"/>
    <w:rsid w:val="003E09F2"/>
    <w:rsid w:val="003E1D46"/>
    <w:rsid w:val="003E1E85"/>
    <w:rsid w:val="003E2137"/>
    <w:rsid w:val="003E21AC"/>
    <w:rsid w:val="003E284E"/>
    <w:rsid w:val="003E33E3"/>
    <w:rsid w:val="003E3B78"/>
    <w:rsid w:val="003E3F45"/>
    <w:rsid w:val="003E4542"/>
    <w:rsid w:val="003E4671"/>
    <w:rsid w:val="003E4902"/>
    <w:rsid w:val="003E5021"/>
    <w:rsid w:val="003E6F7E"/>
    <w:rsid w:val="003E7028"/>
    <w:rsid w:val="003E7DA7"/>
    <w:rsid w:val="003E7DE8"/>
    <w:rsid w:val="003E7F13"/>
    <w:rsid w:val="003F0BD5"/>
    <w:rsid w:val="003F1415"/>
    <w:rsid w:val="003F1EC9"/>
    <w:rsid w:val="003F1F13"/>
    <w:rsid w:val="003F2409"/>
    <w:rsid w:val="003F33EC"/>
    <w:rsid w:val="003F384D"/>
    <w:rsid w:val="003F3DF7"/>
    <w:rsid w:val="003F3FB5"/>
    <w:rsid w:val="003F4588"/>
    <w:rsid w:val="003F47FC"/>
    <w:rsid w:val="003F4B20"/>
    <w:rsid w:val="003F50F2"/>
    <w:rsid w:val="003F57CA"/>
    <w:rsid w:val="003F5EB2"/>
    <w:rsid w:val="003F5FC3"/>
    <w:rsid w:val="003F605F"/>
    <w:rsid w:val="003F7540"/>
    <w:rsid w:val="004007A7"/>
    <w:rsid w:val="00400987"/>
    <w:rsid w:val="00400A86"/>
    <w:rsid w:val="00400B2F"/>
    <w:rsid w:val="00400E40"/>
    <w:rsid w:val="00400E7E"/>
    <w:rsid w:val="00400EE0"/>
    <w:rsid w:val="00401122"/>
    <w:rsid w:val="0040159C"/>
    <w:rsid w:val="004015CE"/>
    <w:rsid w:val="00401922"/>
    <w:rsid w:val="004019D0"/>
    <w:rsid w:val="00401D86"/>
    <w:rsid w:val="00401E4E"/>
    <w:rsid w:val="0040312F"/>
    <w:rsid w:val="00403941"/>
    <w:rsid w:val="00403C48"/>
    <w:rsid w:val="0040401C"/>
    <w:rsid w:val="00404165"/>
    <w:rsid w:val="004043CC"/>
    <w:rsid w:val="004047DD"/>
    <w:rsid w:val="00404B2B"/>
    <w:rsid w:val="00404CC3"/>
    <w:rsid w:val="004052BA"/>
    <w:rsid w:val="00405519"/>
    <w:rsid w:val="00406454"/>
    <w:rsid w:val="004065BD"/>
    <w:rsid w:val="00406893"/>
    <w:rsid w:val="00406CA4"/>
    <w:rsid w:val="00406EEC"/>
    <w:rsid w:val="00406F8A"/>
    <w:rsid w:val="00406F9F"/>
    <w:rsid w:val="004072B0"/>
    <w:rsid w:val="00407A1D"/>
    <w:rsid w:val="004101A8"/>
    <w:rsid w:val="004101E4"/>
    <w:rsid w:val="00411552"/>
    <w:rsid w:val="004115FE"/>
    <w:rsid w:val="00411E28"/>
    <w:rsid w:val="00412121"/>
    <w:rsid w:val="00412348"/>
    <w:rsid w:val="00412502"/>
    <w:rsid w:val="00412951"/>
    <w:rsid w:val="00412B7D"/>
    <w:rsid w:val="00412C44"/>
    <w:rsid w:val="00412FE5"/>
    <w:rsid w:val="00413329"/>
    <w:rsid w:val="004138A1"/>
    <w:rsid w:val="00413E75"/>
    <w:rsid w:val="00414625"/>
    <w:rsid w:val="00414664"/>
    <w:rsid w:val="00414F11"/>
    <w:rsid w:val="00414FEE"/>
    <w:rsid w:val="00415100"/>
    <w:rsid w:val="00415897"/>
    <w:rsid w:val="00416107"/>
    <w:rsid w:val="00417289"/>
    <w:rsid w:val="00417529"/>
    <w:rsid w:val="0041775F"/>
    <w:rsid w:val="00420F22"/>
    <w:rsid w:val="0042110B"/>
    <w:rsid w:val="00421582"/>
    <w:rsid w:val="004219AD"/>
    <w:rsid w:val="00421A73"/>
    <w:rsid w:val="0042214C"/>
    <w:rsid w:val="00422A9A"/>
    <w:rsid w:val="00422D6E"/>
    <w:rsid w:val="0042323A"/>
    <w:rsid w:val="004237A9"/>
    <w:rsid w:val="00423B69"/>
    <w:rsid w:val="00423DC6"/>
    <w:rsid w:val="00424021"/>
    <w:rsid w:val="00424120"/>
    <w:rsid w:val="00424704"/>
    <w:rsid w:val="00424A78"/>
    <w:rsid w:val="00424A81"/>
    <w:rsid w:val="004255B8"/>
    <w:rsid w:val="00425C86"/>
    <w:rsid w:val="00426106"/>
    <w:rsid w:val="00426B8D"/>
    <w:rsid w:val="00427417"/>
    <w:rsid w:val="00427475"/>
    <w:rsid w:val="004274D6"/>
    <w:rsid w:val="004277D3"/>
    <w:rsid w:val="0043016C"/>
    <w:rsid w:val="0043077A"/>
    <w:rsid w:val="004312FE"/>
    <w:rsid w:val="00431992"/>
    <w:rsid w:val="00431EB8"/>
    <w:rsid w:val="00432009"/>
    <w:rsid w:val="00432922"/>
    <w:rsid w:val="0043340C"/>
    <w:rsid w:val="00433B1C"/>
    <w:rsid w:val="00433BB9"/>
    <w:rsid w:val="004347A0"/>
    <w:rsid w:val="00434884"/>
    <w:rsid w:val="00434B00"/>
    <w:rsid w:val="00434B47"/>
    <w:rsid w:val="00434B96"/>
    <w:rsid w:val="0043520E"/>
    <w:rsid w:val="004354B8"/>
    <w:rsid w:val="00435821"/>
    <w:rsid w:val="0043653B"/>
    <w:rsid w:val="004365CC"/>
    <w:rsid w:val="004367FE"/>
    <w:rsid w:val="00436FDC"/>
    <w:rsid w:val="00437162"/>
    <w:rsid w:val="00437371"/>
    <w:rsid w:val="00437B5C"/>
    <w:rsid w:val="00437C3E"/>
    <w:rsid w:val="00440193"/>
    <w:rsid w:val="00440394"/>
    <w:rsid w:val="0044041E"/>
    <w:rsid w:val="00440E0C"/>
    <w:rsid w:val="004411D3"/>
    <w:rsid w:val="004416F2"/>
    <w:rsid w:val="00441B4E"/>
    <w:rsid w:val="00441C22"/>
    <w:rsid w:val="00442639"/>
    <w:rsid w:val="00442FE0"/>
    <w:rsid w:val="00443EDC"/>
    <w:rsid w:val="004450E4"/>
    <w:rsid w:val="00445158"/>
    <w:rsid w:val="00445700"/>
    <w:rsid w:val="004457F2"/>
    <w:rsid w:val="004458DD"/>
    <w:rsid w:val="00445CBD"/>
    <w:rsid w:val="00445F2F"/>
    <w:rsid w:val="00446146"/>
    <w:rsid w:val="00446572"/>
    <w:rsid w:val="004477D7"/>
    <w:rsid w:val="00450683"/>
    <w:rsid w:val="0045096A"/>
    <w:rsid w:val="00450F50"/>
    <w:rsid w:val="004520EF"/>
    <w:rsid w:val="00452519"/>
    <w:rsid w:val="004525AE"/>
    <w:rsid w:val="004527D0"/>
    <w:rsid w:val="004529F5"/>
    <w:rsid w:val="00452EDA"/>
    <w:rsid w:val="004535DD"/>
    <w:rsid w:val="004536E4"/>
    <w:rsid w:val="00453734"/>
    <w:rsid w:val="00453DBD"/>
    <w:rsid w:val="00454718"/>
    <w:rsid w:val="00454955"/>
    <w:rsid w:val="0045550E"/>
    <w:rsid w:val="00455D04"/>
    <w:rsid w:val="00455E09"/>
    <w:rsid w:val="0045630C"/>
    <w:rsid w:val="004577B4"/>
    <w:rsid w:val="0046010F"/>
    <w:rsid w:val="00460567"/>
    <w:rsid w:val="00460647"/>
    <w:rsid w:val="00460FBB"/>
    <w:rsid w:val="004610A0"/>
    <w:rsid w:val="0046147E"/>
    <w:rsid w:val="0046152D"/>
    <w:rsid w:val="00461565"/>
    <w:rsid w:val="00461791"/>
    <w:rsid w:val="00461AC4"/>
    <w:rsid w:val="00462137"/>
    <w:rsid w:val="0046253F"/>
    <w:rsid w:val="00462E79"/>
    <w:rsid w:val="00463C39"/>
    <w:rsid w:val="00463F77"/>
    <w:rsid w:val="00463F8D"/>
    <w:rsid w:val="004644F4"/>
    <w:rsid w:val="00464BA7"/>
    <w:rsid w:val="00465517"/>
    <w:rsid w:val="00465DB9"/>
    <w:rsid w:val="00466035"/>
    <w:rsid w:val="0046617F"/>
    <w:rsid w:val="0046680F"/>
    <w:rsid w:val="00466BEB"/>
    <w:rsid w:val="00467515"/>
    <w:rsid w:val="00467880"/>
    <w:rsid w:val="004700C8"/>
    <w:rsid w:val="004702EF"/>
    <w:rsid w:val="00470F08"/>
    <w:rsid w:val="004715AF"/>
    <w:rsid w:val="004722A4"/>
    <w:rsid w:val="00473063"/>
    <w:rsid w:val="004733B1"/>
    <w:rsid w:val="004734DB"/>
    <w:rsid w:val="004739C7"/>
    <w:rsid w:val="00473D09"/>
    <w:rsid w:val="00473E4B"/>
    <w:rsid w:val="00473F81"/>
    <w:rsid w:val="00474127"/>
    <w:rsid w:val="00474453"/>
    <w:rsid w:val="00475110"/>
    <w:rsid w:val="00475152"/>
    <w:rsid w:val="004751E1"/>
    <w:rsid w:val="004754DD"/>
    <w:rsid w:val="0047588E"/>
    <w:rsid w:val="00475FA9"/>
    <w:rsid w:val="00476237"/>
    <w:rsid w:val="00476398"/>
    <w:rsid w:val="00477431"/>
    <w:rsid w:val="004775F9"/>
    <w:rsid w:val="00477891"/>
    <w:rsid w:val="00477BEB"/>
    <w:rsid w:val="00477BFC"/>
    <w:rsid w:val="00477C42"/>
    <w:rsid w:val="00477DC7"/>
    <w:rsid w:val="00480126"/>
    <w:rsid w:val="00480550"/>
    <w:rsid w:val="0048083D"/>
    <w:rsid w:val="00480C3E"/>
    <w:rsid w:val="00480DA8"/>
    <w:rsid w:val="00481130"/>
    <w:rsid w:val="00481C5E"/>
    <w:rsid w:val="00482B4F"/>
    <w:rsid w:val="00482C1A"/>
    <w:rsid w:val="00483333"/>
    <w:rsid w:val="0048348B"/>
    <w:rsid w:val="0048356F"/>
    <w:rsid w:val="0048393B"/>
    <w:rsid w:val="00483B1D"/>
    <w:rsid w:val="00484748"/>
    <w:rsid w:val="00484DFA"/>
    <w:rsid w:val="00484FDE"/>
    <w:rsid w:val="00485DE9"/>
    <w:rsid w:val="00485FDE"/>
    <w:rsid w:val="00486615"/>
    <w:rsid w:val="00486882"/>
    <w:rsid w:val="004869BC"/>
    <w:rsid w:val="00486E59"/>
    <w:rsid w:val="004873CF"/>
    <w:rsid w:val="00487C22"/>
    <w:rsid w:val="004910DB"/>
    <w:rsid w:val="0049286F"/>
    <w:rsid w:val="00492EE9"/>
    <w:rsid w:val="00492F2C"/>
    <w:rsid w:val="004931A1"/>
    <w:rsid w:val="004931D6"/>
    <w:rsid w:val="004935B6"/>
    <w:rsid w:val="0049380B"/>
    <w:rsid w:val="00493955"/>
    <w:rsid w:val="00494440"/>
    <w:rsid w:val="004944D9"/>
    <w:rsid w:val="0049458D"/>
    <w:rsid w:val="0049481A"/>
    <w:rsid w:val="00494B2A"/>
    <w:rsid w:val="0049539E"/>
    <w:rsid w:val="004959EC"/>
    <w:rsid w:val="00495A96"/>
    <w:rsid w:val="00495BA6"/>
    <w:rsid w:val="00495BAD"/>
    <w:rsid w:val="00496050"/>
    <w:rsid w:val="00496F39"/>
    <w:rsid w:val="00497019"/>
    <w:rsid w:val="004972E3"/>
    <w:rsid w:val="00497BDE"/>
    <w:rsid w:val="004A2040"/>
    <w:rsid w:val="004A2115"/>
    <w:rsid w:val="004A21B0"/>
    <w:rsid w:val="004A2842"/>
    <w:rsid w:val="004A2BA6"/>
    <w:rsid w:val="004A30A3"/>
    <w:rsid w:val="004A314F"/>
    <w:rsid w:val="004A35FF"/>
    <w:rsid w:val="004A3986"/>
    <w:rsid w:val="004A498B"/>
    <w:rsid w:val="004A6383"/>
    <w:rsid w:val="004A6627"/>
    <w:rsid w:val="004A66E8"/>
    <w:rsid w:val="004A7045"/>
    <w:rsid w:val="004A74F9"/>
    <w:rsid w:val="004A767B"/>
    <w:rsid w:val="004A7F57"/>
    <w:rsid w:val="004B0DFE"/>
    <w:rsid w:val="004B14B5"/>
    <w:rsid w:val="004B1952"/>
    <w:rsid w:val="004B1E0D"/>
    <w:rsid w:val="004B2148"/>
    <w:rsid w:val="004B2262"/>
    <w:rsid w:val="004B230C"/>
    <w:rsid w:val="004B261C"/>
    <w:rsid w:val="004B2AA0"/>
    <w:rsid w:val="004B2C9C"/>
    <w:rsid w:val="004B2CEB"/>
    <w:rsid w:val="004B331E"/>
    <w:rsid w:val="004B339E"/>
    <w:rsid w:val="004B35EF"/>
    <w:rsid w:val="004B37DC"/>
    <w:rsid w:val="004B3862"/>
    <w:rsid w:val="004B4164"/>
    <w:rsid w:val="004B43AC"/>
    <w:rsid w:val="004B43BD"/>
    <w:rsid w:val="004B4E14"/>
    <w:rsid w:val="004B522F"/>
    <w:rsid w:val="004B5553"/>
    <w:rsid w:val="004B5733"/>
    <w:rsid w:val="004B5B77"/>
    <w:rsid w:val="004B5EE0"/>
    <w:rsid w:val="004B6903"/>
    <w:rsid w:val="004B6B3B"/>
    <w:rsid w:val="004B6F71"/>
    <w:rsid w:val="004B729C"/>
    <w:rsid w:val="004B76AA"/>
    <w:rsid w:val="004B7D99"/>
    <w:rsid w:val="004B7E43"/>
    <w:rsid w:val="004B7ED0"/>
    <w:rsid w:val="004C0161"/>
    <w:rsid w:val="004C04F8"/>
    <w:rsid w:val="004C1050"/>
    <w:rsid w:val="004C1918"/>
    <w:rsid w:val="004C197B"/>
    <w:rsid w:val="004C1B62"/>
    <w:rsid w:val="004C1E4A"/>
    <w:rsid w:val="004C1E6B"/>
    <w:rsid w:val="004C2500"/>
    <w:rsid w:val="004C2582"/>
    <w:rsid w:val="004C3270"/>
    <w:rsid w:val="004C331B"/>
    <w:rsid w:val="004C35BA"/>
    <w:rsid w:val="004C35C7"/>
    <w:rsid w:val="004C37D5"/>
    <w:rsid w:val="004C37E6"/>
    <w:rsid w:val="004C3BA9"/>
    <w:rsid w:val="004C481C"/>
    <w:rsid w:val="004C4885"/>
    <w:rsid w:val="004C4E36"/>
    <w:rsid w:val="004C560B"/>
    <w:rsid w:val="004C5780"/>
    <w:rsid w:val="004C60DA"/>
    <w:rsid w:val="004C63CD"/>
    <w:rsid w:val="004C6A3E"/>
    <w:rsid w:val="004C7568"/>
    <w:rsid w:val="004C7B2A"/>
    <w:rsid w:val="004C7E7D"/>
    <w:rsid w:val="004C7F38"/>
    <w:rsid w:val="004D0A07"/>
    <w:rsid w:val="004D0DA1"/>
    <w:rsid w:val="004D1B66"/>
    <w:rsid w:val="004D1D1B"/>
    <w:rsid w:val="004D233C"/>
    <w:rsid w:val="004D2B95"/>
    <w:rsid w:val="004D2CE0"/>
    <w:rsid w:val="004D2E48"/>
    <w:rsid w:val="004D3657"/>
    <w:rsid w:val="004D3A34"/>
    <w:rsid w:val="004D3AC1"/>
    <w:rsid w:val="004D3FD3"/>
    <w:rsid w:val="004D40DE"/>
    <w:rsid w:val="004D4217"/>
    <w:rsid w:val="004D424C"/>
    <w:rsid w:val="004D4D94"/>
    <w:rsid w:val="004D5E9B"/>
    <w:rsid w:val="004D68E2"/>
    <w:rsid w:val="004D6C53"/>
    <w:rsid w:val="004D6E09"/>
    <w:rsid w:val="004D7881"/>
    <w:rsid w:val="004D7A0D"/>
    <w:rsid w:val="004D7C07"/>
    <w:rsid w:val="004E0258"/>
    <w:rsid w:val="004E027C"/>
    <w:rsid w:val="004E02E3"/>
    <w:rsid w:val="004E0436"/>
    <w:rsid w:val="004E0D1B"/>
    <w:rsid w:val="004E0DA2"/>
    <w:rsid w:val="004E0F77"/>
    <w:rsid w:val="004E105E"/>
    <w:rsid w:val="004E10CD"/>
    <w:rsid w:val="004E11FD"/>
    <w:rsid w:val="004E1966"/>
    <w:rsid w:val="004E2760"/>
    <w:rsid w:val="004E2DAD"/>
    <w:rsid w:val="004E3036"/>
    <w:rsid w:val="004E36F6"/>
    <w:rsid w:val="004E3AA1"/>
    <w:rsid w:val="004E3B51"/>
    <w:rsid w:val="004E3D27"/>
    <w:rsid w:val="004E45AF"/>
    <w:rsid w:val="004E461E"/>
    <w:rsid w:val="004E464B"/>
    <w:rsid w:val="004E490B"/>
    <w:rsid w:val="004E51A4"/>
    <w:rsid w:val="004E541F"/>
    <w:rsid w:val="004E6E8C"/>
    <w:rsid w:val="004E6FBF"/>
    <w:rsid w:val="004E7118"/>
    <w:rsid w:val="004E73A3"/>
    <w:rsid w:val="004E73D2"/>
    <w:rsid w:val="004E752F"/>
    <w:rsid w:val="004E7FFD"/>
    <w:rsid w:val="004F0757"/>
    <w:rsid w:val="004F108E"/>
    <w:rsid w:val="004F1214"/>
    <w:rsid w:val="004F1253"/>
    <w:rsid w:val="004F148A"/>
    <w:rsid w:val="004F1AE6"/>
    <w:rsid w:val="004F1D54"/>
    <w:rsid w:val="004F220D"/>
    <w:rsid w:val="004F29F3"/>
    <w:rsid w:val="004F2A32"/>
    <w:rsid w:val="004F3D86"/>
    <w:rsid w:val="004F3F50"/>
    <w:rsid w:val="004F444E"/>
    <w:rsid w:val="004F4F9F"/>
    <w:rsid w:val="004F58D0"/>
    <w:rsid w:val="004F5C1E"/>
    <w:rsid w:val="004F5D65"/>
    <w:rsid w:val="004F60D4"/>
    <w:rsid w:val="004F6109"/>
    <w:rsid w:val="004F6CE7"/>
    <w:rsid w:val="004F6CFB"/>
    <w:rsid w:val="004F6D89"/>
    <w:rsid w:val="004F708E"/>
    <w:rsid w:val="004F7186"/>
    <w:rsid w:val="004F7812"/>
    <w:rsid w:val="004F79A1"/>
    <w:rsid w:val="005003F2"/>
    <w:rsid w:val="00500999"/>
    <w:rsid w:val="00500ACC"/>
    <w:rsid w:val="00500D1D"/>
    <w:rsid w:val="00501E7F"/>
    <w:rsid w:val="00502061"/>
    <w:rsid w:val="00502A29"/>
    <w:rsid w:val="0050482D"/>
    <w:rsid w:val="00504AD5"/>
    <w:rsid w:val="00504BA0"/>
    <w:rsid w:val="00504D6A"/>
    <w:rsid w:val="005055F4"/>
    <w:rsid w:val="00505C5C"/>
    <w:rsid w:val="0050781F"/>
    <w:rsid w:val="00507B10"/>
    <w:rsid w:val="0051023E"/>
    <w:rsid w:val="00511398"/>
    <w:rsid w:val="00511B4D"/>
    <w:rsid w:val="005120AD"/>
    <w:rsid w:val="00512841"/>
    <w:rsid w:val="00512D78"/>
    <w:rsid w:val="00513860"/>
    <w:rsid w:val="00513A38"/>
    <w:rsid w:val="00513ED9"/>
    <w:rsid w:val="00514142"/>
    <w:rsid w:val="00514569"/>
    <w:rsid w:val="00514691"/>
    <w:rsid w:val="005146FB"/>
    <w:rsid w:val="00514AD5"/>
    <w:rsid w:val="00515181"/>
    <w:rsid w:val="005151E9"/>
    <w:rsid w:val="005153BE"/>
    <w:rsid w:val="005154FF"/>
    <w:rsid w:val="0051580A"/>
    <w:rsid w:val="00515943"/>
    <w:rsid w:val="00515B10"/>
    <w:rsid w:val="00515C63"/>
    <w:rsid w:val="005163BB"/>
    <w:rsid w:val="005163D4"/>
    <w:rsid w:val="0051726E"/>
    <w:rsid w:val="005200BA"/>
    <w:rsid w:val="00520912"/>
    <w:rsid w:val="00520F7B"/>
    <w:rsid w:val="00521007"/>
    <w:rsid w:val="0052148D"/>
    <w:rsid w:val="00522565"/>
    <w:rsid w:val="00522958"/>
    <w:rsid w:val="00522AE0"/>
    <w:rsid w:val="00522B02"/>
    <w:rsid w:val="00522C01"/>
    <w:rsid w:val="00522C02"/>
    <w:rsid w:val="005232C7"/>
    <w:rsid w:val="0052385F"/>
    <w:rsid w:val="0052402D"/>
    <w:rsid w:val="00524CC6"/>
    <w:rsid w:val="00524E11"/>
    <w:rsid w:val="005252D9"/>
    <w:rsid w:val="0052567B"/>
    <w:rsid w:val="00525B0F"/>
    <w:rsid w:val="00525C1E"/>
    <w:rsid w:val="005260BF"/>
    <w:rsid w:val="00526319"/>
    <w:rsid w:val="00526456"/>
    <w:rsid w:val="00526787"/>
    <w:rsid w:val="00526A5C"/>
    <w:rsid w:val="00526FC4"/>
    <w:rsid w:val="0052711B"/>
    <w:rsid w:val="00527180"/>
    <w:rsid w:val="00527C09"/>
    <w:rsid w:val="0052C157"/>
    <w:rsid w:val="00530257"/>
    <w:rsid w:val="00530351"/>
    <w:rsid w:val="005309AE"/>
    <w:rsid w:val="00530FA7"/>
    <w:rsid w:val="0053146F"/>
    <w:rsid w:val="00531661"/>
    <w:rsid w:val="00531B06"/>
    <w:rsid w:val="00532026"/>
    <w:rsid w:val="00532AF9"/>
    <w:rsid w:val="00532DE3"/>
    <w:rsid w:val="00533944"/>
    <w:rsid w:val="00533977"/>
    <w:rsid w:val="00533C1A"/>
    <w:rsid w:val="00533FF1"/>
    <w:rsid w:val="00534636"/>
    <w:rsid w:val="00534AFD"/>
    <w:rsid w:val="00534C03"/>
    <w:rsid w:val="00534CF5"/>
    <w:rsid w:val="0053523C"/>
    <w:rsid w:val="0053537D"/>
    <w:rsid w:val="005353A3"/>
    <w:rsid w:val="005354F5"/>
    <w:rsid w:val="00535527"/>
    <w:rsid w:val="0053616C"/>
    <w:rsid w:val="00536274"/>
    <w:rsid w:val="00536419"/>
    <w:rsid w:val="00536BF6"/>
    <w:rsid w:val="005370B6"/>
    <w:rsid w:val="00537413"/>
    <w:rsid w:val="00537DCD"/>
    <w:rsid w:val="00540375"/>
    <w:rsid w:val="005404D0"/>
    <w:rsid w:val="005405FC"/>
    <w:rsid w:val="005422E5"/>
    <w:rsid w:val="0054259F"/>
    <w:rsid w:val="00542C34"/>
    <w:rsid w:val="00543213"/>
    <w:rsid w:val="005432EC"/>
    <w:rsid w:val="00543C52"/>
    <w:rsid w:val="00543DD6"/>
    <w:rsid w:val="0054434A"/>
    <w:rsid w:val="005452C3"/>
    <w:rsid w:val="00545435"/>
    <w:rsid w:val="00545B91"/>
    <w:rsid w:val="005462AA"/>
    <w:rsid w:val="0054657B"/>
    <w:rsid w:val="00546CF3"/>
    <w:rsid w:val="00546E9C"/>
    <w:rsid w:val="00547484"/>
    <w:rsid w:val="0054771B"/>
    <w:rsid w:val="00547A3D"/>
    <w:rsid w:val="00547CCB"/>
    <w:rsid w:val="00550740"/>
    <w:rsid w:val="0055120D"/>
    <w:rsid w:val="00551924"/>
    <w:rsid w:val="00551A83"/>
    <w:rsid w:val="00551C20"/>
    <w:rsid w:val="00551CFA"/>
    <w:rsid w:val="00551EC0"/>
    <w:rsid w:val="00552352"/>
    <w:rsid w:val="0055245D"/>
    <w:rsid w:val="00552BF0"/>
    <w:rsid w:val="00552D96"/>
    <w:rsid w:val="00552E0F"/>
    <w:rsid w:val="0055389D"/>
    <w:rsid w:val="005538A6"/>
    <w:rsid w:val="00554143"/>
    <w:rsid w:val="005541DE"/>
    <w:rsid w:val="00554233"/>
    <w:rsid w:val="00554C33"/>
    <w:rsid w:val="0055507D"/>
    <w:rsid w:val="00555228"/>
    <w:rsid w:val="005552AF"/>
    <w:rsid w:val="00555324"/>
    <w:rsid w:val="00555574"/>
    <w:rsid w:val="00555CEB"/>
    <w:rsid w:val="00555ED1"/>
    <w:rsid w:val="005561BA"/>
    <w:rsid w:val="005566DD"/>
    <w:rsid w:val="00557759"/>
    <w:rsid w:val="005578B7"/>
    <w:rsid w:val="00560211"/>
    <w:rsid w:val="005608CA"/>
    <w:rsid w:val="00560A3F"/>
    <w:rsid w:val="00561C0C"/>
    <w:rsid w:val="00561FFF"/>
    <w:rsid w:val="005624B1"/>
    <w:rsid w:val="00562734"/>
    <w:rsid w:val="00562ECE"/>
    <w:rsid w:val="00563323"/>
    <w:rsid w:val="0056359E"/>
    <w:rsid w:val="005637D9"/>
    <w:rsid w:val="0056385F"/>
    <w:rsid w:val="00563AC8"/>
    <w:rsid w:val="00563B65"/>
    <w:rsid w:val="00563C57"/>
    <w:rsid w:val="00563D3F"/>
    <w:rsid w:val="00563E16"/>
    <w:rsid w:val="005640EA"/>
    <w:rsid w:val="005644CE"/>
    <w:rsid w:val="0056464B"/>
    <w:rsid w:val="00564D3A"/>
    <w:rsid w:val="00564F8C"/>
    <w:rsid w:val="005653BA"/>
    <w:rsid w:val="005653F2"/>
    <w:rsid w:val="005655C1"/>
    <w:rsid w:val="005659BD"/>
    <w:rsid w:val="00566196"/>
    <w:rsid w:val="00566292"/>
    <w:rsid w:val="00566791"/>
    <w:rsid w:val="0056686F"/>
    <w:rsid w:val="00566D8C"/>
    <w:rsid w:val="005673DD"/>
    <w:rsid w:val="005676E3"/>
    <w:rsid w:val="00567E20"/>
    <w:rsid w:val="005702F7"/>
    <w:rsid w:val="00570A1F"/>
    <w:rsid w:val="00570A22"/>
    <w:rsid w:val="00570D63"/>
    <w:rsid w:val="005712BD"/>
    <w:rsid w:val="00571992"/>
    <w:rsid w:val="00571B79"/>
    <w:rsid w:val="00571F95"/>
    <w:rsid w:val="005721DD"/>
    <w:rsid w:val="005727B2"/>
    <w:rsid w:val="00572900"/>
    <w:rsid w:val="00572BBF"/>
    <w:rsid w:val="00572DED"/>
    <w:rsid w:val="00572F75"/>
    <w:rsid w:val="00573CA5"/>
    <w:rsid w:val="00573F7F"/>
    <w:rsid w:val="0057432F"/>
    <w:rsid w:val="005743D6"/>
    <w:rsid w:val="00574642"/>
    <w:rsid w:val="00574BAD"/>
    <w:rsid w:val="005760E6"/>
    <w:rsid w:val="005769E2"/>
    <w:rsid w:val="00576D89"/>
    <w:rsid w:val="00576DC6"/>
    <w:rsid w:val="00577B1A"/>
    <w:rsid w:val="0058009B"/>
    <w:rsid w:val="00580D45"/>
    <w:rsid w:val="00581810"/>
    <w:rsid w:val="0058194F"/>
    <w:rsid w:val="00581C59"/>
    <w:rsid w:val="00582098"/>
    <w:rsid w:val="005824BE"/>
    <w:rsid w:val="00582590"/>
    <w:rsid w:val="0058264F"/>
    <w:rsid w:val="0058284C"/>
    <w:rsid w:val="0058400B"/>
    <w:rsid w:val="0058411C"/>
    <w:rsid w:val="00584584"/>
    <w:rsid w:val="00584879"/>
    <w:rsid w:val="00584E93"/>
    <w:rsid w:val="00585536"/>
    <w:rsid w:val="00585A8C"/>
    <w:rsid w:val="00585BEF"/>
    <w:rsid w:val="00586144"/>
    <w:rsid w:val="0058655A"/>
    <w:rsid w:val="00586B02"/>
    <w:rsid w:val="00587004"/>
    <w:rsid w:val="00587642"/>
    <w:rsid w:val="00587A02"/>
    <w:rsid w:val="00587E4D"/>
    <w:rsid w:val="00587FDA"/>
    <w:rsid w:val="00590444"/>
    <w:rsid w:val="00590686"/>
    <w:rsid w:val="0059120D"/>
    <w:rsid w:val="00591D8A"/>
    <w:rsid w:val="00592085"/>
    <w:rsid w:val="00592B93"/>
    <w:rsid w:val="00592E9C"/>
    <w:rsid w:val="00593486"/>
    <w:rsid w:val="0059395F"/>
    <w:rsid w:val="00594085"/>
    <w:rsid w:val="005947DB"/>
    <w:rsid w:val="00594819"/>
    <w:rsid w:val="0059481D"/>
    <w:rsid w:val="005949BF"/>
    <w:rsid w:val="0059599C"/>
    <w:rsid w:val="0059666C"/>
    <w:rsid w:val="00596ED1"/>
    <w:rsid w:val="0059718C"/>
    <w:rsid w:val="005976A0"/>
    <w:rsid w:val="005976D8"/>
    <w:rsid w:val="005979F9"/>
    <w:rsid w:val="00597D3F"/>
    <w:rsid w:val="005A0767"/>
    <w:rsid w:val="005A1445"/>
    <w:rsid w:val="005A1662"/>
    <w:rsid w:val="005A293F"/>
    <w:rsid w:val="005A3733"/>
    <w:rsid w:val="005A4638"/>
    <w:rsid w:val="005A469C"/>
    <w:rsid w:val="005A5041"/>
    <w:rsid w:val="005A54D6"/>
    <w:rsid w:val="005A5D21"/>
    <w:rsid w:val="005A61C8"/>
    <w:rsid w:val="005A6664"/>
    <w:rsid w:val="005A66B4"/>
    <w:rsid w:val="005A68E0"/>
    <w:rsid w:val="005A72A1"/>
    <w:rsid w:val="005A7D76"/>
    <w:rsid w:val="005B0284"/>
    <w:rsid w:val="005B02EC"/>
    <w:rsid w:val="005B09DC"/>
    <w:rsid w:val="005B0D0B"/>
    <w:rsid w:val="005B0E30"/>
    <w:rsid w:val="005B0E84"/>
    <w:rsid w:val="005B1417"/>
    <w:rsid w:val="005B144D"/>
    <w:rsid w:val="005B2BC1"/>
    <w:rsid w:val="005B2C0E"/>
    <w:rsid w:val="005B2CDA"/>
    <w:rsid w:val="005B3334"/>
    <w:rsid w:val="005B4295"/>
    <w:rsid w:val="005B494A"/>
    <w:rsid w:val="005B50E0"/>
    <w:rsid w:val="005B5452"/>
    <w:rsid w:val="005B558D"/>
    <w:rsid w:val="005B564F"/>
    <w:rsid w:val="005B5B43"/>
    <w:rsid w:val="005B5BBB"/>
    <w:rsid w:val="005B5E88"/>
    <w:rsid w:val="005B6181"/>
    <w:rsid w:val="005B62AC"/>
    <w:rsid w:val="005B65F7"/>
    <w:rsid w:val="005B68B1"/>
    <w:rsid w:val="005B6C3B"/>
    <w:rsid w:val="005B725B"/>
    <w:rsid w:val="005B7C12"/>
    <w:rsid w:val="005C021B"/>
    <w:rsid w:val="005C07B4"/>
    <w:rsid w:val="005C08D0"/>
    <w:rsid w:val="005C1438"/>
    <w:rsid w:val="005C1811"/>
    <w:rsid w:val="005C1DF7"/>
    <w:rsid w:val="005C1F81"/>
    <w:rsid w:val="005C2BF7"/>
    <w:rsid w:val="005C3633"/>
    <w:rsid w:val="005C4291"/>
    <w:rsid w:val="005C46D1"/>
    <w:rsid w:val="005C4C2F"/>
    <w:rsid w:val="005C51CE"/>
    <w:rsid w:val="005C5A16"/>
    <w:rsid w:val="005C6256"/>
    <w:rsid w:val="005C62BA"/>
    <w:rsid w:val="005C6378"/>
    <w:rsid w:val="005C6600"/>
    <w:rsid w:val="005C6639"/>
    <w:rsid w:val="005C6B72"/>
    <w:rsid w:val="005C6E30"/>
    <w:rsid w:val="005C703F"/>
    <w:rsid w:val="005C71B3"/>
    <w:rsid w:val="005C786D"/>
    <w:rsid w:val="005D01FD"/>
    <w:rsid w:val="005D06E8"/>
    <w:rsid w:val="005D0BAB"/>
    <w:rsid w:val="005D0D08"/>
    <w:rsid w:val="005D10A3"/>
    <w:rsid w:val="005D1140"/>
    <w:rsid w:val="005D1296"/>
    <w:rsid w:val="005D15E9"/>
    <w:rsid w:val="005D17FB"/>
    <w:rsid w:val="005D19D9"/>
    <w:rsid w:val="005D1D26"/>
    <w:rsid w:val="005D2029"/>
    <w:rsid w:val="005D2489"/>
    <w:rsid w:val="005D2BBF"/>
    <w:rsid w:val="005D2CCB"/>
    <w:rsid w:val="005D3158"/>
    <w:rsid w:val="005D354D"/>
    <w:rsid w:val="005D35BC"/>
    <w:rsid w:val="005D382E"/>
    <w:rsid w:val="005D3A33"/>
    <w:rsid w:val="005D3A9B"/>
    <w:rsid w:val="005D489A"/>
    <w:rsid w:val="005D4A5C"/>
    <w:rsid w:val="005D51D3"/>
    <w:rsid w:val="005D527D"/>
    <w:rsid w:val="005D576B"/>
    <w:rsid w:val="005D5A55"/>
    <w:rsid w:val="005D6D53"/>
    <w:rsid w:val="005D7297"/>
    <w:rsid w:val="005D73C5"/>
    <w:rsid w:val="005D7A88"/>
    <w:rsid w:val="005D7D86"/>
    <w:rsid w:val="005E03FB"/>
    <w:rsid w:val="005E099E"/>
    <w:rsid w:val="005E15A2"/>
    <w:rsid w:val="005E1E68"/>
    <w:rsid w:val="005E32F1"/>
    <w:rsid w:val="005E3754"/>
    <w:rsid w:val="005E38FC"/>
    <w:rsid w:val="005E3909"/>
    <w:rsid w:val="005E3936"/>
    <w:rsid w:val="005E473B"/>
    <w:rsid w:val="005E4861"/>
    <w:rsid w:val="005E4CD8"/>
    <w:rsid w:val="005E4F4A"/>
    <w:rsid w:val="005E51AA"/>
    <w:rsid w:val="005E5382"/>
    <w:rsid w:val="005E5428"/>
    <w:rsid w:val="005E5AD4"/>
    <w:rsid w:val="005E5F67"/>
    <w:rsid w:val="005E5FD9"/>
    <w:rsid w:val="005E60A2"/>
    <w:rsid w:val="005E60B8"/>
    <w:rsid w:val="005E624D"/>
    <w:rsid w:val="005E682F"/>
    <w:rsid w:val="005E6C8C"/>
    <w:rsid w:val="005E70C0"/>
    <w:rsid w:val="005E7250"/>
    <w:rsid w:val="005E73D6"/>
    <w:rsid w:val="005E7783"/>
    <w:rsid w:val="005E7BA1"/>
    <w:rsid w:val="005F00A4"/>
    <w:rsid w:val="005F03F8"/>
    <w:rsid w:val="005F07D1"/>
    <w:rsid w:val="005F13F9"/>
    <w:rsid w:val="005F1642"/>
    <w:rsid w:val="005F1BC8"/>
    <w:rsid w:val="005F1EBE"/>
    <w:rsid w:val="005F1F62"/>
    <w:rsid w:val="005F2204"/>
    <w:rsid w:val="005F262D"/>
    <w:rsid w:val="005F2C50"/>
    <w:rsid w:val="005F319C"/>
    <w:rsid w:val="005F3ACE"/>
    <w:rsid w:val="005F3B75"/>
    <w:rsid w:val="005F3CEA"/>
    <w:rsid w:val="005F3E83"/>
    <w:rsid w:val="005F424E"/>
    <w:rsid w:val="005F446D"/>
    <w:rsid w:val="005F4770"/>
    <w:rsid w:val="005F4AE2"/>
    <w:rsid w:val="005F4F27"/>
    <w:rsid w:val="005F5667"/>
    <w:rsid w:val="005F585B"/>
    <w:rsid w:val="005F5990"/>
    <w:rsid w:val="005F67F4"/>
    <w:rsid w:val="005F6942"/>
    <w:rsid w:val="005F6CAA"/>
    <w:rsid w:val="005F7025"/>
    <w:rsid w:val="005F732B"/>
    <w:rsid w:val="005F796D"/>
    <w:rsid w:val="005F7F96"/>
    <w:rsid w:val="006002BF"/>
    <w:rsid w:val="0060085B"/>
    <w:rsid w:val="00600CDA"/>
    <w:rsid w:val="00601156"/>
    <w:rsid w:val="0060143A"/>
    <w:rsid w:val="006023B3"/>
    <w:rsid w:val="0060378C"/>
    <w:rsid w:val="00604B57"/>
    <w:rsid w:val="00604F3A"/>
    <w:rsid w:val="00605A57"/>
    <w:rsid w:val="0060616B"/>
    <w:rsid w:val="00606A8E"/>
    <w:rsid w:val="00606FE0"/>
    <w:rsid w:val="00607990"/>
    <w:rsid w:val="00607A16"/>
    <w:rsid w:val="00607AEC"/>
    <w:rsid w:val="00607BCF"/>
    <w:rsid w:val="006101AA"/>
    <w:rsid w:val="006110D3"/>
    <w:rsid w:val="0061110F"/>
    <w:rsid w:val="006114B2"/>
    <w:rsid w:val="00611693"/>
    <w:rsid w:val="00611C39"/>
    <w:rsid w:val="00611FF3"/>
    <w:rsid w:val="00612528"/>
    <w:rsid w:val="006126AD"/>
    <w:rsid w:val="00613049"/>
    <w:rsid w:val="006133E9"/>
    <w:rsid w:val="006135DE"/>
    <w:rsid w:val="00613F2C"/>
    <w:rsid w:val="00614122"/>
    <w:rsid w:val="0061418F"/>
    <w:rsid w:val="00614550"/>
    <w:rsid w:val="0061498E"/>
    <w:rsid w:val="006151AC"/>
    <w:rsid w:val="006152B7"/>
    <w:rsid w:val="006152CD"/>
    <w:rsid w:val="00615650"/>
    <w:rsid w:val="00615987"/>
    <w:rsid w:val="00616109"/>
    <w:rsid w:val="006168F1"/>
    <w:rsid w:val="00616A83"/>
    <w:rsid w:val="006174EB"/>
    <w:rsid w:val="006177EA"/>
    <w:rsid w:val="00617D41"/>
    <w:rsid w:val="00620351"/>
    <w:rsid w:val="0062039E"/>
    <w:rsid w:val="00620967"/>
    <w:rsid w:val="00620D44"/>
    <w:rsid w:val="00620DB2"/>
    <w:rsid w:val="006210F3"/>
    <w:rsid w:val="00621623"/>
    <w:rsid w:val="00621912"/>
    <w:rsid w:val="00621E75"/>
    <w:rsid w:val="00621FA0"/>
    <w:rsid w:val="0062250B"/>
    <w:rsid w:val="00622B1B"/>
    <w:rsid w:val="00623980"/>
    <w:rsid w:val="006241CC"/>
    <w:rsid w:val="00624A05"/>
    <w:rsid w:val="00624B5A"/>
    <w:rsid w:val="00624C11"/>
    <w:rsid w:val="006259C2"/>
    <w:rsid w:val="00625EC3"/>
    <w:rsid w:val="00626568"/>
    <w:rsid w:val="00626FB2"/>
    <w:rsid w:val="006270DB"/>
    <w:rsid w:val="006277D8"/>
    <w:rsid w:val="0063030B"/>
    <w:rsid w:val="00630987"/>
    <w:rsid w:val="006309D7"/>
    <w:rsid w:val="00631136"/>
    <w:rsid w:val="006317E6"/>
    <w:rsid w:val="00631A0A"/>
    <w:rsid w:val="00631C64"/>
    <w:rsid w:val="00632445"/>
    <w:rsid w:val="00632F34"/>
    <w:rsid w:val="00632F8C"/>
    <w:rsid w:val="00633C87"/>
    <w:rsid w:val="00634006"/>
    <w:rsid w:val="00634508"/>
    <w:rsid w:val="00634DD3"/>
    <w:rsid w:val="006350E3"/>
    <w:rsid w:val="00635640"/>
    <w:rsid w:val="0063565F"/>
    <w:rsid w:val="00635C9B"/>
    <w:rsid w:val="0063624D"/>
    <w:rsid w:val="006363EC"/>
    <w:rsid w:val="00636705"/>
    <w:rsid w:val="00636A11"/>
    <w:rsid w:val="00636A82"/>
    <w:rsid w:val="00636CB9"/>
    <w:rsid w:val="00636DD4"/>
    <w:rsid w:val="00636FF6"/>
    <w:rsid w:val="0063746A"/>
    <w:rsid w:val="00637BA4"/>
    <w:rsid w:val="00640436"/>
    <w:rsid w:val="00640709"/>
    <w:rsid w:val="006413CF"/>
    <w:rsid w:val="0064187D"/>
    <w:rsid w:val="00642175"/>
    <w:rsid w:val="0064218F"/>
    <w:rsid w:val="00642443"/>
    <w:rsid w:val="0064251E"/>
    <w:rsid w:val="00642AC2"/>
    <w:rsid w:val="00642D5F"/>
    <w:rsid w:val="0064302E"/>
    <w:rsid w:val="0064347A"/>
    <w:rsid w:val="006434F2"/>
    <w:rsid w:val="006439C6"/>
    <w:rsid w:val="00643B62"/>
    <w:rsid w:val="006445B8"/>
    <w:rsid w:val="00644D05"/>
    <w:rsid w:val="00645634"/>
    <w:rsid w:val="00645A78"/>
    <w:rsid w:val="00645B45"/>
    <w:rsid w:val="00645D7B"/>
    <w:rsid w:val="00645E01"/>
    <w:rsid w:val="00645F48"/>
    <w:rsid w:val="0064603D"/>
    <w:rsid w:val="00646712"/>
    <w:rsid w:val="00646A33"/>
    <w:rsid w:val="00646AD1"/>
    <w:rsid w:val="006475B0"/>
    <w:rsid w:val="006477E5"/>
    <w:rsid w:val="00650687"/>
    <w:rsid w:val="00651DA2"/>
    <w:rsid w:val="00651F61"/>
    <w:rsid w:val="00652053"/>
    <w:rsid w:val="006522B8"/>
    <w:rsid w:val="00652345"/>
    <w:rsid w:val="006531D5"/>
    <w:rsid w:val="0065362E"/>
    <w:rsid w:val="0065377D"/>
    <w:rsid w:val="00653AF5"/>
    <w:rsid w:val="00653C08"/>
    <w:rsid w:val="00654096"/>
    <w:rsid w:val="00654271"/>
    <w:rsid w:val="006546A6"/>
    <w:rsid w:val="006547AC"/>
    <w:rsid w:val="00654829"/>
    <w:rsid w:val="0065504A"/>
    <w:rsid w:val="00655535"/>
    <w:rsid w:val="006559E9"/>
    <w:rsid w:val="00655C0A"/>
    <w:rsid w:val="00655D37"/>
    <w:rsid w:val="0065621B"/>
    <w:rsid w:val="00656D14"/>
    <w:rsid w:val="0065799D"/>
    <w:rsid w:val="00657CA0"/>
    <w:rsid w:val="00657DCD"/>
    <w:rsid w:val="0066007B"/>
    <w:rsid w:val="00660492"/>
    <w:rsid w:val="0066079D"/>
    <w:rsid w:val="006609B2"/>
    <w:rsid w:val="00660BDE"/>
    <w:rsid w:val="006612BE"/>
    <w:rsid w:val="0066135E"/>
    <w:rsid w:val="00661456"/>
    <w:rsid w:val="00661489"/>
    <w:rsid w:val="00661C0C"/>
    <w:rsid w:val="00662200"/>
    <w:rsid w:val="00662D5C"/>
    <w:rsid w:val="006632E2"/>
    <w:rsid w:val="00663388"/>
    <w:rsid w:val="00663932"/>
    <w:rsid w:val="00663A95"/>
    <w:rsid w:val="00664382"/>
    <w:rsid w:val="00664A72"/>
    <w:rsid w:val="00664E92"/>
    <w:rsid w:val="006656AF"/>
    <w:rsid w:val="00665929"/>
    <w:rsid w:val="0066594E"/>
    <w:rsid w:val="00665AC1"/>
    <w:rsid w:val="006661A7"/>
    <w:rsid w:val="00666585"/>
    <w:rsid w:val="00666A58"/>
    <w:rsid w:val="00666B74"/>
    <w:rsid w:val="00666FF6"/>
    <w:rsid w:val="00667538"/>
    <w:rsid w:val="006678DB"/>
    <w:rsid w:val="00667A4F"/>
    <w:rsid w:val="006705F6"/>
    <w:rsid w:val="00670A93"/>
    <w:rsid w:val="00670C60"/>
    <w:rsid w:val="00670E7D"/>
    <w:rsid w:val="006710D8"/>
    <w:rsid w:val="006719A9"/>
    <w:rsid w:val="00671A24"/>
    <w:rsid w:val="0067218C"/>
    <w:rsid w:val="0067219A"/>
    <w:rsid w:val="00672660"/>
    <w:rsid w:val="006726F3"/>
    <w:rsid w:val="00673AF4"/>
    <w:rsid w:val="00673B0E"/>
    <w:rsid w:val="00674579"/>
    <w:rsid w:val="0067477E"/>
    <w:rsid w:val="00674E67"/>
    <w:rsid w:val="00675909"/>
    <w:rsid w:val="0067594C"/>
    <w:rsid w:val="00675977"/>
    <w:rsid w:val="00675A0D"/>
    <w:rsid w:val="00676613"/>
    <w:rsid w:val="0067669B"/>
    <w:rsid w:val="00676733"/>
    <w:rsid w:val="006769FF"/>
    <w:rsid w:val="0067730B"/>
    <w:rsid w:val="006775D0"/>
    <w:rsid w:val="006779F9"/>
    <w:rsid w:val="00677A3B"/>
    <w:rsid w:val="006800AB"/>
    <w:rsid w:val="006801DB"/>
    <w:rsid w:val="00680FF2"/>
    <w:rsid w:val="0068111F"/>
    <w:rsid w:val="00681C00"/>
    <w:rsid w:val="0068263E"/>
    <w:rsid w:val="00682FB4"/>
    <w:rsid w:val="0068412D"/>
    <w:rsid w:val="00684DCA"/>
    <w:rsid w:val="00685754"/>
    <w:rsid w:val="0068576A"/>
    <w:rsid w:val="00685D95"/>
    <w:rsid w:val="006864FE"/>
    <w:rsid w:val="00686676"/>
    <w:rsid w:val="00686855"/>
    <w:rsid w:val="00686856"/>
    <w:rsid w:val="00687B83"/>
    <w:rsid w:val="006904C1"/>
    <w:rsid w:val="00690518"/>
    <w:rsid w:val="00690735"/>
    <w:rsid w:val="00690CD6"/>
    <w:rsid w:val="00691515"/>
    <w:rsid w:val="00691844"/>
    <w:rsid w:val="006924DB"/>
    <w:rsid w:val="00692D63"/>
    <w:rsid w:val="00692EC4"/>
    <w:rsid w:val="006932F8"/>
    <w:rsid w:val="0069343A"/>
    <w:rsid w:val="00693AF4"/>
    <w:rsid w:val="006945A5"/>
    <w:rsid w:val="00694D80"/>
    <w:rsid w:val="006954AA"/>
    <w:rsid w:val="00695AD9"/>
    <w:rsid w:val="00695B41"/>
    <w:rsid w:val="00695C29"/>
    <w:rsid w:val="00695E7A"/>
    <w:rsid w:val="00696663"/>
    <w:rsid w:val="00696A42"/>
    <w:rsid w:val="0069723E"/>
    <w:rsid w:val="00697377"/>
    <w:rsid w:val="00697866"/>
    <w:rsid w:val="00697AC0"/>
    <w:rsid w:val="006A005E"/>
    <w:rsid w:val="006A0AEF"/>
    <w:rsid w:val="006A0BBA"/>
    <w:rsid w:val="006A120E"/>
    <w:rsid w:val="006A137E"/>
    <w:rsid w:val="006A1638"/>
    <w:rsid w:val="006A1A1B"/>
    <w:rsid w:val="006A1B6F"/>
    <w:rsid w:val="006A2018"/>
    <w:rsid w:val="006A22F9"/>
    <w:rsid w:val="006A31FA"/>
    <w:rsid w:val="006A3742"/>
    <w:rsid w:val="006A40AB"/>
    <w:rsid w:val="006A43DD"/>
    <w:rsid w:val="006A4659"/>
    <w:rsid w:val="006A46E3"/>
    <w:rsid w:val="006A4B56"/>
    <w:rsid w:val="006A5420"/>
    <w:rsid w:val="006A5500"/>
    <w:rsid w:val="006A58CC"/>
    <w:rsid w:val="006A5BBD"/>
    <w:rsid w:val="006A5BCF"/>
    <w:rsid w:val="006A5CF0"/>
    <w:rsid w:val="006A6114"/>
    <w:rsid w:val="006A6236"/>
    <w:rsid w:val="006A62B9"/>
    <w:rsid w:val="006A653A"/>
    <w:rsid w:val="006A70AD"/>
    <w:rsid w:val="006A73BE"/>
    <w:rsid w:val="006A74E2"/>
    <w:rsid w:val="006A74FD"/>
    <w:rsid w:val="006A7504"/>
    <w:rsid w:val="006A7736"/>
    <w:rsid w:val="006B059D"/>
    <w:rsid w:val="006B06BC"/>
    <w:rsid w:val="006B0C80"/>
    <w:rsid w:val="006B0F2A"/>
    <w:rsid w:val="006B10F6"/>
    <w:rsid w:val="006B1397"/>
    <w:rsid w:val="006B1539"/>
    <w:rsid w:val="006B1614"/>
    <w:rsid w:val="006B26B0"/>
    <w:rsid w:val="006B2E32"/>
    <w:rsid w:val="006B33CA"/>
    <w:rsid w:val="006B3693"/>
    <w:rsid w:val="006B379C"/>
    <w:rsid w:val="006B3B96"/>
    <w:rsid w:val="006B3CEC"/>
    <w:rsid w:val="006B3ECC"/>
    <w:rsid w:val="006B4105"/>
    <w:rsid w:val="006B4743"/>
    <w:rsid w:val="006B5AC3"/>
    <w:rsid w:val="006B5BF0"/>
    <w:rsid w:val="006B5E03"/>
    <w:rsid w:val="006B6FCB"/>
    <w:rsid w:val="006B7188"/>
    <w:rsid w:val="006B732B"/>
    <w:rsid w:val="006B7426"/>
    <w:rsid w:val="006B75FA"/>
    <w:rsid w:val="006B76B0"/>
    <w:rsid w:val="006B7784"/>
    <w:rsid w:val="006B7AD4"/>
    <w:rsid w:val="006B7C34"/>
    <w:rsid w:val="006B7E48"/>
    <w:rsid w:val="006C05C6"/>
    <w:rsid w:val="006C11EB"/>
    <w:rsid w:val="006C148D"/>
    <w:rsid w:val="006C160A"/>
    <w:rsid w:val="006C1679"/>
    <w:rsid w:val="006C27C1"/>
    <w:rsid w:val="006C28E6"/>
    <w:rsid w:val="006C2AE6"/>
    <w:rsid w:val="006C2EF7"/>
    <w:rsid w:val="006C32B9"/>
    <w:rsid w:val="006C3445"/>
    <w:rsid w:val="006C3A98"/>
    <w:rsid w:val="006C3F26"/>
    <w:rsid w:val="006C474A"/>
    <w:rsid w:val="006C47D3"/>
    <w:rsid w:val="006C493E"/>
    <w:rsid w:val="006C4943"/>
    <w:rsid w:val="006C49A1"/>
    <w:rsid w:val="006C4B62"/>
    <w:rsid w:val="006C4C13"/>
    <w:rsid w:val="006C4EBD"/>
    <w:rsid w:val="006C4FB1"/>
    <w:rsid w:val="006C5304"/>
    <w:rsid w:val="006C624D"/>
    <w:rsid w:val="006C6634"/>
    <w:rsid w:val="006C6FC9"/>
    <w:rsid w:val="006C7FBE"/>
    <w:rsid w:val="006D039F"/>
    <w:rsid w:val="006D06E9"/>
    <w:rsid w:val="006D076E"/>
    <w:rsid w:val="006D0AEA"/>
    <w:rsid w:val="006D0D72"/>
    <w:rsid w:val="006D12D9"/>
    <w:rsid w:val="006D14F8"/>
    <w:rsid w:val="006D16C9"/>
    <w:rsid w:val="006D1AB8"/>
    <w:rsid w:val="006D1B00"/>
    <w:rsid w:val="006D1F65"/>
    <w:rsid w:val="006D243C"/>
    <w:rsid w:val="006D276F"/>
    <w:rsid w:val="006D2B63"/>
    <w:rsid w:val="006D3293"/>
    <w:rsid w:val="006D37CB"/>
    <w:rsid w:val="006D3B58"/>
    <w:rsid w:val="006D3EBF"/>
    <w:rsid w:val="006D3F56"/>
    <w:rsid w:val="006D429C"/>
    <w:rsid w:val="006D49AD"/>
    <w:rsid w:val="006D4B34"/>
    <w:rsid w:val="006D4D04"/>
    <w:rsid w:val="006D52C2"/>
    <w:rsid w:val="006D69F1"/>
    <w:rsid w:val="006D756A"/>
    <w:rsid w:val="006D7B05"/>
    <w:rsid w:val="006D7B9E"/>
    <w:rsid w:val="006E0223"/>
    <w:rsid w:val="006E04CF"/>
    <w:rsid w:val="006E0629"/>
    <w:rsid w:val="006E0B17"/>
    <w:rsid w:val="006E0B7A"/>
    <w:rsid w:val="006E0B83"/>
    <w:rsid w:val="006E0D31"/>
    <w:rsid w:val="006E11C9"/>
    <w:rsid w:val="006E121B"/>
    <w:rsid w:val="006E13C9"/>
    <w:rsid w:val="006E174E"/>
    <w:rsid w:val="006E17A5"/>
    <w:rsid w:val="006E2D91"/>
    <w:rsid w:val="006E3037"/>
    <w:rsid w:val="006E369A"/>
    <w:rsid w:val="006E3960"/>
    <w:rsid w:val="006E4494"/>
    <w:rsid w:val="006E4991"/>
    <w:rsid w:val="006E4E0B"/>
    <w:rsid w:val="006E551A"/>
    <w:rsid w:val="006E55AA"/>
    <w:rsid w:val="006E56B6"/>
    <w:rsid w:val="006E697C"/>
    <w:rsid w:val="006E6D73"/>
    <w:rsid w:val="006E7592"/>
    <w:rsid w:val="006E75D4"/>
    <w:rsid w:val="006E7835"/>
    <w:rsid w:val="006F0607"/>
    <w:rsid w:val="006F06BC"/>
    <w:rsid w:val="006F0D93"/>
    <w:rsid w:val="006F1D85"/>
    <w:rsid w:val="006F26F4"/>
    <w:rsid w:val="006F2BC3"/>
    <w:rsid w:val="006F2EFB"/>
    <w:rsid w:val="006F312C"/>
    <w:rsid w:val="006F3249"/>
    <w:rsid w:val="006F3436"/>
    <w:rsid w:val="006F4B60"/>
    <w:rsid w:val="006F508C"/>
    <w:rsid w:val="006F5F1F"/>
    <w:rsid w:val="006F5F2C"/>
    <w:rsid w:val="006F610D"/>
    <w:rsid w:val="006F6B53"/>
    <w:rsid w:val="006F6EA9"/>
    <w:rsid w:val="006F73AA"/>
    <w:rsid w:val="006F7EFC"/>
    <w:rsid w:val="007006E3"/>
    <w:rsid w:val="0070078A"/>
    <w:rsid w:val="00700926"/>
    <w:rsid w:val="00700B24"/>
    <w:rsid w:val="00701575"/>
    <w:rsid w:val="00702261"/>
    <w:rsid w:val="007023C6"/>
    <w:rsid w:val="007028CD"/>
    <w:rsid w:val="00702954"/>
    <w:rsid w:val="00702D8F"/>
    <w:rsid w:val="00703208"/>
    <w:rsid w:val="00703393"/>
    <w:rsid w:val="00704378"/>
    <w:rsid w:val="00704380"/>
    <w:rsid w:val="007048C4"/>
    <w:rsid w:val="00704B59"/>
    <w:rsid w:val="0070517F"/>
    <w:rsid w:val="00706458"/>
    <w:rsid w:val="007068DD"/>
    <w:rsid w:val="00706A4B"/>
    <w:rsid w:val="00706C4A"/>
    <w:rsid w:val="00706E33"/>
    <w:rsid w:val="007072A0"/>
    <w:rsid w:val="00707919"/>
    <w:rsid w:val="00707994"/>
    <w:rsid w:val="007103D6"/>
    <w:rsid w:val="00710C1F"/>
    <w:rsid w:val="00711057"/>
    <w:rsid w:val="007113E2"/>
    <w:rsid w:val="0071187B"/>
    <w:rsid w:val="007119BB"/>
    <w:rsid w:val="00711D7B"/>
    <w:rsid w:val="007129D2"/>
    <w:rsid w:val="007132B6"/>
    <w:rsid w:val="00713976"/>
    <w:rsid w:val="00713EA4"/>
    <w:rsid w:val="00714355"/>
    <w:rsid w:val="007144A8"/>
    <w:rsid w:val="0071494C"/>
    <w:rsid w:val="00714BAE"/>
    <w:rsid w:val="00714FC7"/>
    <w:rsid w:val="00715517"/>
    <w:rsid w:val="00715798"/>
    <w:rsid w:val="00715A2B"/>
    <w:rsid w:val="007165BA"/>
    <w:rsid w:val="00716B11"/>
    <w:rsid w:val="00716D14"/>
    <w:rsid w:val="00716F4D"/>
    <w:rsid w:val="007178F4"/>
    <w:rsid w:val="00717A71"/>
    <w:rsid w:val="00720ADF"/>
    <w:rsid w:val="007211DE"/>
    <w:rsid w:val="00721228"/>
    <w:rsid w:val="0072202E"/>
    <w:rsid w:val="0072291D"/>
    <w:rsid w:val="00722BC7"/>
    <w:rsid w:val="00722C52"/>
    <w:rsid w:val="00722D0D"/>
    <w:rsid w:val="00723235"/>
    <w:rsid w:val="007236A7"/>
    <w:rsid w:val="00723DBA"/>
    <w:rsid w:val="00724156"/>
    <w:rsid w:val="0072456F"/>
    <w:rsid w:val="00724840"/>
    <w:rsid w:val="00724A88"/>
    <w:rsid w:val="00724E8A"/>
    <w:rsid w:val="00725981"/>
    <w:rsid w:val="00726380"/>
    <w:rsid w:val="00726CBC"/>
    <w:rsid w:val="00727150"/>
    <w:rsid w:val="0072748F"/>
    <w:rsid w:val="007274FE"/>
    <w:rsid w:val="00727C0F"/>
    <w:rsid w:val="00727C6F"/>
    <w:rsid w:val="0073046F"/>
    <w:rsid w:val="00730478"/>
    <w:rsid w:val="007305EF"/>
    <w:rsid w:val="00730EEA"/>
    <w:rsid w:val="00730F27"/>
    <w:rsid w:val="0073100C"/>
    <w:rsid w:val="007310B9"/>
    <w:rsid w:val="00731C1D"/>
    <w:rsid w:val="00732738"/>
    <w:rsid w:val="00732B8D"/>
    <w:rsid w:val="00732CD8"/>
    <w:rsid w:val="007330B5"/>
    <w:rsid w:val="00733193"/>
    <w:rsid w:val="007331F6"/>
    <w:rsid w:val="007337B6"/>
    <w:rsid w:val="00733D32"/>
    <w:rsid w:val="00733E3D"/>
    <w:rsid w:val="00734501"/>
    <w:rsid w:val="00734C7E"/>
    <w:rsid w:val="00734F96"/>
    <w:rsid w:val="007359D8"/>
    <w:rsid w:val="00735DE3"/>
    <w:rsid w:val="00736109"/>
    <w:rsid w:val="00736363"/>
    <w:rsid w:val="00736786"/>
    <w:rsid w:val="00736B4E"/>
    <w:rsid w:val="00737AC2"/>
    <w:rsid w:val="00740618"/>
    <w:rsid w:val="00741844"/>
    <w:rsid w:val="00741904"/>
    <w:rsid w:val="0074231B"/>
    <w:rsid w:val="007425AD"/>
    <w:rsid w:val="007426D0"/>
    <w:rsid w:val="00742DB4"/>
    <w:rsid w:val="00742E2A"/>
    <w:rsid w:val="00742FE7"/>
    <w:rsid w:val="00743212"/>
    <w:rsid w:val="0074333D"/>
    <w:rsid w:val="007434D4"/>
    <w:rsid w:val="0074370B"/>
    <w:rsid w:val="00744449"/>
    <w:rsid w:val="00744825"/>
    <w:rsid w:val="00745055"/>
    <w:rsid w:val="007452C6"/>
    <w:rsid w:val="00745A95"/>
    <w:rsid w:val="00746200"/>
    <w:rsid w:val="007466B6"/>
    <w:rsid w:val="00746E0B"/>
    <w:rsid w:val="00746E0F"/>
    <w:rsid w:val="00746EED"/>
    <w:rsid w:val="0074717E"/>
    <w:rsid w:val="007474F8"/>
    <w:rsid w:val="0074756A"/>
    <w:rsid w:val="00747902"/>
    <w:rsid w:val="00747ABB"/>
    <w:rsid w:val="00747CA2"/>
    <w:rsid w:val="00747F2A"/>
    <w:rsid w:val="00750026"/>
    <w:rsid w:val="00750485"/>
    <w:rsid w:val="007506CE"/>
    <w:rsid w:val="00750F3B"/>
    <w:rsid w:val="00751473"/>
    <w:rsid w:val="00751640"/>
    <w:rsid w:val="00752BF7"/>
    <w:rsid w:val="00752CCB"/>
    <w:rsid w:val="00752D11"/>
    <w:rsid w:val="007530E5"/>
    <w:rsid w:val="00753352"/>
    <w:rsid w:val="007534B0"/>
    <w:rsid w:val="00753D17"/>
    <w:rsid w:val="0075443D"/>
    <w:rsid w:val="007545BB"/>
    <w:rsid w:val="00754739"/>
    <w:rsid w:val="00754889"/>
    <w:rsid w:val="007551C6"/>
    <w:rsid w:val="00755E28"/>
    <w:rsid w:val="00756877"/>
    <w:rsid w:val="0075699C"/>
    <w:rsid w:val="00756D8D"/>
    <w:rsid w:val="0075735D"/>
    <w:rsid w:val="00757545"/>
    <w:rsid w:val="00757F19"/>
    <w:rsid w:val="00757FF3"/>
    <w:rsid w:val="00760421"/>
    <w:rsid w:val="00760615"/>
    <w:rsid w:val="00760733"/>
    <w:rsid w:val="00760CC7"/>
    <w:rsid w:val="00760E1B"/>
    <w:rsid w:val="00761DE3"/>
    <w:rsid w:val="00761DFA"/>
    <w:rsid w:val="00761F59"/>
    <w:rsid w:val="00762579"/>
    <w:rsid w:val="007627DD"/>
    <w:rsid w:val="007627FF"/>
    <w:rsid w:val="00762A41"/>
    <w:rsid w:val="00762E5F"/>
    <w:rsid w:val="007631A6"/>
    <w:rsid w:val="007634F4"/>
    <w:rsid w:val="007635F9"/>
    <w:rsid w:val="00763A16"/>
    <w:rsid w:val="00763D83"/>
    <w:rsid w:val="0076460B"/>
    <w:rsid w:val="007652D7"/>
    <w:rsid w:val="00765475"/>
    <w:rsid w:val="00765AFD"/>
    <w:rsid w:val="007660F4"/>
    <w:rsid w:val="007660F7"/>
    <w:rsid w:val="00766333"/>
    <w:rsid w:val="007663B2"/>
    <w:rsid w:val="00766728"/>
    <w:rsid w:val="0076687F"/>
    <w:rsid w:val="00766FDD"/>
    <w:rsid w:val="00767303"/>
    <w:rsid w:val="007675C7"/>
    <w:rsid w:val="00767B77"/>
    <w:rsid w:val="0077001D"/>
    <w:rsid w:val="00770920"/>
    <w:rsid w:val="00770FC1"/>
    <w:rsid w:val="00771613"/>
    <w:rsid w:val="00771A18"/>
    <w:rsid w:val="00771A24"/>
    <w:rsid w:val="00771B5B"/>
    <w:rsid w:val="00771D05"/>
    <w:rsid w:val="007728D0"/>
    <w:rsid w:val="007729B6"/>
    <w:rsid w:val="00772BA3"/>
    <w:rsid w:val="00772C5F"/>
    <w:rsid w:val="00773A41"/>
    <w:rsid w:val="00773B3F"/>
    <w:rsid w:val="00773C88"/>
    <w:rsid w:val="0077442A"/>
    <w:rsid w:val="00774BE7"/>
    <w:rsid w:val="0077519A"/>
    <w:rsid w:val="007754E7"/>
    <w:rsid w:val="00775501"/>
    <w:rsid w:val="007758D9"/>
    <w:rsid w:val="00775922"/>
    <w:rsid w:val="00775996"/>
    <w:rsid w:val="00776309"/>
    <w:rsid w:val="00776705"/>
    <w:rsid w:val="0077675B"/>
    <w:rsid w:val="00776A87"/>
    <w:rsid w:val="00777D16"/>
    <w:rsid w:val="00777DBB"/>
    <w:rsid w:val="00777F13"/>
    <w:rsid w:val="00780076"/>
    <w:rsid w:val="007805AD"/>
    <w:rsid w:val="00780729"/>
    <w:rsid w:val="0078079F"/>
    <w:rsid w:val="00781850"/>
    <w:rsid w:val="007818B7"/>
    <w:rsid w:val="007820B6"/>
    <w:rsid w:val="007821FC"/>
    <w:rsid w:val="00782626"/>
    <w:rsid w:val="00782E23"/>
    <w:rsid w:val="007832F9"/>
    <w:rsid w:val="007835CF"/>
    <w:rsid w:val="00783A09"/>
    <w:rsid w:val="00784550"/>
    <w:rsid w:val="00784C78"/>
    <w:rsid w:val="0078550D"/>
    <w:rsid w:val="00785933"/>
    <w:rsid w:val="0078635A"/>
    <w:rsid w:val="0078657A"/>
    <w:rsid w:val="00786613"/>
    <w:rsid w:val="00787042"/>
    <w:rsid w:val="00787351"/>
    <w:rsid w:val="007874E9"/>
    <w:rsid w:val="007900C0"/>
    <w:rsid w:val="00791FE2"/>
    <w:rsid w:val="00792090"/>
    <w:rsid w:val="007925BB"/>
    <w:rsid w:val="00793027"/>
    <w:rsid w:val="00793594"/>
    <w:rsid w:val="00794344"/>
    <w:rsid w:val="00794883"/>
    <w:rsid w:val="00794D0D"/>
    <w:rsid w:val="00795582"/>
    <w:rsid w:val="00795D15"/>
    <w:rsid w:val="00795EA4"/>
    <w:rsid w:val="0079610B"/>
    <w:rsid w:val="007967E1"/>
    <w:rsid w:val="00797AAB"/>
    <w:rsid w:val="00797E00"/>
    <w:rsid w:val="00797E61"/>
    <w:rsid w:val="007A007C"/>
    <w:rsid w:val="007A092A"/>
    <w:rsid w:val="007A13F9"/>
    <w:rsid w:val="007A19E1"/>
    <w:rsid w:val="007A1C5A"/>
    <w:rsid w:val="007A23CC"/>
    <w:rsid w:val="007A2A46"/>
    <w:rsid w:val="007A3347"/>
    <w:rsid w:val="007A399E"/>
    <w:rsid w:val="007A422B"/>
    <w:rsid w:val="007A4C47"/>
    <w:rsid w:val="007A4C8B"/>
    <w:rsid w:val="007A5101"/>
    <w:rsid w:val="007A51B3"/>
    <w:rsid w:val="007A51D1"/>
    <w:rsid w:val="007A5A6A"/>
    <w:rsid w:val="007A5BCF"/>
    <w:rsid w:val="007A5FB1"/>
    <w:rsid w:val="007A6064"/>
    <w:rsid w:val="007A6E97"/>
    <w:rsid w:val="007A6ED5"/>
    <w:rsid w:val="007A719A"/>
    <w:rsid w:val="007A729D"/>
    <w:rsid w:val="007A7E47"/>
    <w:rsid w:val="007A7EAF"/>
    <w:rsid w:val="007B0CF5"/>
    <w:rsid w:val="007B143E"/>
    <w:rsid w:val="007B1505"/>
    <w:rsid w:val="007B216D"/>
    <w:rsid w:val="007B2271"/>
    <w:rsid w:val="007B24DF"/>
    <w:rsid w:val="007B463B"/>
    <w:rsid w:val="007B47D0"/>
    <w:rsid w:val="007B4A31"/>
    <w:rsid w:val="007B4BEE"/>
    <w:rsid w:val="007B4CF6"/>
    <w:rsid w:val="007B504A"/>
    <w:rsid w:val="007B5514"/>
    <w:rsid w:val="007B55D6"/>
    <w:rsid w:val="007B62A0"/>
    <w:rsid w:val="007B6373"/>
    <w:rsid w:val="007B63FB"/>
    <w:rsid w:val="007B6DA6"/>
    <w:rsid w:val="007B7043"/>
    <w:rsid w:val="007B7221"/>
    <w:rsid w:val="007B72C2"/>
    <w:rsid w:val="007B74FC"/>
    <w:rsid w:val="007B79E1"/>
    <w:rsid w:val="007B7D12"/>
    <w:rsid w:val="007C0061"/>
    <w:rsid w:val="007C1950"/>
    <w:rsid w:val="007C1B36"/>
    <w:rsid w:val="007C23C2"/>
    <w:rsid w:val="007C26BC"/>
    <w:rsid w:val="007C26E8"/>
    <w:rsid w:val="007C28AE"/>
    <w:rsid w:val="007C2C20"/>
    <w:rsid w:val="007C2DC2"/>
    <w:rsid w:val="007C2E26"/>
    <w:rsid w:val="007C37DA"/>
    <w:rsid w:val="007C3AC7"/>
    <w:rsid w:val="007C3BB1"/>
    <w:rsid w:val="007C3E2A"/>
    <w:rsid w:val="007C442F"/>
    <w:rsid w:val="007C4AC6"/>
    <w:rsid w:val="007C4D78"/>
    <w:rsid w:val="007C57BE"/>
    <w:rsid w:val="007C6273"/>
    <w:rsid w:val="007C6ACE"/>
    <w:rsid w:val="007C6D8E"/>
    <w:rsid w:val="007C6DB3"/>
    <w:rsid w:val="007C73CE"/>
    <w:rsid w:val="007C7564"/>
    <w:rsid w:val="007D097C"/>
    <w:rsid w:val="007D1126"/>
    <w:rsid w:val="007D11C4"/>
    <w:rsid w:val="007D14EE"/>
    <w:rsid w:val="007D1CC8"/>
    <w:rsid w:val="007D268F"/>
    <w:rsid w:val="007D2A92"/>
    <w:rsid w:val="007D3163"/>
    <w:rsid w:val="007D32F8"/>
    <w:rsid w:val="007D365C"/>
    <w:rsid w:val="007D367E"/>
    <w:rsid w:val="007D36E5"/>
    <w:rsid w:val="007D3952"/>
    <w:rsid w:val="007D3965"/>
    <w:rsid w:val="007D3DFF"/>
    <w:rsid w:val="007D3F0B"/>
    <w:rsid w:val="007D4845"/>
    <w:rsid w:val="007D4E6E"/>
    <w:rsid w:val="007D6051"/>
    <w:rsid w:val="007D6566"/>
    <w:rsid w:val="007D6A1E"/>
    <w:rsid w:val="007D709F"/>
    <w:rsid w:val="007D79A1"/>
    <w:rsid w:val="007D7A57"/>
    <w:rsid w:val="007E01CE"/>
    <w:rsid w:val="007E01F7"/>
    <w:rsid w:val="007E0524"/>
    <w:rsid w:val="007E0563"/>
    <w:rsid w:val="007E0EBE"/>
    <w:rsid w:val="007E1160"/>
    <w:rsid w:val="007E1CCB"/>
    <w:rsid w:val="007E2274"/>
    <w:rsid w:val="007E26AD"/>
    <w:rsid w:val="007E2775"/>
    <w:rsid w:val="007E2D77"/>
    <w:rsid w:val="007E2F40"/>
    <w:rsid w:val="007E37B0"/>
    <w:rsid w:val="007E564F"/>
    <w:rsid w:val="007E56D7"/>
    <w:rsid w:val="007E65D9"/>
    <w:rsid w:val="007E6967"/>
    <w:rsid w:val="007E6B14"/>
    <w:rsid w:val="007E6D69"/>
    <w:rsid w:val="007E700F"/>
    <w:rsid w:val="007E728E"/>
    <w:rsid w:val="007E7BF8"/>
    <w:rsid w:val="007E7E9E"/>
    <w:rsid w:val="007F0603"/>
    <w:rsid w:val="007F0AD7"/>
    <w:rsid w:val="007F17E6"/>
    <w:rsid w:val="007F1C1F"/>
    <w:rsid w:val="007F22CE"/>
    <w:rsid w:val="007F2531"/>
    <w:rsid w:val="007F25A5"/>
    <w:rsid w:val="007F2D60"/>
    <w:rsid w:val="007F37BB"/>
    <w:rsid w:val="007F3B6B"/>
    <w:rsid w:val="007F49D4"/>
    <w:rsid w:val="007F4AA8"/>
    <w:rsid w:val="007F4B85"/>
    <w:rsid w:val="007F5956"/>
    <w:rsid w:val="007F5AF5"/>
    <w:rsid w:val="007F5B78"/>
    <w:rsid w:val="007F5CD0"/>
    <w:rsid w:val="007F5DFA"/>
    <w:rsid w:val="007F6048"/>
    <w:rsid w:val="007F6204"/>
    <w:rsid w:val="007F663E"/>
    <w:rsid w:val="007F6735"/>
    <w:rsid w:val="007F6922"/>
    <w:rsid w:val="007F6C81"/>
    <w:rsid w:val="007F7951"/>
    <w:rsid w:val="007F7A2D"/>
    <w:rsid w:val="007F7AD6"/>
    <w:rsid w:val="007F7BB3"/>
    <w:rsid w:val="007F7E34"/>
    <w:rsid w:val="007F7F4F"/>
    <w:rsid w:val="008003EC"/>
    <w:rsid w:val="00801003"/>
    <w:rsid w:val="008010F2"/>
    <w:rsid w:val="00802113"/>
    <w:rsid w:val="00803B6B"/>
    <w:rsid w:val="00803C2D"/>
    <w:rsid w:val="00803C78"/>
    <w:rsid w:val="008042BA"/>
    <w:rsid w:val="0080509D"/>
    <w:rsid w:val="0080524A"/>
    <w:rsid w:val="008052E8"/>
    <w:rsid w:val="008054DF"/>
    <w:rsid w:val="00805DB9"/>
    <w:rsid w:val="00806021"/>
    <w:rsid w:val="00807207"/>
    <w:rsid w:val="008073C8"/>
    <w:rsid w:val="00807E8D"/>
    <w:rsid w:val="00807FA0"/>
    <w:rsid w:val="0081052E"/>
    <w:rsid w:val="0081089B"/>
    <w:rsid w:val="0081092F"/>
    <w:rsid w:val="00810A04"/>
    <w:rsid w:val="00810C01"/>
    <w:rsid w:val="00810C4D"/>
    <w:rsid w:val="00811563"/>
    <w:rsid w:val="008117F2"/>
    <w:rsid w:val="00811A70"/>
    <w:rsid w:val="00811AA6"/>
    <w:rsid w:val="00811B23"/>
    <w:rsid w:val="00811B6D"/>
    <w:rsid w:val="00811E8B"/>
    <w:rsid w:val="0081202E"/>
    <w:rsid w:val="008123F4"/>
    <w:rsid w:val="00812495"/>
    <w:rsid w:val="0081332B"/>
    <w:rsid w:val="008134CF"/>
    <w:rsid w:val="0081358F"/>
    <w:rsid w:val="00813BE8"/>
    <w:rsid w:val="00814449"/>
    <w:rsid w:val="00814BBF"/>
    <w:rsid w:val="00814EEC"/>
    <w:rsid w:val="00814F34"/>
    <w:rsid w:val="008159BB"/>
    <w:rsid w:val="008160AC"/>
    <w:rsid w:val="008165B9"/>
    <w:rsid w:val="0081697D"/>
    <w:rsid w:val="00817B0C"/>
    <w:rsid w:val="00817FEA"/>
    <w:rsid w:val="008202F2"/>
    <w:rsid w:val="00820FDB"/>
    <w:rsid w:val="00821631"/>
    <w:rsid w:val="00821CBF"/>
    <w:rsid w:val="0082209F"/>
    <w:rsid w:val="00822203"/>
    <w:rsid w:val="00822501"/>
    <w:rsid w:val="00822653"/>
    <w:rsid w:val="00822CA2"/>
    <w:rsid w:val="00823104"/>
    <w:rsid w:val="0082390F"/>
    <w:rsid w:val="0082408E"/>
    <w:rsid w:val="00824D40"/>
    <w:rsid w:val="00825DC2"/>
    <w:rsid w:val="00825F6E"/>
    <w:rsid w:val="00826546"/>
    <w:rsid w:val="00826C67"/>
    <w:rsid w:val="008301BE"/>
    <w:rsid w:val="00830B82"/>
    <w:rsid w:val="00830EEF"/>
    <w:rsid w:val="0083140E"/>
    <w:rsid w:val="0083181E"/>
    <w:rsid w:val="00831C6A"/>
    <w:rsid w:val="008326CD"/>
    <w:rsid w:val="0083273B"/>
    <w:rsid w:val="00832A2A"/>
    <w:rsid w:val="00832F75"/>
    <w:rsid w:val="008333C3"/>
    <w:rsid w:val="00833D2E"/>
    <w:rsid w:val="00835A3A"/>
    <w:rsid w:val="00836143"/>
    <w:rsid w:val="008361B4"/>
    <w:rsid w:val="00836202"/>
    <w:rsid w:val="00836774"/>
    <w:rsid w:val="00836B59"/>
    <w:rsid w:val="00836C6B"/>
    <w:rsid w:val="00837227"/>
    <w:rsid w:val="0083791F"/>
    <w:rsid w:val="00837B44"/>
    <w:rsid w:val="00837BFA"/>
    <w:rsid w:val="00837CED"/>
    <w:rsid w:val="00837E69"/>
    <w:rsid w:val="00837F6F"/>
    <w:rsid w:val="0084038B"/>
    <w:rsid w:val="00840DBC"/>
    <w:rsid w:val="00841A8E"/>
    <w:rsid w:val="00841CF3"/>
    <w:rsid w:val="0084272F"/>
    <w:rsid w:val="00842C87"/>
    <w:rsid w:val="00842EF1"/>
    <w:rsid w:val="00843224"/>
    <w:rsid w:val="008433FC"/>
    <w:rsid w:val="0084374C"/>
    <w:rsid w:val="00843A09"/>
    <w:rsid w:val="00843D43"/>
    <w:rsid w:val="00844A14"/>
    <w:rsid w:val="00844BDB"/>
    <w:rsid w:val="00844CE5"/>
    <w:rsid w:val="00844EDC"/>
    <w:rsid w:val="00845103"/>
    <w:rsid w:val="00845A52"/>
    <w:rsid w:val="00845D7A"/>
    <w:rsid w:val="00845FD1"/>
    <w:rsid w:val="00846A0B"/>
    <w:rsid w:val="00847246"/>
    <w:rsid w:val="00847303"/>
    <w:rsid w:val="00847754"/>
    <w:rsid w:val="0084788A"/>
    <w:rsid w:val="00847CB2"/>
    <w:rsid w:val="0084B95D"/>
    <w:rsid w:val="00850699"/>
    <w:rsid w:val="008509F4"/>
    <w:rsid w:val="00850BD9"/>
    <w:rsid w:val="0085115D"/>
    <w:rsid w:val="00851260"/>
    <w:rsid w:val="00851A89"/>
    <w:rsid w:val="00851C1E"/>
    <w:rsid w:val="00851EC0"/>
    <w:rsid w:val="00851F18"/>
    <w:rsid w:val="00852745"/>
    <w:rsid w:val="00852B19"/>
    <w:rsid w:val="00854DEB"/>
    <w:rsid w:val="0085512B"/>
    <w:rsid w:val="008551C5"/>
    <w:rsid w:val="008563FA"/>
    <w:rsid w:val="008578D8"/>
    <w:rsid w:val="00857C9E"/>
    <w:rsid w:val="00857F0F"/>
    <w:rsid w:val="008600EE"/>
    <w:rsid w:val="00860C85"/>
    <w:rsid w:val="00860F3D"/>
    <w:rsid w:val="008617B7"/>
    <w:rsid w:val="00861C1F"/>
    <w:rsid w:val="00861C56"/>
    <w:rsid w:val="008629CD"/>
    <w:rsid w:val="008632A0"/>
    <w:rsid w:val="00863B01"/>
    <w:rsid w:val="0086482F"/>
    <w:rsid w:val="00864A4C"/>
    <w:rsid w:val="00864A5A"/>
    <w:rsid w:val="00864E39"/>
    <w:rsid w:val="00864E97"/>
    <w:rsid w:val="00865577"/>
    <w:rsid w:val="00865660"/>
    <w:rsid w:val="00865A9B"/>
    <w:rsid w:val="0086607F"/>
    <w:rsid w:val="008664F3"/>
    <w:rsid w:val="0086679A"/>
    <w:rsid w:val="00866888"/>
    <w:rsid w:val="00866ADB"/>
    <w:rsid w:val="00866AE7"/>
    <w:rsid w:val="008670E1"/>
    <w:rsid w:val="00867311"/>
    <w:rsid w:val="0086748D"/>
    <w:rsid w:val="00867590"/>
    <w:rsid w:val="00867806"/>
    <w:rsid w:val="00870703"/>
    <w:rsid w:val="0087141D"/>
    <w:rsid w:val="00871586"/>
    <w:rsid w:val="008719F9"/>
    <w:rsid w:val="00871A09"/>
    <w:rsid w:val="00871CB3"/>
    <w:rsid w:val="00871DF6"/>
    <w:rsid w:val="008721A1"/>
    <w:rsid w:val="00872870"/>
    <w:rsid w:val="00872883"/>
    <w:rsid w:val="00872890"/>
    <w:rsid w:val="0087339F"/>
    <w:rsid w:val="008736D4"/>
    <w:rsid w:val="00873A9E"/>
    <w:rsid w:val="008743C7"/>
    <w:rsid w:val="008746C1"/>
    <w:rsid w:val="0087478B"/>
    <w:rsid w:val="0087496B"/>
    <w:rsid w:val="00874B1E"/>
    <w:rsid w:val="00874FF5"/>
    <w:rsid w:val="0087506C"/>
    <w:rsid w:val="008755EE"/>
    <w:rsid w:val="008757D6"/>
    <w:rsid w:val="00876150"/>
    <w:rsid w:val="00876202"/>
    <w:rsid w:val="00876235"/>
    <w:rsid w:val="008769AC"/>
    <w:rsid w:val="008772CE"/>
    <w:rsid w:val="008773C9"/>
    <w:rsid w:val="00880645"/>
    <w:rsid w:val="00880D21"/>
    <w:rsid w:val="00880DEC"/>
    <w:rsid w:val="00880EA9"/>
    <w:rsid w:val="00881008"/>
    <w:rsid w:val="008814E1"/>
    <w:rsid w:val="008818B5"/>
    <w:rsid w:val="00882027"/>
    <w:rsid w:val="00882F08"/>
    <w:rsid w:val="0088368E"/>
    <w:rsid w:val="0088379C"/>
    <w:rsid w:val="008841CF"/>
    <w:rsid w:val="00884458"/>
    <w:rsid w:val="008844AE"/>
    <w:rsid w:val="00885097"/>
    <w:rsid w:val="008854D5"/>
    <w:rsid w:val="008854DF"/>
    <w:rsid w:val="0088567C"/>
    <w:rsid w:val="00885F4C"/>
    <w:rsid w:val="00887495"/>
    <w:rsid w:val="008878F5"/>
    <w:rsid w:val="008879B6"/>
    <w:rsid w:val="00887D59"/>
    <w:rsid w:val="00887FAD"/>
    <w:rsid w:val="008903DE"/>
    <w:rsid w:val="0089070C"/>
    <w:rsid w:val="00890763"/>
    <w:rsid w:val="008908CE"/>
    <w:rsid w:val="00890EF0"/>
    <w:rsid w:val="008914F9"/>
    <w:rsid w:val="00891793"/>
    <w:rsid w:val="00891A6D"/>
    <w:rsid w:val="00892098"/>
    <w:rsid w:val="008922DA"/>
    <w:rsid w:val="00892A78"/>
    <w:rsid w:val="00892F7D"/>
    <w:rsid w:val="00892FC6"/>
    <w:rsid w:val="008935C7"/>
    <w:rsid w:val="00893691"/>
    <w:rsid w:val="008939BB"/>
    <w:rsid w:val="008945D9"/>
    <w:rsid w:val="008951BF"/>
    <w:rsid w:val="0089574A"/>
    <w:rsid w:val="00895AEC"/>
    <w:rsid w:val="00895F92"/>
    <w:rsid w:val="0089655A"/>
    <w:rsid w:val="008969B9"/>
    <w:rsid w:val="00896EB4"/>
    <w:rsid w:val="0089739A"/>
    <w:rsid w:val="00897454"/>
    <w:rsid w:val="008976E3"/>
    <w:rsid w:val="00897D07"/>
    <w:rsid w:val="00897FC3"/>
    <w:rsid w:val="008A0953"/>
    <w:rsid w:val="008A0BD2"/>
    <w:rsid w:val="008A1047"/>
    <w:rsid w:val="008A12C4"/>
    <w:rsid w:val="008A174F"/>
    <w:rsid w:val="008A1F65"/>
    <w:rsid w:val="008A20E3"/>
    <w:rsid w:val="008A2156"/>
    <w:rsid w:val="008A25EF"/>
    <w:rsid w:val="008A29E6"/>
    <w:rsid w:val="008A321D"/>
    <w:rsid w:val="008A3897"/>
    <w:rsid w:val="008A3A2E"/>
    <w:rsid w:val="008A408C"/>
    <w:rsid w:val="008A4484"/>
    <w:rsid w:val="008A493A"/>
    <w:rsid w:val="008A4B0F"/>
    <w:rsid w:val="008A5332"/>
    <w:rsid w:val="008A53E0"/>
    <w:rsid w:val="008A5A20"/>
    <w:rsid w:val="008A5B3F"/>
    <w:rsid w:val="008A5ED5"/>
    <w:rsid w:val="008A5EE0"/>
    <w:rsid w:val="008A696B"/>
    <w:rsid w:val="008A6AAA"/>
    <w:rsid w:val="008A6D1F"/>
    <w:rsid w:val="008A6DEC"/>
    <w:rsid w:val="008A6F70"/>
    <w:rsid w:val="008A6FB5"/>
    <w:rsid w:val="008A772B"/>
    <w:rsid w:val="008A77DD"/>
    <w:rsid w:val="008B01BC"/>
    <w:rsid w:val="008B0347"/>
    <w:rsid w:val="008B03F9"/>
    <w:rsid w:val="008B08B3"/>
    <w:rsid w:val="008B0B70"/>
    <w:rsid w:val="008B1611"/>
    <w:rsid w:val="008B1735"/>
    <w:rsid w:val="008B1779"/>
    <w:rsid w:val="008B23BE"/>
    <w:rsid w:val="008B2469"/>
    <w:rsid w:val="008B27B2"/>
    <w:rsid w:val="008B2842"/>
    <w:rsid w:val="008B2E77"/>
    <w:rsid w:val="008B30D3"/>
    <w:rsid w:val="008B32A5"/>
    <w:rsid w:val="008B42F7"/>
    <w:rsid w:val="008B44C9"/>
    <w:rsid w:val="008B5A4A"/>
    <w:rsid w:val="008B5D18"/>
    <w:rsid w:val="008B6717"/>
    <w:rsid w:val="008B6ECC"/>
    <w:rsid w:val="008B726E"/>
    <w:rsid w:val="008B7ADA"/>
    <w:rsid w:val="008C0DE0"/>
    <w:rsid w:val="008C172F"/>
    <w:rsid w:val="008C1929"/>
    <w:rsid w:val="008C1C80"/>
    <w:rsid w:val="008C24EB"/>
    <w:rsid w:val="008C25DB"/>
    <w:rsid w:val="008C2CF9"/>
    <w:rsid w:val="008C3494"/>
    <w:rsid w:val="008C35E4"/>
    <w:rsid w:val="008C4061"/>
    <w:rsid w:val="008C41A4"/>
    <w:rsid w:val="008C4D74"/>
    <w:rsid w:val="008C4F2C"/>
    <w:rsid w:val="008C4F4D"/>
    <w:rsid w:val="008C4FB7"/>
    <w:rsid w:val="008C57B3"/>
    <w:rsid w:val="008C5B78"/>
    <w:rsid w:val="008C5BD4"/>
    <w:rsid w:val="008C5DC1"/>
    <w:rsid w:val="008C6606"/>
    <w:rsid w:val="008C75A7"/>
    <w:rsid w:val="008C7783"/>
    <w:rsid w:val="008D03E2"/>
    <w:rsid w:val="008D1119"/>
    <w:rsid w:val="008D1856"/>
    <w:rsid w:val="008D24FD"/>
    <w:rsid w:val="008D28B3"/>
    <w:rsid w:val="008D2E2F"/>
    <w:rsid w:val="008D3A6F"/>
    <w:rsid w:val="008D3FEE"/>
    <w:rsid w:val="008D40A4"/>
    <w:rsid w:val="008D464E"/>
    <w:rsid w:val="008D4A85"/>
    <w:rsid w:val="008D4DC9"/>
    <w:rsid w:val="008D50A9"/>
    <w:rsid w:val="008D537F"/>
    <w:rsid w:val="008D5476"/>
    <w:rsid w:val="008D5753"/>
    <w:rsid w:val="008D5DAD"/>
    <w:rsid w:val="008D65FC"/>
    <w:rsid w:val="008D6979"/>
    <w:rsid w:val="008D6A3D"/>
    <w:rsid w:val="008D71D1"/>
    <w:rsid w:val="008D7608"/>
    <w:rsid w:val="008E05C0"/>
    <w:rsid w:val="008E1A2E"/>
    <w:rsid w:val="008E1C26"/>
    <w:rsid w:val="008E1E75"/>
    <w:rsid w:val="008E29DA"/>
    <w:rsid w:val="008E327A"/>
    <w:rsid w:val="008E3990"/>
    <w:rsid w:val="008E3E0B"/>
    <w:rsid w:val="008E3E33"/>
    <w:rsid w:val="008E43B1"/>
    <w:rsid w:val="008E4648"/>
    <w:rsid w:val="008E4A37"/>
    <w:rsid w:val="008E4F3B"/>
    <w:rsid w:val="008E5853"/>
    <w:rsid w:val="008E58B3"/>
    <w:rsid w:val="008E5A22"/>
    <w:rsid w:val="008E5ADB"/>
    <w:rsid w:val="008E5DA5"/>
    <w:rsid w:val="008E5DC5"/>
    <w:rsid w:val="008E5DD2"/>
    <w:rsid w:val="008E5E6D"/>
    <w:rsid w:val="008E60A6"/>
    <w:rsid w:val="008E6291"/>
    <w:rsid w:val="008E679A"/>
    <w:rsid w:val="008E6846"/>
    <w:rsid w:val="008E6AFD"/>
    <w:rsid w:val="008E74AB"/>
    <w:rsid w:val="008E74F5"/>
    <w:rsid w:val="008E79D8"/>
    <w:rsid w:val="008E7E93"/>
    <w:rsid w:val="008E7F1D"/>
    <w:rsid w:val="008F0076"/>
    <w:rsid w:val="008F0C8B"/>
    <w:rsid w:val="008F1435"/>
    <w:rsid w:val="008F1621"/>
    <w:rsid w:val="008F1666"/>
    <w:rsid w:val="008F1B78"/>
    <w:rsid w:val="008F1CA4"/>
    <w:rsid w:val="008F1F89"/>
    <w:rsid w:val="008F21C9"/>
    <w:rsid w:val="008F2979"/>
    <w:rsid w:val="008F34A0"/>
    <w:rsid w:val="008F3649"/>
    <w:rsid w:val="008F3E88"/>
    <w:rsid w:val="008F4591"/>
    <w:rsid w:val="008F4C7C"/>
    <w:rsid w:val="008F4D1B"/>
    <w:rsid w:val="008F4E00"/>
    <w:rsid w:val="008F52BA"/>
    <w:rsid w:val="008F537A"/>
    <w:rsid w:val="008F53BC"/>
    <w:rsid w:val="008F5F6B"/>
    <w:rsid w:val="008F674B"/>
    <w:rsid w:val="008F68ED"/>
    <w:rsid w:val="008F6D50"/>
    <w:rsid w:val="008F6FD3"/>
    <w:rsid w:val="008F72D3"/>
    <w:rsid w:val="008F731F"/>
    <w:rsid w:val="008F7EBC"/>
    <w:rsid w:val="0090055D"/>
    <w:rsid w:val="00900750"/>
    <w:rsid w:val="00900AC6"/>
    <w:rsid w:val="00900C35"/>
    <w:rsid w:val="00900C90"/>
    <w:rsid w:val="009017E7"/>
    <w:rsid w:val="009027DA"/>
    <w:rsid w:val="009028B7"/>
    <w:rsid w:val="00903C3F"/>
    <w:rsid w:val="00903FA2"/>
    <w:rsid w:val="00904148"/>
    <w:rsid w:val="009046CA"/>
    <w:rsid w:val="009049CC"/>
    <w:rsid w:val="00904C7C"/>
    <w:rsid w:val="00905917"/>
    <w:rsid w:val="00905994"/>
    <w:rsid w:val="00905D47"/>
    <w:rsid w:val="00905D66"/>
    <w:rsid w:val="0090742A"/>
    <w:rsid w:val="0090762A"/>
    <w:rsid w:val="00907675"/>
    <w:rsid w:val="00907C90"/>
    <w:rsid w:val="00907E42"/>
    <w:rsid w:val="00910577"/>
    <w:rsid w:val="00910E56"/>
    <w:rsid w:val="0091183C"/>
    <w:rsid w:val="009119AA"/>
    <w:rsid w:val="00911B95"/>
    <w:rsid w:val="00911FCD"/>
    <w:rsid w:val="00912311"/>
    <w:rsid w:val="009125AC"/>
    <w:rsid w:val="009127E5"/>
    <w:rsid w:val="00912A0B"/>
    <w:rsid w:val="00912C61"/>
    <w:rsid w:val="009132B4"/>
    <w:rsid w:val="0091348F"/>
    <w:rsid w:val="00913853"/>
    <w:rsid w:val="0091488F"/>
    <w:rsid w:val="00914E4E"/>
    <w:rsid w:val="00914F94"/>
    <w:rsid w:val="009154C1"/>
    <w:rsid w:val="00915C37"/>
    <w:rsid w:val="00916669"/>
    <w:rsid w:val="009166D4"/>
    <w:rsid w:val="009169FC"/>
    <w:rsid w:val="00916BCB"/>
    <w:rsid w:val="00917103"/>
    <w:rsid w:val="009171F7"/>
    <w:rsid w:val="00917B57"/>
    <w:rsid w:val="00917B66"/>
    <w:rsid w:val="00917C3E"/>
    <w:rsid w:val="0092039C"/>
    <w:rsid w:val="009209C8"/>
    <w:rsid w:val="00920F7E"/>
    <w:rsid w:val="00921124"/>
    <w:rsid w:val="00921158"/>
    <w:rsid w:val="0092176E"/>
    <w:rsid w:val="00921B97"/>
    <w:rsid w:val="0092280A"/>
    <w:rsid w:val="00922A90"/>
    <w:rsid w:val="00922B0F"/>
    <w:rsid w:val="00924112"/>
    <w:rsid w:val="009245DB"/>
    <w:rsid w:val="009249F7"/>
    <w:rsid w:val="00924E82"/>
    <w:rsid w:val="00925273"/>
    <w:rsid w:val="009256FF"/>
    <w:rsid w:val="00925FC9"/>
    <w:rsid w:val="00926882"/>
    <w:rsid w:val="00926EE4"/>
    <w:rsid w:val="0092734A"/>
    <w:rsid w:val="009276ED"/>
    <w:rsid w:val="00927A87"/>
    <w:rsid w:val="00927B05"/>
    <w:rsid w:val="00927EA8"/>
    <w:rsid w:val="00927FE9"/>
    <w:rsid w:val="009304E8"/>
    <w:rsid w:val="00931598"/>
    <w:rsid w:val="00931786"/>
    <w:rsid w:val="00931823"/>
    <w:rsid w:val="009319EA"/>
    <w:rsid w:val="00931CE2"/>
    <w:rsid w:val="0093341D"/>
    <w:rsid w:val="00933674"/>
    <w:rsid w:val="00933A67"/>
    <w:rsid w:val="00933C40"/>
    <w:rsid w:val="0093513E"/>
    <w:rsid w:val="009352C9"/>
    <w:rsid w:val="00935805"/>
    <w:rsid w:val="00935C2D"/>
    <w:rsid w:val="00935E86"/>
    <w:rsid w:val="0093776B"/>
    <w:rsid w:val="0093794C"/>
    <w:rsid w:val="009405C3"/>
    <w:rsid w:val="00941427"/>
    <w:rsid w:val="0094164D"/>
    <w:rsid w:val="009419EB"/>
    <w:rsid w:val="00941EA4"/>
    <w:rsid w:val="009423B7"/>
    <w:rsid w:val="0094285B"/>
    <w:rsid w:val="00942ADD"/>
    <w:rsid w:val="00942BC3"/>
    <w:rsid w:val="00942FFF"/>
    <w:rsid w:val="009434E4"/>
    <w:rsid w:val="00943BBA"/>
    <w:rsid w:val="00943D94"/>
    <w:rsid w:val="00943E9A"/>
    <w:rsid w:val="00943F0D"/>
    <w:rsid w:val="0094441E"/>
    <w:rsid w:val="0094476E"/>
    <w:rsid w:val="009457F4"/>
    <w:rsid w:val="0094592D"/>
    <w:rsid w:val="00945A8F"/>
    <w:rsid w:val="00945D80"/>
    <w:rsid w:val="00945D85"/>
    <w:rsid w:val="009460C3"/>
    <w:rsid w:val="00946420"/>
    <w:rsid w:val="00946486"/>
    <w:rsid w:val="009465D2"/>
    <w:rsid w:val="0094692F"/>
    <w:rsid w:val="00947402"/>
    <w:rsid w:val="009474CA"/>
    <w:rsid w:val="009500D3"/>
    <w:rsid w:val="009502CA"/>
    <w:rsid w:val="009503FA"/>
    <w:rsid w:val="00950970"/>
    <w:rsid w:val="00950A19"/>
    <w:rsid w:val="00950EB0"/>
    <w:rsid w:val="0095130B"/>
    <w:rsid w:val="00951655"/>
    <w:rsid w:val="00951E2F"/>
    <w:rsid w:val="00952072"/>
    <w:rsid w:val="009521F3"/>
    <w:rsid w:val="00952D24"/>
    <w:rsid w:val="00952E83"/>
    <w:rsid w:val="00954291"/>
    <w:rsid w:val="009549FE"/>
    <w:rsid w:val="00954FDD"/>
    <w:rsid w:val="00955234"/>
    <w:rsid w:val="00955A08"/>
    <w:rsid w:val="0095611E"/>
    <w:rsid w:val="009561C1"/>
    <w:rsid w:val="0095693D"/>
    <w:rsid w:val="00956EFF"/>
    <w:rsid w:val="0095725E"/>
    <w:rsid w:val="009604D0"/>
    <w:rsid w:val="0096093E"/>
    <w:rsid w:val="00960FF3"/>
    <w:rsid w:val="00961232"/>
    <w:rsid w:val="00961C8E"/>
    <w:rsid w:val="00961CFF"/>
    <w:rsid w:val="00961DEA"/>
    <w:rsid w:val="00962105"/>
    <w:rsid w:val="009623E9"/>
    <w:rsid w:val="009625D3"/>
    <w:rsid w:val="00962618"/>
    <w:rsid w:val="0096317B"/>
    <w:rsid w:val="009636C3"/>
    <w:rsid w:val="00963B2B"/>
    <w:rsid w:val="00963C8D"/>
    <w:rsid w:val="009640A5"/>
    <w:rsid w:val="009648E4"/>
    <w:rsid w:val="00964E9D"/>
    <w:rsid w:val="00964ED9"/>
    <w:rsid w:val="00965870"/>
    <w:rsid w:val="00966AD4"/>
    <w:rsid w:val="00966DB9"/>
    <w:rsid w:val="00966E19"/>
    <w:rsid w:val="00966F55"/>
    <w:rsid w:val="0096766D"/>
    <w:rsid w:val="009677E0"/>
    <w:rsid w:val="00967BBA"/>
    <w:rsid w:val="00967ED4"/>
    <w:rsid w:val="009703FE"/>
    <w:rsid w:val="00970794"/>
    <w:rsid w:val="00971CA2"/>
    <w:rsid w:val="00971E76"/>
    <w:rsid w:val="00972076"/>
    <w:rsid w:val="009722CC"/>
    <w:rsid w:val="0097256B"/>
    <w:rsid w:val="009725EB"/>
    <w:rsid w:val="00972A3D"/>
    <w:rsid w:val="009735BD"/>
    <w:rsid w:val="009739F3"/>
    <w:rsid w:val="00973CC4"/>
    <w:rsid w:val="00974012"/>
    <w:rsid w:val="009742B4"/>
    <w:rsid w:val="0097482A"/>
    <w:rsid w:val="00974B1D"/>
    <w:rsid w:val="00974C55"/>
    <w:rsid w:val="009754E1"/>
    <w:rsid w:val="00975800"/>
    <w:rsid w:val="00975B56"/>
    <w:rsid w:val="00975B94"/>
    <w:rsid w:val="00975E81"/>
    <w:rsid w:val="00975FB6"/>
    <w:rsid w:val="009764F3"/>
    <w:rsid w:val="0097658D"/>
    <w:rsid w:val="0097684A"/>
    <w:rsid w:val="00976F41"/>
    <w:rsid w:val="00976FD3"/>
    <w:rsid w:val="009772D3"/>
    <w:rsid w:val="009773E1"/>
    <w:rsid w:val="0097772A"/>
    <w:rsid w:val="00977848"/>
    <w:rsid w:val="00977CC7"/>
    <w:rsid w:val="00977F22"/>
    <w:rsid w:val="00980028"/>
    <w:rsid w:val="009801F8"/>
    <w:rsid w:val="00980774"/>
    <w:rsid w:val="0098139C"/>
    <w:rsid w:val="00981493"/>
    <w:rsid w:val="009814E4"/>
    <w:rsid w:val="00981F7C"/>
    <w:rsid w:val="009828E3"/>
    <w:rsid w:val="00982956"/>
    <w:rsid w:val="0098305C"/>
    <w:rsid w:val="009834C3"/>
    <w:rsid w:val="00983AA0"/>
    <w:rsid w:val="00984060"/>
    <w:rsid w:val="0098436C"/>
    <w:rsid w:val="009843B8"/>
    <w:rsid w:val="00984947"/>
    <w:rsid w:val="00984DBA"/>
    <w:rsid w:val="00984E01"/>
    <w:rsid w:val="00984FB6"/>
    <w:rsid w:val="0098505B"/>
    <w:rsid w:val="00985533"/>
    <w:rsid w:val="00985A50"/>
    <w:rsid w:val="00985F7F"/>
    <w:rsid w:val="00986026"/>
    <w:rsid w:val="00986421"/>
    <w:rsid w:val="0098666E"/>
    <w:rsid w:val="00986750"/>
    <w:rsid w:val="009869F6"/>
    <w:rsid w:val="00986E86"/>
    <w:rsid w:val="009871CC"/>
    <w:rsid w:val="00987304"/>
    <w:rsid w:val="00987518"/>
    <w:rsid w:val="009875FC"/>
    <w:rsid w:val="00987AE5"/>
    <w:rsid w:val="00990864"/>
    <w:rsid w:val="00990CBC"/>
    <w:rsid w:val="00991A11"/>
    <w:rsid w:val="009920B8"/>
    <w:rsid w:val="00992829"/>
    <w:rsid w:val="00992A92"/>
    <w:rsid w:val="00992AD7"/>
    <w:rsid w:val="00992B57"/>
    <w:rsid w:val="009933EC"/>
    <w:rsid w:val="0099352E"/>
    <w:rsid w:val="0099364C"/>
    <w:rsid w:val="00993D04"/>
    <w:rsid w:val="00993E34"/>
    <w:rsid w:val="00993EAC"/>
    <w:rsid w:val="009942DF"/>
    <w:rsid w:val="00994472"/>
    <w:rsid w:val="009946AB"/>
    <w:rsid w:val="009947E3"/>
    <w:rsid w:val="00994883"/>
    <w:rsid w:val="00994DB0"/>
    <w:rsid w:val="00995165"/>
    <w:rsid w:val="00995466"/>
    <w:rsid w:val="00996104"/>
    <w:rsid w:val="0099623D"/>
    <w:rsid w:val="00996B98"/>
    <w:rsid w:val="00997215"/>
    <w:rsid w:val="009972DE"/>
    <w:rsid w:val="0099759D"/>
    <w:rsid w:val="00997A8D"/>
    <w:rsid w:val="009A0859"/>
    <w:rsid w:val="009A0896"/>
    <w:rsid w:val="009A0A82"/>
    <w:rsid w:val="009A12F4"/>
    <w:rsid w:val="009A1625"/>
    <w:rsid w:val="009A1673"/>
    <w:rsid w:val="009A1A50"/>
    <w:rsid w:val="009A2065"/>
    <w:rsid w:val="009A252C"/>
    <w:rsid w:val="009A26D6"/>
    <w:rsid w:val="009A2C14"/>
    <w:rsid w:val="009A3035"/>
    <w:rsid w:val="009A304B"/>
    <w:rsid w:val="009A3173"/>
    <w:rsid w:val="009A3251"/>
    <w:rsid w:val="009A3358"/>
    <w:rsid w:val="009A3DC7"/>
    <w:rsid w:val="009A3E7E"/>
    <w:rsid w:val="009A40D0"/>
    <w:rsid w:val="009A58CD"/>
    <w:rsid w:val="009A629E"/>
    <w:rsid w:val="009A69BA"/>
    <w:rsid w:val="009A6B22"/>
    <w:rsid w:val="009A6C63"/>
    <w:rsid w:val="009A70F6"/>
    <w:rsid w:val="009A7289"/>
    <w:rsid w:val="009A74D9"/>
    <w:rsid w:val="009A7518"/>
    <w:rsid w:val="009A7702"/>
    <w:rsid w:val="009B000C"/>
    <w:rsid w:val="009B03CA"/>
    <w:rsid w:val="009B0643"/>
    <w:rsid w:val="009B0975"/>
    <w:rsid w:val="009B0A1C"/>
    <w:rsid w:val="009B0C9B"/>
    <w:rsid w:val="009B0E16"/>
    <w:rsid w:val="009B1534"/>
    <w:rsid w:val="009B1ED7"/>
    <w:rsid w:val="009B27E8"/>
    <w:rsid w:val="009B2AF0"/>
    <w:rsid w:val="009B2E2A"/>
    <w:rsid w:val="009B2EFC"/>
    <w:rsid w:val="009B2F12"/>
    <w:rsid w:val="009B2F60"/>
    <w:rsid w:val="009B2FDC"/>
    <w:rsid w:val="009B3498"/>
    <w:rsid w:val="009B3CBA"/>
    <w:rsid w:val="009B3E3B"/>
    <w:rsid w:val="009B48FE"/>
    <w:rsid w:val="009B4FF0"/>
    <w:rsid w:val="009B5151"/>
    <w:rsid w:val="009B52A3"/>
    <w:rsid w:val="009B55D2"/>
    <w:rsid w:val="009B5CE6"/>
    <w:rsid w:val="009B5F4A"/>
    <w:rsid w:val="009B61BD"/>
    <w:rsid w:val="009B65A2"/>
    <w:rsid w:val="009B6790"/>
    <w:rsid w:val="009B6968"/>
    <w:rsid w:val="009B698D"/>
    <w:rsid w:val="009B6B29"/>
    <w:rsid w:val="009B6C96"/>
    <w:rsid w:val="009B6D40"/>
    <w:rsid w:val="009B6F42"/>
    <w:rsid w:val="009B6FB9"/>
    <w:rsid w:val="009B703C"/>
    <w:rsid w:val="009B7217"/>
    <w:rsid w:val="009B75FC"/>
    <w:rsid w:val="009B7844"/>
    <w:rsid w:val="009B78A6"/>
    <w:rsid w:val="009C0054"/>
    <w:rsid w:val="009C0A5F"/>
    <w:rsid w:val="009C1127"/>
    <w:rsid w:val="009C141D"/>
    <w:rsid w:val="009C1665"/>
    <w:rsid w:val="009C1E6A"/>
    <w:rsid w:val="009C2282"/>
    <w:rsid w:val="009C3358"/>
    <w:rsid w:val="009C418B"/>
    <w:rsid w:val="009C44C1"/>
    <w:rsid w:val="009C4945"/>
    <w:rsid w:val="009C4A11"/>
    <w:rsid w:val="009C4CB1"/>
    <w:rsid w:val="009C56BB"/>
    <w:rsid w:val="009C57B9"/>
    <w:rsid w:val="009C5E1F"/>
    <w:rsid w:val="009C6D98"/>
    <w:rsid w:val="009C725B"/>
    <w:rsid w:val="009C77DD"/>
    <w:rsid w:val="009C7A87"/>
    <w:rsid w:val="009C7DA0"/>
    <w:rsid w:val="009D0117"/>
    <w:rsid w:val="009D085D"/>
    <w:rsid w:val="009D0A2D"/>
    <w:rsid w:val="009D0CA5"/>
    <w:rsid w:val="009D0D2B"/>
    <w:rsid w:val="009D1019"/>
    <w:rsid w:val="009D1192"/>
    <w:rsid w:val="009D14FD"/>
    <w:rsid w:val="009D1D24"/>
    <w:rsid w:val="009D1EC4"/>
    <w:rsid w:val="009D2CEF"/>
    <w:rsid w:val="009D2DC0"/>
    <w:rsid w:val="009D3A52"/>
    <w:rsid w:val="009D3C5A"/>
    <w:rsid w:val="009D41AB"/>
    <w:rsid w:val="009D4B5A"/>
    <w:rsid w:val="009D4F11"/>
    <w:rsid w:val="009D532E"/>
    <w:rsid w:val="009D556B"/>
    <w:rsid w:val="009D55F1"/>
    <w:rsid w:val="009D5B7E"/>
    <w:rsid w:val="009D618C"/>
    <w:rsid w:val="009D6DA2"/>
    <w:rsid w:val="009D71F6"/>
    <w:rsid w:val="009D7450"/>
    <w:rsid w:val="009D74AA"/>
    <w:rsid w:val="009D74AF"/>
    <w:rsid w:val="009D77A5"/>
    <w:rsid w:val="009D7F8D"/>
    <w:rsid w:val="009E00CB"/>
    <w:rsid w:val="009E015E"/>
    <w:rsid w:val="009E029C"/>
    <w:rsid w:val="009E09A1"/>
    <w:rsid w:val="009E0B79"/>
    <w:rsid w:val="009E0C10"/>
    <w:rsid w:val="009E1596"/>
    <w:rsid w:val="009E17A7"/>
    <w:rsid w:val="009E22FF"/>
    <w:rsid w:val="009E2376"/>
    <w:rsid w:val="009E2A85"/>
    <w:rsid w:val="009E2B5C"/>
    <w:rsid w:val="009E2BE1"/>
    <w:rsid w:val="009E2EF9"/>
    <w:rsid w:val="009E3EFC"/>
    <w:rsid w:val="009E426D"/>
    <w:rsid w:val="009E4862"/>
    <w:rsid w:val="009E48D5"/>
    <w:rsid w:val="009E4A3C"/>
    <w:rsid w:val="009E4F11"/>
    <w:rsid w:val="009E5928"/>
    <w:rsid w:val="009E5D99"/>
    <w:rsid w:val="009E60AD"/>
    <w:rsid w:val="009E623E"/>
    <w:rsid w:val="009E6447"/>
    <w:rsid w:val="009E6515"/>
    <w:rsid w:val="009E671F"/>
    <w:rsid w:val="009E6AE1"/>
    <w:rsid w:val="009E76DE"/>
    <w:rsid w:val="009E7CE3"/>
    <w:rsid w:val="009E7E08"/>
    <w:rsid w:val="009F0369"/>
    <w:rsid w:val="009F0385"/>
    <w:rsid w:val="009F074F"/>
    <w:rsid w:val="009F08A7"/>
    <w:rsid w:val="009F0A8D"/>
    <w:rsid w:val="009F0B3C"/>
    <w:rsid w:val="009F2605"/>
    <w:rsid w:val="009F2B65"/>
    <w:rsid w:val="009F3377"/>
    <w:rsid w:val="009F36D8"/>
    <w:rsid w:val="009F37FF"/>
    <w:rsid w:val="009F3FEC"/>
    <w:rsid w:val="009F43E4"/>
    <w:rsid w:val="009F45A1"/>
    <w:rsid w:val="009F50E6"/>
    <w:rsid w:val="009F55BD"/>
    <w:rsid w:val="009F5605"/>
    <w:rsid w:val="009F57C5"/>
    <w:rsid w:val="009F5862"/>
    <w:rsid w:val="009F5BBB"/>
    <w:rsid w:val="009F5CB3"/>
    <w:rsid w:val="009F5FB5"/>
    <w:rsid w:val="009F63DD"/>
    <w:rsid w:val="009F65FF"/>
    <w:rsid w:val="009F6ED7"/>
    <w:rsid w:val="009F7007"/>
    <w:rsid w:val="009F700E"/>
    <w:rsid w:val="009F75C3"/>
    <w:rsid w:val="009F7C66"/>
    <w:rsid w:val="009F7D37"/>
    <w:rsid w:val="009F7F3F"/>
    <w:rsid w:val="00A005BE"/>
    <w:rsid w:val="00A00F0A"/>
    <w:rsid w:val="00A0101E"/>
    <w:rsid w:val="00A01513"/>
    <w:rsid w:val="00A01C2A"/>
    <w:rsid w:val="00A0205B"/>
    <w:rsid w:val="00A021A9"/>
    <w:rsid w:val="00A027B8"/>
    <w:rsid w:val="00A0297A"/>
    <w:rsid w:val="00A02E93"/>
    <w:rsid w:val="00A03075"/>
    <w:rsid w:val="00A031F1"/>
    <w:rsid w:val="00A0327C"/>
    <w:rsid w:val="00A0416B"/>
    <w:rsid w:val="00A05221"/>
    <w:rsid w:val="00A05717"/>
    <w:rsid w:val="00A073DD"/>
    <w:rsid w:val="00A076AC"/>
    <w:rsid w:val="00A10506"/>
    <w:rsid w:val="00A10CFF"/>
    <w:rsid w:val="00A10D2D"/>
    <w:rsid w:val="00A1102D"/>
    <w:rsid w:val="00A11102"/>
    <w:rsid w:val="00A112B2"/>
    <w:rsid w:val="00A11C06"/>
    <w:rsid w:val="00A11C5E"/>
    <w:rsid w:val="00A11C69"/>
    <w:rsid w:val="00A1265B"/>
    <w:rsid w:val="00A12978"/>
    <w:rsid w:val="00A12F79"/>
    <w:rsid w:val="00A13C80"/>
    <w:rsid w:val="00A14576"/>
    <w:rsid w:val="00A14DD8"/>
    <w:rsid w:val="00A151D0"/>
    <w:rsid w:val="00A15559"/>
    <w:rsid w:val="00A15633"/>
    <w:rsid w:val="00A1565D"/>
    <w:rsid w:val="00A15EE1"/>
    <w:rsid w:val="00A17357"/>
    <w:rsid w:val="00A1755E"/>
    <w:rsid w:val="00A175E7"/>
    <w:rsid w:val="00A17778"/>
    <w:rsid w:val="00A177B7"/>
    <w:rsid w:val="00A17857"/>
    <w:rsid w:val="00A20136"/>
    <w:rsid w:val="00A20206"/>
    <w:rsid w:val="00A20ED1"/>
    <w:rsid w:val="00A21892"/>
    <w:rsid w:val="00A21BD6"/>
    <w:rsid w:val="00A2236C"/>
    <w:rsid w:val="00A22730"/>
    <w:rsid w:val="00A232BA"/>
    <w:rsid w:val="00A23830"/>
    <w:rsid w:val="00A23A3A"/>
    <w:rsid w:val="00A23D34"/>
    <w:rsid w:val="00A23E6D"/>
    <w:rsid w:val="00A2525C"/>
    <w:rsid w:val="00A2599A"/>
    <w:rsid w:val="00A26757"/>
    <w:rsid w:val="00A26B57"/>
    <w:rsid w:val="00A26B58"/>
    <w:rsid w:val="00A26B65"/>
    <w:rsid w:val="00A26D48"/>
    <w:rsid w:val="00A273B5"/>
    <w:rsid w:val="00A27B1B"/>
    <w:rsid w:val="00A27B5B"/>
    <w:rsid w:val="00A27DC5"/>
    <w:rsid w:val="00A27E24"/>
    <w:rsid w:val="00A27ED0"/>
    <w:rsid w:val="00A3021F"/>
    <w:rsid w:val="00A30721"/>
    <w:rsid w:val="00A30905"/>
    <w:rsid w:val="00A31E15"/>
    <w:rsid w:val="00A31FC9"/>
    <w:rsid w:val="00A31FEB"/>
    <w:rsid w:val="00A320F8"/>
    <w:rsid w:val="00A329B2"/>
    <w:rsid w:val="00A32A64"/>
    <w:rsid w:val="00A33573"/>
    <w:rsid w:val="00A33705"/>
    <w:rsid w:val="00A3393E"/>
    <w:rsid w:val="00A339FF"/>
    <w:rsid w:val="00A33FF5"/>
    <w:rsid w:val="00A350FC"/>
    <w:rsid w:val="00A35299"/>
    <w:rsid w:val="00A353A4"/>
    <w:rsid w:val="00A356EC"/>
    <w:rsid w:val="00A35A0A"/>
    <w:rsid w:val="00A3611A"/>
    <w:rsid w:val="00A36381"/>
    <w:rsid w:val="00A363E3"/>
    <w:rsid w:val="00A364CC"/>
    <w:rsid w:val="00A36DDD"/>
    <w:rsid w:val="00A37534"/>
    <w:rsid w:val="00A40237"/>
    <w:rsid w:val="00A409FC"/>
    <w:rsid w:val="00A40B57"/>
    <w:rsid w:val="00A40DAD"/>
    <w:rsid w:val="00A40E21"/>
    <w:rsid w:val="00A41859"/>
    <w:rsid w:val="00A4190C"/>
    <w:rsid w:val="00A41A3B"/>
    <w:rsid w:val="00A41B9B"/>
    <w:rsid w:val="00A41D3F"/>
    <w:rsid w:val="00A41EEE"/>
    <w:rsid w:val="00A42A77"/>
    <w:rsid w:val="00A42D6C"/>
    <w:rsid w:val="00A42DCA"/>
    <w:rsid w:val="00A43188"/>
    <w:rsid w:val="00A4350B"/>
    <w:rsid w:val="00A438DE"/>
    <w:rsid w:val="00A43A4B"/>
    <w:rsid w:val="00A43D7A"/>
    <w:rsid w:val="00A4430D"/>
    <w:rsid w:val="00A4461A"/>
    <w:rsid w:val="00A4483B"/>
    <w:rsid w:val="00A448C7"/>
    <w:rsid w:val="00A45105"/>
    <w:rsid w:val="00A451F6"/>
    <w:rsid w:val="00A45220"/>
    <w:rsid w:val="00A453D0"/>
    <w:rsid w:val="00A45583"/>
    <w:rsid w:val="00A45726"/>
    <w:rsid w:val="00A45849"/>
    <w:rsid w:val="00A45D1D"/>
    <w:rsid w:val="00A45ED5"/>
    <w:rsid w:val="00A46059"/>
    <w:rsid w:val="00A461F9"/>
    <w:rsid w:val="00A46358"/>
    <w:rsid w:val="00A46B44"/>
    <w:rsid w:val="00A46D8D"/>
    <w:rsid w:val="00A47129"/>
    <w:rsid w:val="00A47462"/>
    <w:rsid w:val="00A47917"/>
    <w:rsid w:val="00A47EE9"/>
    <w:rsid w:val="00A50678"/>
    <w:rsid w:val="00A50C90"/>
    <w:rsid w:val="00A51523"/>
    <w:rsid w:val="00A51D64"/>
    <w:rsid w:val="00A51D7F"/>
    <w:rsid w:val="00A51EC9"/>
    <w:rsid w:val="00A51F19"/>
    <w:rsid w:val="00A521B8"/>
    <w:rsid w:val="00A52427"/>
    <w:rsid w:val="00A5242C"/>
    <w:rsid w:val="00A525D7"/>
    <w:rsid w:val="00A528C9"/>
    <w:rsid w:val="00A529A4"/>
    <w:rsid w:val="00A52AAE"/>
    <w:rsid w:val="00A52EAA"/>
    <w:rsid w:val="00A5344B"/>
    <w:rsid w:val="00A538CD"/>
    <w:rsid w:val="00A53A15"/>
    <w:rsid w:val="00A53C07"/>
    <w:rsid w:val="00A54690"/>
    <w:rsid w:val="00A54ABB"/>
    <w:rsid w:val="00A54AFE"/>
    <w:rsid w:val="00A54BA5"/>
    <w:rsid w:val="00A55220"/>
    <w:rsid w:val="00A55EDD"/>
    <w:rsid w:val="00A55F0D"/>
    <w:rsid w:val="00A5633E"/>
    <w:rsid w:val="00A569AB"/>
    <w:rsid w:val="00A5712B"/>
    <w:rsid w:val="00A579B1"/>
    <w:rsid w:val="00A57B77"/>
    <w:rsid w:val="00A57D11"/>
    <w:rsid w:val="00A57D66"/>
    <w:rsid w:val="00A57F3D"/>
    <w:rsid w:val="00A600FB"/>
    <w:rsid w:val="00A60630"/>
    <w:rsid w:val="00A60746"/>
    <w:rsid w:val="00A61233"/>
    <w:rsid w:val="00A61544"/>
    <w:rsid w:val="00A61924"/>
    <w:rsid w:val="00A62B7D"/>
    <w:rsid w:val="00A62BD9"/>
    <w:rsid w:val="00A6319F"/>
    <w:rsid w:val="00A6332E"/>
    <w:rsid w:val="00A63525"/>
    <w:rsid w:val="00A63604"/>
    <w:rsid w:val="00A63A3D"/>
    <w:rsid w:val="00A64BD4"/>
    <w:rsid w:val="00A64FDB"/>
    <w:rsid w:val="00A650C9"/>
    <w:rsid w:val="00A651C0"/>
    <w:rsid w:val="00A653CD"/>
    <w:rsid w:val="00A65639"/>
    <w:rsid w:val="00A65A54"/>
    <w:rsid w:val="00A66473"/>
    <w:rsid w:val="00A668B5"/>
    <w:rsid w:val="00A66946"/>
    <w:rsid w:val="00A66B44"/>
    <w:rsid w:val="00A67196"/>
    <w:rsid w:val="00A714E3"/>
    <w:rsid w:val="00A720F5"/>
    <w:rsid w:val="00A72388"/>
    <w:rsid w:val="00A72C5C"/>
    <w:rsid w:val="00A734C7"/>
    <w:rsid w:val="00A73720"/>
    <w:rsid w:val="00A73D4B"/>
    <w:rsid w:val="00A7432A"/>
    <w:rsid w:val="00A743A6"/>
    <w:rsid w:val="00A74C2B"/>
    <w:rsid w:val="00A758A5"/>
    <w:rsid w:val="00A75EF8"/>
    <w:rsid w:val="00A76628"/>
    <w:rsid w:val="00A7692A"/>
    <w:rsid w:val="00A76AB9"/>
    <w:rsid w:val="00A76D33"/>
    <w:rsid w:val="00A77073"/>
    <w:rsid w:val="00A77179"/>
    <w:rsid w:val="00A7731D"/>
    <w:rsid w:val="00A777F9"/>
    <w:rsid w:val="00A77BF4"/>
    <w:rsid w:val="00A77ECB"/>
    <w:rsid w:val="00A8016D"/>
    <w:rsid w:val="00A80173"/>
    <w:rsid w:val="00A80180"/>
    <w:rsid w:val="00A801DC"/>
    <w:rsid w:val="00A803C4"/>
    <w:rsid w:val="00A806FE"/>
    <w:rsid w:val="00A80D5C"/>
    <w:rsid w:val="00A8159A"/>
    <w:rsid w:val="00A81887"/>
    <w:rsid w:val="00A81F5A"/>
    <w:rsid w:val="00A820CC"/>
    <w:rsid w:val="00A82200"/>
    <w:rsid w:val="00A823BE"/>
    <w:rsid w:val="00A833F6"/>
    <w:rsid w:val="00A83506"/>
    <w:rsid w:val="00A83684"/>
    <w:rsid w:val="00A83E69"/>
    <w:rsid w:val="00A83F9B"/>
    <w:rsid w:val="00A84135"/>
    <w:rsid w:val="00A844F4"/>
    <w:rsid w:val="00A84974"/>
    <w:rsid w:val="00A85062"/>
    <w:rsid w:val="00A850F7"/>
    <w:rsid w:val="00A85C50"/>
    <w:rsid w:val="00A85CCB"/>
    <w:rsid w:val="00A860BD"/>
    <w:rsid w:val="00A861B3"/>
    <w:rsid w:val="00A862F4"/>
    <w:rsid w:val="00A8657B"/>
    <w:rsid w:val="00A86FD1"/>
    <w:rsid w:val="00A87859"/>
    <w:rsid w:val="00A87A25"/>
    <w:rsid w:val="00A90203"/>
    <w:rsid w:val="00A90C8E"/>
    <w:rsid w:val="00A9110F"/>
    <w:rsid w:val="00A91361"/>
    <w:rsid w:val="00A91BD7"/>
    <w:rsid w:val="00A91BF5"/>
    <w:rsid w:val="00A922E5"/>
    <w:rsid w:val="00A928AD"/>
    <w:rsid w:val="00A92CFE"/>
    <w:rsid w:val="00A92D68"/>
    <w:rsid w:val="00A92E2C"/>
    <w:rsid w:val="00A9385D"/>
    <w:rsid w:val="00A93A1D"/>
    <w:rsid w:val="00A94043"/>
    <w:rsid w:val="00A94497"/>
    <w:rsid w:val="00A9513E"/>
    <w:rsid w:val="00A95CF4"/>
    <w:rsid w:val="00A96556"/>
    <w:rsid w:val="00A9667A"/>
    <w:rsid w:val="00A96837"/>
    <w:rsid w:val="00A9699C"/>
    <w:rsid w:val="00A96BD9"/>
    <w:rsid w:val="00A96C4A"/>
    <w:rsid w:val="00A974C1"/>
    <w:rsid w:val="00A97713"/>
    <w:rsid w:val="00A97E7A"/>
    <w:rsid w:val="00AA0145"/>
    <w:rsid w:val="00AA0192"/>
    <w:rsid w:val="00AA0505"/>
    <w:rsid w:val="00AA076D"/>
    <w:rsid w:val="00AA0B00"/>
    <w:rsid w:val="00AA0BFF"/>
    <w:rsid w:val="00AA0FCF"/>
    <w:rsid w:val="00AA1B7B"/>
    <w:rsid w:val="00AA20F3"/>
    <w:rsid w:val="00AA2105"/>
    <w:rsid w:val="00AA250B"/>
    <w:rsid w:val="00AA26C3"/>
    <w:rsid w:val="00AA2BB3"/>
    <w:rsid w:val="00AA3414"/>
    <w:rsid w:val="00AA343C"/>
    <w:rsid w:val="00AA3E1B"/>
    <w:rsid w:val="00AA3EA0"/>
    <w:rsid w:val="00AA409B"/>
    <w:rsid w:val="00AA40C1"/>
    <w:rsid w:val="00AA429B"/>
    <w:rsid w:val="00AA4310"/>
    <w:rsid w:val="00AA48B7"/>
    <w:rsid w:val="00AA4AE7"/>
    <w:rsid w:val="00AA4EE8"/>
    <w:rsid w:val="00AA4F90"/>
    <w:rsid w:val="00AA57C4"/>
    <w:rsid w:val="00AA5A96"/>
    <w:rsid w:val="00AA5E6B"/>
    <w:rsid w:val="00AA5FA9"/>
    <w:rsid w:val="00AA6841"/>
    <w:rsid w:val="00AA6A4F"/>
    <w:rsid w:val="00AA6C44"/>
    <w:rsid w:val="00AA7264"/>
    <w:rsid w:val="00AA74F5"/>
    <w:rsid w:val="00AA7727"/>
    <w:rsid w:val="00AB0030"/>
    <w:rsid w:val="00AB06D8"/>
    <w:rsid w:val="00AB09C8"/>
    <w:rsid w:val="00AB11CE"/>
    <w:rsid w:val="00AB166E"/>
    <w:rsid w:val="00AB1AA2"/>
    <w:rsid w:val="00AB1E0B"/>
    <w:rsid w:val="00AB2575"/>
    <w:rsid w:val="00AB29C9"/>
    <w:rsid w:val="00AB2FD7"/>
    <w:rsid w:val="00AB3013"/>
    <w:rsid w:val="00AB3FC3"/>
    <w:rsid w:val="00AB3FD5"/>
    <w:rsid w:val="00AB454F"/>
    <w:rsid w:val="00AB497F"/>
    <w:rsid w:val="00AB4EC4"/>
    <w:rsid w:val="00AB5044"/>
    <w:rsid w:val="00AB51F9"/>
    <w:rsid w:val="00AB534B"/>
    <w:rsid w:val="00AB5701"/>
    <w:rsid w:val="00AB5F12"/>
    <w:rsid w:val="00AB6A26"/>
    <w:rsid w:val="00AB6B38"/>
    <w:rsid w:val="00AB6B82"/>
    <w:rsid w:val="00AB6D1F"/>
    <w:rsid w:val="00AB6F27"/>
    <w:rsid w:val="00AB7018"/>
    <w:rsid w:val="00AB726A"/>
    <w:rsid w:val="00AB7903"/>
    <w:rsid w:val="00AC0F0A"/>
    <w:rsid w:val="00AC0F7C"/>
    <w:rsid w:val="00AC10C5"/>
    <w:rsid w:val="00AC1916"/>
    <w:rsid w:val="00AC1B91"/>
    <w:rsid w:val="00AC1BB5"/>
    <w:rsid w:val="00AC1C13"/>
    <w:rsid w:val="00AC1DD3"/>
    <w:rsid w:val="00AC1E62"/>
    <w:rsid w:val="00AC2179"/>
    <w:rsid w:val="00AC23F4"/>
    <w:rsid w:val="00AC2AE9"/>
    <w:rsid w:val="00AC2B70"/>
    <w:rsid w:val="00AC3776"/>
    <w:rsid w:val="00AC3B7F"/>
    <w:rsid w:val="00AC3C57"/>
    <w:rsid w:val="00AC4787"/>
    <w:rsid w:val="00AC4C29"/>
    <w:rsid w:val="00AC5151"/>
    <w:rsid w:val="00AC584E"/>
    <w:rsid w:val="00AC5922"/>
    <w:rsid w:val="00AC5E20"/>
    <w:rsid w:val="00AC5FA5"/>
    <w:rsid w:val="00AC6224"/>
    <w:rsid w:val="00AC6759"/>
    <w:rsid w:val="00AC7011"/>
    <w:rsid w:val="00AC7620"/>
    <w:rsid w:val="00AC77EC"/>
    <w:rsid w:val="00AC7969"/>
    <w:rsid w:val="00AC7AEC"/>
    <w:rsid w:val="00AD080C"/>
    <w:rsid w:val="00AD0859"/>
    <w:rsid w:val="00AD11A9"/>
    <w:rsid w:val="00AD13E2"/>
    <w:rsid w:val="00AD16A5"/>
    <w:rsid w:val="00AD1A78"/>
    <w:rsid w:val="00AD2FCD"/>
    <w:rsid w:val="00AD3275"/>
    <w:rsid w:val="00AD3920"/>
    <w:rsid w:val="00AD3CD9"/>
    <w:rsid w:val="00AD43A6"/>
    <w:rsid w:val="00AD4B49"/>
    <w:rsid w:val="00AD4EDF"/>
    <w:rsid w:val="00AD5CB7"/>
    <w:rsid w:val="00AD6785"/>
    <w:rsid w:val="00AD6876"/>
    <w:rsid w:val="00AD70D9"/>
    <w:rsid w:val="00AD721E"/>
    <w:rsid w:val="00AD722E"/>
    <w:rsid w:val="00AD72E6"/>
    <w:rsid w:val="00AD79CD"/>
    <w:rsid w:val="00AE000F"/>
    <w:rsid w:val="00AE0061"/>
    <w:rsid w:val="00AE02FF"/>
    <w:rsid w:val="00AE0ACB"/>
    <w:rsid w:val="00AE0BE9"/>
    <w:rsid w:val="00AE0C74"/>
    <w:rsid w:val="00AE13D8"/>
    <w:rsid w:val="00AE19DD"/>
    <w:rsid w:val="00AE1AD3"/>
    <w:rsid w:val="00AE23CE"/>
    <w:rsid w:val="00AE2736"/>
    <w:rsid w:val="00AE2BD5"/>
    <w:rsid w:val="00AE2E47"/>
    <w:rsid w:val="00AE323E"/>
    <w:rsid w:val="00AE3413"/>
    <w:rsid w:val="00AE37B2"/>
    <w:rsid w:val="00AE384F"/>
    <w:rsid w:val="00AE38A0"/>
    <w:rsid w:val="00AE3A46"/>
    <w:rsid w:val="00AE3A84"/>
    <w:rsid w:val="00AE3AA8"/>
    <w:rsid w:val="00AE44C5"/>
    <w:rsid w:val="00AE4585"/>
    <w:rsid w:val="00AE47DD"/>
    <w:rsid w:val="00AE480B"/>
    <w:rsid w:val="00AE4932"/>
    <w:rsid w:val="00AE4C0A"/>
    <w:rsid w:val="00AE610C"/>
    <w:rsid w:val="00AE633A"/>
    <w:rsid w:val="00AE67AE"/>
    <w:rsid w:val="00AE6B66"/>
    <w:rsid w:val="00AE6DB6"/>
    <w:rsid w:val="00AE7544"/>
    <w:rsid w:val="00AE7C54"/>
    <w:rsid w:val="00AF0B3A"/>
    <w:rsid w:val="00AF0E96"/>
    <w:rsid w:val="00AF0EDC"/>
    <w:rsid w:val="00AF10A4"/>
    <w:rsid w:val="00AF12DD"/>
    <w:rsid w:val="00AF1913"/>
    <w:rsid w:val="00AF2241"/>
    <w:rsid w:val="00AF2A05"/>
    <w:rsid w:val="00AF2B8C"/>
    <w:rsid w:val="00AF4B0C"/>
    <w:rsid w:val="00AF4E78"/>
    <w:rsid w:val="00AF5568"/>
    <w:rsid w:val="00AF564D"/>
    <w:rsid w:val="00AF5926"/>
    <w:rsid w:val="00AF5965"/>
    <w:rsid w:val="00AF62EC"/>
    <w:rsid w:val="00AF6B8B"/>
    <w:rsid w:val="00AF6EDA"/>
    <w:rsid w:val="00AF7230"/>
    <w:rsid w:val="00AF796D"/>
    <w:rsid w:val="00B002B8"/>
    <w:rsid w:val="00B00475"/>
    <w:rsid w:val="00B016EA"/>
    <w:rsid w:val="00B0179B"/>
    <w:rsid w:val="00B0181C"/>
    <w:rsid w:val="00B01835"/>
    <w:rsid w:val="00B01B12"/>
    <w:rsid w:val="00B01B1F"/>
    <w:rsid w:val="00B01C71"/>
    <w:rsid w:val="00B01CE3"/>
    <w:rsid w:val="00B0202D"/>
    <w:rsid w:val="00B0241B"/>
    <w:rsid w:val="00B02712"/>
    <w:rsid w:val="00B02879"/>
    <w:rsid w:val="00B0291A"/>
    <w:rsid w:val="00B02A1A"/>
    <w:rsid w:val="00B03B30"/>
    <w:rsid w:val="00B03EE6"/>
    <w:rsid w:val="00B04570"/>
    <w:rsid w:val="00B046E5"/>
    <w:rsid w:val="00B04B5C"/>
    <w:rsid w:val="00B04C63"/>
    <w:rsid w:val="00B04EEF"/>
    <w:rsid w:val="00B04F93"/>
    <w:rsid w:val="00B05110"/>
    <w:rsid w:val="00B0554F"/>
    <w:rsid w:val="00B069DB"/>
    <w:rsid w:val="00B06D4C"/>
    <w:rsid w:val="00B0718B"/>
    <w:rsid w:val="00B07868"/>
    <w:rsid w:val="00B108A1"/>
    <w:rsid w:val="00B108D0"/>
    <w:rsid w:val="00B10911"/>
    <w:rsid w:val="00B11479"/>
    <w:rsid w:val="00B11560"/>
    <w:rsid w:val="00B11AC6"/>
    <w:rsid w:val="00B12680"/>
    <w:rsid w:val="00B128A5"/>
    <w:rsid w:val="00B1380C"/>
    <w:rsid w:val="00B14092"/>
    <w:rsid w:val="00B14849"/>
    <w:rsid w:val="00B14954"/>
    <w:rsid w:val="00B155E4"/>
    <w:rsid w:val="00B15B8E"/>
    <w:rsid w:val="00B1600B"/>
    <w:rsid w:val="00B1602A"/>
    <w:rsid w:val="00B16C89"/>
    <w:rsid w:val="00B16E77"/>
    <w:rsid w:val="00B174A7"/>
    <w:rsid w:val="00B17774"/>
    <w:rsid w:val="00B17A98"/>
    <w:rsid w:val="00B20D3A"/>
    <w:rsid w:val="00B2109F"/>
    <w:rsid w:val="00B2117E"/>
    <w:rsid w:val="00B21AE0"/>
    <w:rsid w:val="00B223DA"/>
    <w:rsid w:val="00B223F3"/>
    <w:rsid w:val="00B2353B"/>
    <w:rsid w:val="00B237BF"/>
    <w:rsid w:val="00B23D0E"/>
    <w:rsid w:val="00B245DB"/>
    <w:rsid w:val="00B245F9"/>
    <w:rsid w:val="00B2461C"/>
    <w:rsid w:val="00B246CB"/>
    <w:rsid w:val="00B25782"/>
    <w:rsid w:val="00B259D1"/>
    <w:rsid w:val="00B25ED6"/>
    <w:rsid w:val="00B2627A"/>
    <w:rsid w:val="00B2635B"/>
    <w:rsid w:val="00B26634"/>
    <w:rsid w:val="00B27529"/>
    <w:rsid w:val="00B27860"/>
    <w:rsid w:val="00B27881"/>
    <w:rsid w:val="00B27931"/>
    <w:rsid w:val="00B27BBC"/>
    <w:rsid w:val="00B27D59"/>
    <w:rsid w:val="00B27F84"/>
    <w:rsid w:val="00B311EF"/>
    <w:rsid w:val="00B313A0"/>
    <w:rsid w:val="00B3194E"/>
    <w:rsid w:val="00B322B5"/>
    <w:rsid w:val="00B322ED"/>
    <w:rsid w:val="00B32C36"/>
    <w:rsid w:val="00B32CD6"/>
    <w:rsid w:val="00B33298"/>
    <w:rsid w:val="00B33310"/>
    <w:rsid w:val="00B33FF2"/>
    <w:rsid w:val="00B34609"/>
    <w:rsid w:val="00B34863"/>
    <w:rsid w:val="00B34B27"/>
    <w:rsid w:val="00B35A7E"/>
    <w:rsid w:val="00B35F90"/>
    <w:rsid w:val="00B36658"/>
    <w:rsid w:val="00B368C2"/>
    <w:rsid w:val="00B37123"/>
    <w:rsid w:val="00B37246"/>
    <w:rsid w:val="00B37A44"/>
    <w:rsid w:val="00B41271"/>
    <w:rsid w:val="00B416A8"/>
    <w:rsid w:val="00B416AC"/>
    <w:rsid w:val="00B41D37"/>
    <w:rsid w:val="00B4257A"/>
    <w:rsid w:val="00B4374A"/>
    <w:rsid w:val="00B437F3"/>
    <w:rsid w:val="00B43EE8"/>
    <w:rsid w:val="00B43FA9"/>
    <w:rsid w:val="00B44371"/>
    <w:rsid w:val="00B44FE5"/>
    <w:rsid w:val="00B45329"/>
    <w:rsid w:val="00B45524"/>
    <w:rsid w:val="00B459A9"/>
    <w:rsid w:val="00B46672"/>
    <w:rsid w:val="00B469A1"/>
    <w:rsid w:val="00B469B9"/>
    <w:rsid w:val="00B4740C"/>
    <w:rsid w:val="00B475EA"/>
    <w:rsid w:val="00B506C1"/>
    <w:rsid w:val="00B50BF8"/>
    <w:rsid w:val="00B50D69"/>
    <w:rsid w:val="00B512B0"/>
    <w:rsid w:val="00B5145B"/>
    <w:rsid w:val="00B51667"/>
    <w:rsid w:val="00B51AAB"/>
    <w:rsid w:val="00B526E4"/>
    <w:rsid w:val="00B530BA"/>
    <w:rsid w:val="00B53796"/>
    <w:rsid w:val="00B53CB0"/>
    <w:rsid w:val="00B54273"/>
    <w:rsid w:val="00B542B5"/>
    <w:rsid w:val="00B54548"/>
    <w:rsid w:val="00B55792"/>
    <w:rsid w:val="00B567CD"/>
    <w:rsid w:val="00B56B27"/>
    <w:rsid w:val="00B5738E"/>
    <w:rsid w:val="00B60377"/>
    <w:rsid w:val="00B606B4"/>
    <w:rsid w:val="00B61209"/>
    <w:rsid w:val="00B6141F"/>
    <w:rsid w:val="00B61955"/>
    <w:rsid w:val="00B61E75"/>
    <w:rsid w:val="00B62C0A"/>
    <w:rsid w:val="00B63F16"/>
    <w:rsid w:val="00B64132"/>
    <w:rsid w:val="00B6463B"/>
    <w:rsid w:val="00B64643"/>
    <w:rsid w:val="00B64701"/>
    <w:rsid w:val="00B64DE0"/>
    <w:rsid w:val="00B65299"/>
    <w:rsid w:val="00B6538D"/>
    <w:rsid w:val="00B65756"/>
    <w:rsid w:val="00B6651D"/>
    <w:rsid w:val="00B67226"/>
    <w:rsid w:val="00B67A1C"/>
    <w:rsid w:val="00B71282"/>
    <w:rsid w:val="00B712AA"/>
    <w:rsid w:val="00B71408"/>
    <w:rsid w:val="00B71D56"/>
    <w:rsid w:val="00B71E90"/>
    <w:rsid w:val="00B72096"/>
    <w:rsid w:val="00B721C3"/>
    <w:rsid w:val="00B72316"/>
    <w:rsid w:val="00B723AF"/>
    <w:rsid w:val="00B727C8"/>
    <w:rsid w:val="00B72BDC"/>
    <w:rsid w:val="00B72C36"/>
    <w:rsid w:val="00B73325"/>
    <w:rsid w:val="00B739FB"/>
    <w:rsid w:val="00B73E6F"/>
    <w:rsid w:val="00B7452B"/>
    <w:rsid w:val="00B74E77"/>
    <w:rsid w:val="00B754D8"/>
    <w:rsid w:val="00B76B31"/>
    <w:rsid w:val="00B76C05"/>
    <w:rsid w:val="00B77149"/>
    <w:rsid w:val="00B7719F"/>
    <w:rsid w:val="00B772F4"/>
    <w:rsid w:val="00B775D0"/>
    <w:rsid w:val="00B775EE"/>
    <w:rsid w:val="00B7799B"/>
    <w:rsid w:val="00B77A76"/>
    <w:rsid w:val="00B80411"/>
    <w:rsid w:val="00B80783"/>
    <w:rsid w:val="00B80962"/>
    <w:rsid w:val="00B80A78"/>
    <w:rsid w:val="00B81458"/>
    <w:rsid w:val="00B819A7"/>
    <w:rsid w:val="00B81BBE"/>
    <w:rsid w:val="00B823FA"/>
    <w:rsid w:val="00B82AB4"/>
    <w:rsid w:val="00B82C73"/>
    <w:rsid w:val="00B8362B"/>
    <w:rsid w:val="00B837D6"/>
    <w:rsid w:val="00B83946"/>
    <w:rsid w:val="00B83D48"/>
    <w:rsid w:val="00B84457"/>
    <w:rsid w:val="00B845B4"/>
    <w:rsid w:val="00B84B54"/>
    <w:rsid w:val="00B84C60"/>
    <w:rsid w:val="00B84CFD"/>
    <w:rsid w:val="00B850D3"/>
    <w:rsid w:val="00B85A72"/>
    <w:rsid w:val="00B85C2A"/>
    <w:rsid w:val="00B85FF7"/>
    <w:rsid w:val="00B86391"/>
    <w:rsid w:val="00B86800"/>
    <w:rsid w:val="00B86AAE"/>
    <w:rsid w:val="00B86E46"/>
    <w:rsid w:val="00B870D3"/>
    <w:rsid w:val="00B87489"/>
    <w:rsid w:val="00B8754B"/>
    <w:rsid w:val="00B90547"/>
    <w:rsid w:val="00B9057B"/>
    <w:rsid w:val="00B90695"/>
    <w:rsid w:val="00B91402"/>
    <w:rsid w:val="00B916BD"/>
    <w:rsid w:val="00B916BF"/>
    <w:rsid w:val="00B91950"/>
    <w:rsid w:val="00B91AFC"/>
    <w:rsid w:val="00B9204D"/>
    <w:rsid w:val="00B92531"/>
    <w:rsid w:val="00B925DD"/>
    <w:rsid w:val="00B92651"/>
    <w:rsid w:val="00B93015"/>
    <w:rsid w:val="00B93047"/>
    <w:rsid w:val="00B930ED"/>
    <w:rsid w:val="00B936C7"/>
    <w:rsid w:val="00B9412E"/>
    <w:rsid w:val="00B942A9"/>
    <w:rsid w:val="00B94E76"/>
    <w:rsid w:val="00B95657"/>
    <w:rsid w:val="00B95700"/>
    <w:rsid w:val="00B95B3C"/>
    <w:rsid w:val="00B95B88"/>
    <w:rsid w:val="00B96DF3"/>
    <w:rsid w:val="00B9740E"/>
    <w:rsid w:val="00BA0865"/>
    <w:rsid w:val="00BA0881"/>
    <w:rsid w:val="00BA0BF6"/>
    <w:rsid w:val="00BA150D"/>
    <w:rsid w:val="00BA154A"/>
    <w:rsid w:val="00BA204D"/>
    <w:rsid w:val="00BA2855"/>
    <w:rsid w:val="00BA2A5D"/>
    <w:rsid w:val="00BA2B06"/>
    <w:rsid w:val="00BA2FCE"/>
    <w:rsid w:val="00BA3895"/>
    <w:rsid w:val="00BA39D9"/>
    <w:rsid w:val="00BA3AB1"/>
    <w:rsid w:val="00BA49CF"/>
    <w:rsid w:val="00BA55E1"/>
    <w:rsid w:val="00BA5AC2"/>
    <w:rsid w:val="00BA5DAA"/>
    <w:rsid w:val="00BA64BE"/>
    <w:rsid w:val="00BA6AEA"/>
    <w:rsid w:val="00BA7044"/>
    <w:rsid w:val="00BA71C3"/>
    <w:rsid w:val="00BA77E3"/>
    <w:rsid w:val="00BA79EE"/>
    <w:rsid w:val="00BA7C53"/>
    <w:rsid w:val="00BA7D50"/>
    <w:rsid w:val="00BB0E85"/>
    <w:rsid w:val="00BB2624"/>
    <w:rsid w:val="00BB279B"/>
    <w:rsid w:val="00BB28DD"/>
    <w:rsid w:val="00BB28FC"/>
    <w:rsid w:val="00BB3089"/>
    <w:rsid w:val="00BB3813"/>
    <w:rsid w:val="00BB3C55"/>
    <w:rsid w:val="00BB41E6"/>
    <w:rsid w:val="00BB526E"/>
    <w:rsid w:val="00BB535A"/>
    <w:rsid w:val="00BB5A4F"/>
    <w:rsid w:val="00BB624D"/>
    <w:rsid w:val="00BB6B99"/>
    <w:rsid w:val="00BB707A"/>
    <w:rsid w:val="00BB70AE"/>
    <w:rsid w:val="00BB7B70"/>
    <w:rsid w:val="00BB7C33"/>
    <w:rsid w:val="00BB7C6B"/>
    <w:rsid w:val="00BB7C86"/>
    <w:rsid w:val="00BC0F5D"/>
    <w:rsid w:val="00BC1DC1"/>
    <w:rsid w:val="00BC2613"/>
    <w:rsid w:val="00BC289C"/>
    <w:rsid w:val="00BC2D14"/>
    <w:rsid w:val="00BC381F"/>
    <w:rsid w:val="00BC3B13"/>
    <w:rsid w:val="00BC4955"/>
    <w:rsid w:val="00BC4D4A"/>
    <w:rsid w:val="00BC4E76"/>
    <w:rsid w:val="00BC52CD"/>
    <w:rsid w:val="00BC566C"/>
    <w:rsid w:val="00BC59D0"/>
    <w:rsid w:val="00BC5DBF"/>
    <w:rsid w:val="00BC6113"/>
    <w:rsid w:val="00BC6978"/>
    <w:rsid w:val="00BC6AFB"/>
    <w:rsid w:val="00BC73AC"/>
    <w:rsid w:val="00BC75E0"/>
    <w:rsid w:val="00BD0370"/>
    <w:rsid w:val="00BD0460"/>
    <w:rsid w:val="00BD0563"/>
    <w:rsid w:val="00BD06AA"/>
    <w:rsid w:val="00BD0F81"/>
    <w:rsid w:val="00BD100E"/>
    <w:rsid w:val="00BD1069"/>
    <w:rsid w:val="00BD2068"/>
    <w:rsid w:val="00BD22D6"/>
    <w:rsid w:val="00BD2D57"/>
    <w:rsid w:val="00BD3851"/>
    <w:rsid w:val="00BD3987"/>
    <w:rsid w:val="00BD42F1"/>
    <w:rsid w:val="00BD4B78"/>
    <w:rsid w:val="00BD51A3"/>
    <w:rsid w:val="00BD5499"/>
    <w:rsid w:val="00BD5A54"/>
    <w:rsid w:val="00BD5E86"/>
    <w:rsid w:val="00BD6168"/>
    <w:rsid w:val="00BD67C1"/>
    <w:rsid w:val="00BD699B"/>
    <w:rsid w:val="00BD6A6C"/>
    <w:rsid w:val="00BD6AB6"/>
    <w:rsid w:val="00BD6E2A"/>
    <w:rsid w:val="00BD6E38"/>
    <w:rsid w:val="00BD7208"/>
    <w:rsid w:val="00BD7929"/>
    <w:rsid w:val="00BD793F"/>
    <w:rsid w:val="00BE0551"/>
    <w:rsid w:val="00BE0A83"/>
    <w:rsid w:val="00BE0F01"/>
    <w:rsid w:val="00BE1091"/>
    <w:rsid w:val="00BE13DD"/>
    <w:rsid w:val="00BE15A5"/>
    <w:rsid w:val="00BE1647"/>
    <w:rsid w:val="00BE1B97"/>
    <w:rsid w:val="00BE238A"/>
    <w:rsid w:val="00BE25BE"/>
    <w:rsid w:val="00BE2DAB"/>
    <w:rsid w:val="00BE3286"/>
    <w:rsid w:val="00BE330A"/>
    <w:rsid w:val="00BE3501"/>
    <w:rsid w:val="00BE414B"/>
    <w:rsid w:val="00BE4D53"/>
    <w:rsid w:val="00BE4EDD"/>
    <w:rsid w:val="00BE5060"/>
    <w:rsid w:val="00BE57C6"/>
    <w:rsid w:val="00BE59C3"/>
    <w:rsid w:val="00BE5A56"/>
    <w:rsid w:val="00BE5C08"/>
    <w:rsid w:val="00BE609F"/>
    <w:rsid w:val="00BE666F"/>
    <w:rsid w:val="00BE696E"/>
    <w:rsid w:val="00BE734A"/>
    <w:rsid w:val="00BE7B5D"/>
    <w:rsid w:val="00BF088E"/>
    <w:rsid w:val="00BF0E55"/>
    <w:rsid w:val="00BF0F44"/>
    <w:rsid w:val="00BF10DB"/>
    <w:rsid w:val="00BF1C91"/>
    <w:rsid w:val="00BF1E24"/>
    <w:rsid w:val="00BF25FC"/>
    <w:rsid w:val="00BF3467"/>
    <w:rsid w:val="00BF38F3"/>
    <w:rsid w:val="00BF3E59"/>
    <w:rsid w:val="00BF46AC"/>
    <w:rsid w:val="00BF472E"/>
    <w:rsid w:val="00BF493F"/>
    <w:rsid w:val="00BF4F90"/>
    <w:rsid w:val="00BF51F5"/>
    <w:rsid w:val="00BF571D"/>
    <w:rsid w:val="00BF578F"/>
    <w:rsid w:val="00BF5992"/>
    <w:rsid w:val="00BF5DC4"/>
    <w:rsid w:val="00BF60DE"/>
    <w:rsid w:val="00BF6367"/>
    <w:rsid w:val="00BF69B2"/>
    <w:rsid w:val="00BF6EDF"/>
    <w:rsid w:val="00BF7067"/>
    <w:rsid w:val="00BF7416"/>
    <w:rsid w:val="00BF79C7"/>
    <w:rsid w:val="00BF7C74"/>
    <w:rsid w:val="00C00034"/>
    <w:rsid w:val="00C00514"/>
    <w:rsid w:val="00C00615"/>
    <w:rsid w:val="00C00879"/>
    <w:rsid w:val="00C00986"/>
    <w:rsid w:val="00C00FBC"/>
    <w:rsid w:val="00C0122A"/>
    <w:rsid w:val="00C0145C"/>
    <w:rsid w:val="00C032B9"/>
    <w:rsid w:val="00C033C0"/>
    <w:rsid w:val="00C0371B"/>
    <w:rsid w:val="00C03B58"/>
    <w:rsid w:val="00C03D10"/>
    <w:rsid w:val="00C04380"/>
    <w:rsid w:val="00C04B36"/>
    <w:rsid w:val="00C050AF"/>
    <w:rsid w:val="00C05471"/>
    <w:rsid w:val="00C056F2"/>
    <w:rsid w:val="00C058E8"/>
    <w:rsid w:val="00C06245"/>
    <w:rsid w:val="00C06248"/>
    <w:rsid w:val="00C070B1"/>
    <w:rsid w:val="00C07148"/>
    <w:rsid w:val="00C0729F"/>
    <w:rsid w:val="00C07666"/>
    <w:rsid w:val="00C102C3"/>
    <w:rsid w:val="00C10AB9"/>
    <w:rsid w:val="00C11963"/>
    <w:rsid w:val="00C129E9"/>
    <w:rsid w:val="00C1323E"/>
    <w:rsid w:val="00C136F8"/>
    <w:rsid w:val="00C13818"/>
    <w:rsid w:val="00C13A3A"/>
    <w:rsid w:val="00C13BB5"/>
    <w:rsid w:val="00C14773"/>
    <w:rsid w:val="00C1565C"/>
    <w:rsid w:val="00C15961"/>
    <w:rsid w:val="00C159B7"/>
    <w:rsid w:val="00C15A3D"/>
    <w:rsid w:val="00C1631B"/>
    <w:rsid w:val="00C16AA9"/>
    <w:rsid w:val="00C17145"/>
    <w:rsid w:val="00C17550"/>
    <w:rsid w:val="00C176D8"/>
    <w:rsid w:val="00C1779E"/>
    <w:rsid w:val="00C178E2"/>
    <w:rsid w:val="00C17CCB"/>
    <w:rsid w:val="00C17DD1"/>
    <w:rsid w:val="00C21428"/>
    <w:rsid w:val="00C21491"/>
    <w:rsid w:val="00C215B0"/>
    <w:rsid w:val="00C21FB2"/>
    <w:rsid w:val="00C2211C"/>
    <w:rsid w:val="00C222D8"/>
    <w:rsid w:val="00C22553"/>
    <w:rsid w:val="00C225AB"/>
    <w:rsid w:val="00C22D36"/>
    <w:rsid w:val="00C22DA7"/>
    <w:rsid w:val="00C233EB"/>
    <w:rsid w:val="00C23704"/>
    <w:rsid w:val="00C248FF"/>
    <w:rsid w:val="00C249A4"/>
    <w:rsid w:val="00C24AA4"/>
    <w:rsid w:val="00C25E9E"/>
    <w:rsid w:val="00C26607"/>
    <w:rsid w:val="00C269AD"/>
    <w:rsid w:val="00C26B1F"/>
    <w:rsid w:val="00C27526"/>
    <w:rsid w:val="00C27599"/>
    <w:rsid w:val="00C27F36"/>
    <w:rsid w:val="00C3051B"/>
    <w:rsid w:val="00C306D9"/>
    <w:rsid w:val="00C307CF"/>
    <w:rsid w:val="00C30FE0"/>
    <w:rsid w:val="00C3115B"/>
    <w:rsid w:val="00C31968"/>
    <w:rsid w:val="00C31C5A"/>
    <w:rsid w:val="00C340E3"/>
    <w:rsid w:val="00C34179"/>
    <w:rsid w:val="00C351BE"/>
    <w:rsid w:val="00C35AA1"/>
    <w:rsid w:val="00C35D55"/>
    <w:rsid w:val="00C35F33"/>
    <w:rsid w:val="00C35FA3"/>
    <w:rsid w:val="00C36498"/>
    <w:rsid w:val="00C366ED"/>
    <w:rsid w:val="00C36876"/>
    <w:rsid w:val="00C36B76"/>
    <w:rsid w:val="00C37560"/>
    <w:rsid w:val="00C375C0"/>
    <w:rsid w:val="00C375D0"/>
    <w:rsid w:val="00C40078"/>
    <w:rsid w:val="00C4035B"/>
    <w:rsid w:val="00C4089A"/>
    <w:rsid w:val="00C41AE3"/>
    <w:rsid w:val="00C41B2B"/>
    <w:rsid w:val="00C41DFE"/>
    <w:rsid w:val="00C42396"/>
    <w:rsid w:val="00C4268C"/>
    <w:rsid w:val="00C42C55"/>
    <w:rsid w:val="00C435E2"/>
    <w:rsid w:val="00C43A9E"/>
    <w:rsid w:val="00C4469D"/>
    <w:rsid w:val="00C44CB5"/>
    <w:rsid w:val="00C44E11"/>
    <w:rsid w:val="00C45054"/>
    <w:rsid w:val="00C455F2"/>
    <w:rsid w:val="00C456D1"/>
    <w:rsid w:val="00C459F1"/>
    <w:rsid w:val="00C46D24"/>
    <w:rsid w:val="00C46D3E"/>
    <w:rsid w:val="00C46DCB"/>
    <w:rsid w:val="00C46ED4"/>
    <w:rsid w:val="00C46F30"/>
    <w:rsid w:val="00C46FEC"/>
    <w:rsid w:val="00C47272"/>
    <w:rsid w:val="00C50407"/>
    <w:rsid w:val="00C5041E"/>
    <w:rsid w:val="00C50CC2"/>
    <w:rsid w:val="00C50EB7"/>
    <w:rsid w:val="00C50F87"/>
    <w:rsid w:val="00C50F95"/>
    <w:rsid w:val="00C51087"/>
    <w:rsid w:val="00C510A9"/>
    <w:rsid w:val="00C51447"/>
    <w:rsid w:val="00C52066"/>
    <w:rsid w:val="00C521E3"/>
    <w:rsid w:val="00C5236C"/>
    <w:rsid w:val="00C523D2"/>
    <w:rsid w:val="00C52747"/>
    <w:rsid w:val="00C52AE2"/>
    <w:rsid w:val="00C53741"/>
    <w:rsid w:val="00C53941"/>
    <w:rsid w:val="00C540E8"/>
    <w:rsid w:val="00C54543"/>
    <w:rsid w:val="00C548BE"/>
    <w:rsid w:val="00C549E9"/>
    <w:rsid w:val="00C54A2D"/>
    <w:rsid w:val="00C56426"/>
    <w:rsid w:val="00C5665E"/>
    <w:rsid w:val="00C56D30"/>
    <w:rsid w:val="00C57389"/>
    <w:rsid w:val="00C57676"/>
    <w:rsid w:val="00C57769"/>
    <w:rsid w:val="00C57AA6"/>
    <w:rsid w:val="00C60146"/>
    <w:rsid w:val="00C60813"/>
    <w:rsid w:val="00C60CF4"/>
    <w:rsid w:val="00C6163D"/>
    <w:rsid w:val="00C61786"/>
    <w:rsid w:val="00C619F9"/>
    <w:rsid w:val="00C61D11"/>
    <w:rsid w:val="00C624F4"/>
    <w:rsid w:val="00C625AC"/>
    <w:rsid w:val="00C626FE"/>
    <w:rsid w:val="00C62793"/>
    <w:rsid w:val="00C62CBC"/>
    <w:rsid w:val="00C63463"/>
    <w:rsid w:val="00C63626"/>
    <w:rsid w:val="00C6456B"/>
    <w:rsid w:val="00C6466D"/>
    <w:rsid w:val="00C64DF8"/>
    <w:rsid w:val="00C64EDA"/>
    <w:rsid w:val="00C65327"/>
    <w:rsid w:val="00C653A4"/>
    <w:rsid w:val="00C65E78"/>
    <w:rsid w:val="00C65EE1"/>
    <w:rsid w:val="00C65F87"/>
    <w:rsid w:val="00C668B3"/>
    <w:rsid w:val="00C669D4"/>
    <w:rsid w:val="00C6722C"/>
    <w:rsid w:val="00C709BD"/>
    <w:rsid w:val="00C70CB1"/>
    <w:rsid w:val="00C71134"/>
    <w:rsid w:val="00C711B0"/>
    <w:rsid w:val="00C7157F"/>
    <w:rsid w:val="00C71893"/>
    <w:rsid w:val="00C71F2F"/>
    <w:rsid w:val="00C721AE"/>
    <w:rsid w:val="00C72260"/>
    <w:rsid w:val="00C72448"/>
    <w:rsid w:val="00C72577"/>
    <w:rsid w:val="00C7263D"/>
    <w:rsid w:val="00C729AB"/>
    <w:rsid w:val="00C72F9A"/>
    <w:rsid w:val="00C737AE"/>
    <w:rsid w:val="00C737DB"/>
    <w:rsid w:val="00C73C9C"/>
    <w:rsid w:val="00C740A9"/>
    <w:rsid w:val="00C7413B"/>
    <w:rsid w:val="00C741B5"/>
    <w:rsid w:val="00C7489B"/>
    <w:rsid w:val="00C74901"/>
    <w:rsid w:val="00C75105"/>
    <w:rsid w:val="00C76147"/>
    <w:rsid w:val="00C76496"/>
    <w:rsid w:val="00C77289"/>
    <w:rsid w:val="00C774B4"/>
    <w:rsid w:val="00C778FD"/>
    <w:rsid w:val="00C77BCF"/>
    <w:rsid w:val="00C77F8D"/>
    <w:rsid w:val="00C8046D"/>
    <w:rsid w:val="00C808F5"/>
    <w:rsid w:val="00C80B37"/>
    <w:rsid w:val="00C80DEC"/>
    <w:rsid w:val="00C81394"/>
    <w:rsid w:val="00C81644"/>
    <w:rsid w:val="00C819A9"/>
    <w:rsid w:val="00C81AAF"/>
    <w:rsid w:val="00C81D6C"/>
    <w:rsid w:val="00C820DC"/>
    <w:rsid w:val="00C821FB"/>
    <w:rsid w:val="00C8223A"/>
    <w:rsid w:val="00C82FE4"/>
    <w:rsid w:val="00C835F2"/>
    <w:rsid w:val="00C83667"/>
    <w:rsid w:val="00C83947"/>
    <w:rsid w:val="00C83A26"/>
    <w:rsid w:val="00C8501C"/>
    <w:rsid w:val="00C85569"/>
    <w:rsid w:val="00C855A9"/>
    <w:rsid w:val="00C8598E"/>
    <w:rsid w:val="00C85B33"/>
    <w:rsid w:val="00C86401"/>
    <w:rsid w:val="00C864AB"/>
    <w:rsid w:val="00C865BA"/>
    <w:rsid w:val="00C8719E"/>
    <w:rsid w:val="00C900BA"/>
    <w:rsid w:val="00C907D7"/>
    <w:rsid w:val="00C90AC7"/>
    <w:rsid w:val="00C9122F"/>
    <w:rsid w:val="00C913BC"/>
    <w:rsid w:val="00C9144B"/>
    <w:rsid w:val="00C914D1"/>
    <w:rsid w:val="00C91D1C"/>
    <w:rsid w:val="00C91DBA"/>
    <w:rsid w:val="00C9207C"/>
    <w:rsid w:val="00C925DD"/>
    <w:rsid w:val="00C92629"/>
    <w:rsid w:val="00C92C48"/>
    <w:rsid w:val="00C9302D"/>
    <w:rsid w:val="00C934C5"/>
    <w:rsid w:val="00C938E5"/>
    <w:rsid w:val="00C94F02"/>
    <w:rsid w:val="00C95B21"/>
    <w:rsid w:val="00C96C8E"/>
    <w:rsid w:val="00C96D76"/>
    <w:rsid w:val="00C97375"/>
    <w:rsid w:val="00C9752F"/>
    <w:rsid w:val="00C979E2"/>
    <w:rsid w:val="00C97F84"/>
    <w:rsid w:val="00CA0167"/>
    <w:rsid w:val="00CA036E"/>
    <w:rsid w:val="00CA05AE"/>
    <w:rsid w:val="00CA09A3"/>
    <w:rsid w:val="00CA09AB"/>
    <w:rsid w:val="00CA09C8"/>
    <w:rsid w:val="00CA0C24"/>
    <w:rsid w:val="00CA0C30"/>
    <w:rsid w:val="00CA0FE8"/>
    <w:rsid w:val="00CA1498"/>
    <w:rsid w:val="00CA181C"/>
    <w:rsid w:val="00CA2113"/>
    <w:rsid w:val="00CA24FD"/>
    <w:rsid w:val="00CA2561"/>
    <w:rsid w:val="00CA2EF7"/>
    <w:rsid w:val="00CA317F"/>
    <w:rsid w:val="00CA329B"/>
    <w:rsid w:val="00CA33C4"/>
    <w:rsid w:val="00CA3E45"/>
    <w:rsid w:val="00CA400E"/>
    <w:rsid w:val="00CA4113"/>
    <w:rsid w:val="00CA4337"/>
    <w:rsid w:val="00CA4C73"/>
    <w:rsid w:val="00CA5029"/>
    <w:rsid w:val="00CA5572"/>
    <w:rsid w:val="00CA564B"/>
    <w:rsid w:val="00CA582E"/>
    <w:rsid w:val="00CA5A64"/>
    <w:rsid w:val="00CA5CF7"/>
    <w:rsid w:val="00CA6389"/>
    <w:rsid w:val="00CA677C"/>
    <w:rsid w:val="00CA7189"/>
    <w:rsid w:val="00CA75B9"/>
    <w:rsid w:val="00CA7932"/>
    <w:rsid w:val="00CA7F3A"/>
    <w:rsid w:val="00CB014A"/>
    <w:rsid w:val="00CB04B3"/>
    <w:rsid w:val="00CB04FB"/>
    <w:rsid w:val="00CB0981"/>
    <w:rsid w:val="00CB0FCF"/>
    <w:rsid w:val="00CB1494"/>
    <w:rsid w:val="00CB1543"/>
    <w:rsid w:val="00CB1A8D"/>
    <w:rsid w:val="00CB25FC"/>
    <w:rsid w:val="00CB276A"/>
    <w:rsid w:val="00CB2829"/>
    <w:rsid w:val="00CB2896"/>
    <w:rsid w:val="00CB2CFE"/>
    <w:rsid w:val="00CB31E3"/>
    <w:rsid w:val="00CB3691"/>
    <w:rsid w:val="00CB3B91"/>
    <w:rsid w:val="00CB4305"/>
    <w:rsid w:val="00CB4344"/>
    <w:rsid w:val="00CB4534"/>
    <w:rsid w:val="00CB46CD"/>
    <w:rsid w:val="00CB4A06"/>
    <w:rsid w:val="00CB534C"/>
    <w:rsid w:val="00CB5478"/>
    <w:rsid w:val="00CB62A0"/>
    <w:rsid w:val="00CB62C4"/>
    <w:rsid w:val="00CB6790"/>
    <w:rsid w:val="00CB6CA3"/>
    <w:rsid w:val="00CB7295"/>
    <w:rsid w:val="00CB74DB"/>
    <w:rsid w:val="00CB7DBD"/>
    <w:rsid w:val="00CC02DF"/>
    <w:rsid w:val="00CC031B"/>
    <w:rsid w:val="00CC06A2"/>
    <w:rsid w:val="00CC0ECD"/>
    <w:rsid w:val="00CC0FE5"/>
    <w:rsid w:val="00CC1376"/>
    <w:rsid w:val="00CC1655"/>
    <w:rsid w:val="00CC17DB"/>
    <w:rsid w:val="00CC1C34"/>
    <w:rsid w:val="00CC1E41"/>
    <w:rsid w:val="00CC1F5C"/>
    <w:rsid w:val="00CC28DB"/>
    <w:rsid w:val="00CC2A9A"/>
    <w:rsid w:val="00CC2BA2"/>
    <w:rsid w:val="00CC2C55"/>
    <w:rsid w:val="00CC2ECD"/>
    <w:rsid w:val="00CC3066"/>
    <w:rsid w:val="00CC32D3"/>
    <w:rsid w:val="00CC37B4"/>
    <w:rsid w:val="00CC3A11"/>
    <w:rsid w:val="00CC4556"/>
    <w:rsid w:val="00CC45E3"/>
    <w:rsid w:val="00CC4E0F"/>
    <w:rsid w:val="00CC4F41"/>
    <w:rsid w:val="00CC55BF"/>
    <w:rsid w:val="00CC5BC1"/>
    <w:rsid w:val="00CC5CB8"/>
    <w:rsid w:val="00CC5D47"/>
    <w:rsid w:val="00CC6809"/>
    <w:rsid w:val="00CC6923"/>
    <w:rsid w:val="00CC6957"/>
    <w:rsid w:val="00CC6A95"/>
    <w:rsid w:val="00CC6E8E"/>
    <w:rsid w:val="00CC7549"/>
    <w:rsid w:val="00CC77F5"/>
    <w:rsid w:val="00CC796A"/>
    <w:rsid w:val="00CD0030"/>
    <w:rsid w:val="00CD05FF"/>
    <w:rsid w:val="00CD1E9A"/>
    <w:rsid w:val="00CD2A6D"/>
    <w:rsid w:val="00CD2F7A"/>
    <w:rsid w:val="00CD331D"/>
    <w:rsid w:val="00CD3848"/>
    <w:rsid w:val="00CD3888"/>
    <w:rsid w:val="00CD47F8"/>
    <w:rsid w:val="00CD4D72"/>
    <w:rsid w:val="00CD4E75"/>
    <w:rsid w:val="00CD4FE8"/>
    <w:rsid w:val="00CD5373"/>
    <w:rsid w:val="00CD5811"/>
    <w:rsid w:val="00CD58A8"/>
    <w:rsid w:val="00CD64F1"/>
    <w:rsid w:val="00CD6890"/>
    <w:rsid w:val="00CD6B5A"/>
    <w:rsid w:val="00CD6E33"/>
    <w:rsid w:val="00CD6F8E"/>
    <w:rsid w:val="00CD7220"/>
    <w:rsid w:val="00CD77A5"/>
    <w:rsid w:val="00CD77B3"/>
    <w:rsid w:val="00CD7E7C"/>
    <w:rsid w:val="00CE01E4"/>
    <w:rsid w:val="00CE0784"/>
    <w:rsid w:val="00CE0C3F"/>
    <w:rsid w:val="00CE0F87"/>
    <w:rsid w:val="00CE1151"/>
    <w:rsid w:val="00CE16EE"/>
    <w:rsid w:val="00CE19AC"/>
    <w:rsid w:val="00CE1EB2"/>
    <w:rsid w:val="00CE203E"/>
    <w:rsid w:val="00CE2045"/>
    <w:rsid w:val="00CE3270"/>
    <w:rsid w:val="00CE332A"/>
    <w:rsid w:val="00CE3945"/>
    <w:rsid w:val="00CE3C9A"/>
    <w:rsid w:val="00CE3FC7"/>
    <w:rsid w:val="00CE520A"/>
    <w:rsid w:val="00CE56B0"/>
    <w:rsid w:val="00CE581F"/>
    <w:rsid w:val="00CE5EC3"/>
    <w:rsid w:val="00CE6197"/>
    <w:rsid w:val="00CE63DE"/>
    <w:rsid w:val="00CE684D"/>
    <w:rsid w:val="00CE69DF"/>
    <w:rsid w:val="00CE6E70"/>
    <w:rsid w:val="00CE7150"/>
    <w:rsid w:val="00CE739A"/>
    <w:rsid w:val="00CE757D"/>
    <w:rsid w:val="00CE7681"/>
    <w:rsid w:val="00CE7876"/>
    <w:rsid w:val="00CE7F59"/>
    <w:rsid w:val="00CF097F"/>
    <w:rsid w:val="00CF0985"/>
    <w:rsid w:val="00CF0E60"/>
    <w:rsid w:val="00CF0EB3"/>
    <w:rsid w:val="00CF12F5"/>
    <w:rsid w:val="00CF145E"/>
    <w:rsid w:val="00CF18A6"/>
    <w:rsid w:val="00CF1A4B"/>
    <w:rsid w:val="00CF2177"/>
    <w:rsid w:val="00CF25D0"/>
    <w:rsid w:val="00CF25E6"/>
    <w:rsid w:val="00CF26B5"/>
    <w:rsid w:val="00CF2810"/>
    <w:rsid w:val="00CF2F7D"/>
    <w:rsid w:val="00CF30C2"/>
    <w:rsid w:val="00CF315C"/>
    <w:rsid w:val="00CF32C7"/>
    <w:rsid w:val="00CF384A"/>
    <w:rsid w:val="00CF4064"/>
    <w:rsid w:val="00CF45FE"/>
    <w:rsid w:val="00CF4711"/>
    <w:rsid w:val="00CF4EF0"/>
    <w:rsid w:val="00CF5B4A"/>
    <w:rsid w:val="00CF5D31"/>
    <w:rsid w:val="00CF6050"/>
    <w:rsid w:val="00CF631D"/>
    <w:rsid w:val="00CF6532"/>
    <w:rsid w:val="00CF6564"/>
    <w:rsid w:val="00CF69F3"/>
    <w:rsid w:val="00CF6E25"/>
    <w:rsid w:val="00CF7290"/>
    <w:rsid w:val="00CF7B13"/>
    <w:rsid w:val="00D0044A"/>
    <w:rsid w:val="00D00937"/>
    <w:rsid w:val="00D00C1D"/>
    <w:rsid w:val="00D00E1E"/>
    <w:rsid w:val="00D00F65"/>
    <w:rsid w:val="00D01055"/>
    <w:rsid w:val="00D015E8"/>
    <w:rsid w:val="00D01680"/>
    <w:rsid w:val="00D01F88"/>
    <w:rsid w:val="00D0238B"/>
    <w:rsid w:val="00D025C8"/>
    <w:rsid w:val="00D0288C"/>
    <w:rsid w:val="00D0342D"/>
    <w:rsid w:val="00D03BF1"/>
    <w:rsid w:val="00D04154"/>
    <w:rsid w:val="00D0481E"/>
    <w:rsid w:val="00D04D5A"/>
    <w:rsid w:val="00D051D6"/>
    <w:rsid w:val="00D05526"/>
    <w:rsid w:val="00D0555D"/>
    <w:rsid w:val="00D0599D"/>
    <w:rsid w:val="00D05EEE"/>
    <w:rsid w:val="00D060A7"/>
    <w:rsid w:val="00D069A6"/>
    <w:rsid w:val="00D06BB0"/>
    <w:rsid w:val="00D06C7E"/>
    <w:rsid w:val="00D06FF1"/>
    <w:rsid w:val="00D072B7"/>
    <w:rsid w:val="00D107C9"/>
    <w:rsid w:val="00D10C1E"/>
    <w:rsid w:val="00D10EC7"/>
    <w:rsid w:val="00D11969"/>
    <w:rsid w:val="00D12035"/>
    <w:rsid w:val="00D1206F"/>
    <w:rsid w:val="00D1254B"/>
    <w:rsid w:val="00D12B04"/>
    <w:rsid w:val="00D12C46"/>
    <w:rsid w:val="00D12FC2"/>
    <w:rsid w:val="00D12FFF"/>
    <w:rsid w:val="00D136B4"/>
    <w:rsid w:val="00D139DD"/>
    <w:rsid w:val="00D13DC9"/>
    <w:rsid w:val="00D14113"/>
    <w:rsid w:val="00D14134"/>
    <w:rsid w:val="00D1414B"/>
    <w:rsid w:val="00D145F4"/>
    <w:rsid w:val="00D14A4F"/>
    <w:rsid w:val="00D14EAA"/>
    <w:rsid w:val="00D15337"/>
    <w:rsid w:val="00D15448"/>
    <w:rsid w:val="00D15BB9"/>
    <w:rsid w:val="00D15E68"/>
    <w:rsid w:val="00D1615B"/>
    <w:rsid w:val="00D16237"/>
    <w:rsid w:val="00D164B2"/>
    <w:rsid w:val="00D1696F"/>
    <w:rsid w:val="00D16A5B"/>
    <w:rsid w:val="00D16BF6"/>
    <w:rsid w:val="00D16CB9"/>
    <w:rsid w:val="00D16FFF"/>
    <w:rsid w:val="00D17E51"/>
    <w:rsid w:val="00D2041B"/>
    <w:rsid w:val="00D2046F"/>
    <w:rsid w:val="00D20A68"/>
    <w:rsid w:val="00D212D5"/>
    <w:rsid w:val="00D2258D"/>
    <w:rsid w:val="00D235BD"/>
    <w:rsid w:val="00D239A1"/>
    <w:rsid w:val="00D23C5D"/>
    <w:rsid w:val="00D23E5B"/>
    <w:rsid w:val="00D2510F"/>
    <w:rsid w:val="00D255BE"/>
    <w:rsid w:val="00D2593A"/>
    <w:rsid w:val="00D25C4A"/>
    <w:rsid w:val="00D25DF0"/>
    <w:rsid w:val="00D25FC7"/>
    <w:rsid w:val="00D26A70"/>
    <w:rsid w:val="00D26F54"/>
    <w:rsid w:val="00D27046"/>
    <w:rsid w:val="00D277A8"/>
    <w:rsid w:val="00D27DF9"/>
    <w:rsid w:val="00D303A1"/>
    <w:rsid w:val="00D30696"/>
    <w:rsid w:val="00D3072D"/>
    <w:rsid w:val="00D31E44"/>
    <w:rsid w:val="00D3200B"/>
    <w:rsid w:val="00D3210F"/>
    <w:rsid w:val="00D323B5"/>
    <w:rsid w:val="00D32519"/>
    <w:rsid w:val="00D32BAF"/>
    <w:rsid w:val="00D32FDC"/>
    <w:rsid w:val="00D334A8"/>
    <w:rsid w:val="00D33656"/>
    <w:rsid w:val="00D33CDF"/>
    <w:rsid w:val="00D33EF4"/>
    <w:rsid w:val="00D3426A"/>
    <w:rsid w:val="00D34374"/>
    <w:rsid w:val="00D34B32"/>
    <w:rsid w:val="00D356F2"/>
    <w:rsid w:val="00D36BA2"/>
    <w:rsid w:val="00D37435"/>
    <w:rsid w:val="00D37FE1"/>
    <w:rsid w:val="00D40AA3"/>
    <w:rsid w:val="00D40CF3"/>
    <w:rsid w:val="00D40E89"/>
    <w:rsid w:val="00D40E91"/>
    <w:rsid w:val="00D4111A"/>
    <w:rsid w:val="00D4179E"/>
    <w:rsid w:val="00D41CA8"/>
    <w:rsid w:val="00D41F18"/>
    <w:rsid w:val="00D420BC"/>
    <w:rsid w:val="00D42474"/>
    <w:rsid w:val="00D42A03"/>
    <w:rsid w:val="00D42E42"/>
    <w:rsid w:val="00D43B40"/>
    <w:rsid w:val="00D43FE4"/>
    <w:rsid w:val="00D4403E"/>
    <w:rsid w:val="00D442E2"/>
    <w:rsid w:val="00D44B98"/>
    <w:rsid w:val="00D45643"/>
    <w:rsid w:val="00D457BA"/>
    <w:rsid w:val="00D45D93"/>
    <w:rsid w:val="00D47529"/>
    <w:rsid w:val="00D477E4"/>
    <w:rsid w:val="00D478D4"/>
    <w:rsid w:val="00D47D3E"/>
    <w:rsid w:val="00D47FE7"/>
    <w:rsid w:val="00D51225"/>
    <w:rsid w:val="00D52098"/>
    <w:rsid w:val="00D52516"/>
    <w:rsid w:val="00D5274F"/>
    <w:rsid w:val="00D52ABB"/>
    <w:rsid w:val="00D5305F"/>
    <w:rsid w:val="00D5352B"/>
    <w:rsid w:val="00D5362F"/>
    <w:rsid w:val="00D5363D"/>
    <w:rsid w:val="00D536EA"/>
    <w:rsid w:val="00D537CF"/>
    <w:rsid w:val="00D53901"/>
    <w:rsid w:val="00D53A5F"/>
    <w:rsid w:val="00D53E57"/>
    <w:rsid w:val="00D5421F"/>
    <w:rsid w:val="00D54303"/>
    <w:rsid w:val="00D54549"/>
    <w:rsid w:val="00D5481E"/>
    <w:rsid w:val="00D54A89"/>
    <w:rsid w:val="00D54ACC"/>
    <w:rsid w:val="00D54C2F"/>
    <w:rsid w:val="00D54E9D"/>
    <w:rsid w:val="00D553C3"/>
    <w:rsid w:val="00D5566B"/>
    <w:rsid w:val="00D558F3"/>
    <w:rsid w:val="00D55FFE"/>
    <w:rsid w:val="00D560CE"/>
    <w:rsid w:val="00D563D3"/>
    <w:rsid w:val="00D566A9"/>
    <w:rsid w:val="00D567BD"/>
    <w:rsid w:val="00D56960"/>
    <w:rsid w:val="00D57572"/>
    <w:rsid w:val="00D579A1"/>
    <w:rsid w:val="00D606DD"/>
    <w:rsid w:val="00D606F1"/>
    <w:rsid w:val="00D62D8F"/>
    <w:rsid w:val="00D62F94"/>
    <w:rsid w:val="00D631E3"/>
    <w:rsid w:val="00D63991"/>
    <w:rsid w:val="00D6416B"/>
    <w:rsid w:val="00D642BA"/>
    <w:rsid w:val="00D644F9"/>
    <w:rsid w:val="00D646DA"/>
    <w:rsid w:val="00D648DE"/>
    <w:rsid w:val="00D6550A"/>
    <w:rsid w:val="00D658D7"/>
    <w:rsid w:val="00D6590D"/>
    <w:rsid w:val="00D66240"/>
    <w:rsid w:val="00D66834"/>
    <w:rsid w:val="00D66AFB"/>
    <w:rsid w:val="00D66C98"/>
    <w:rsid w:val="00D66CB1"/>
    <w:rsid w:val="00D66CE1"/>
    <w:rsid w:val="00D66F4A"/>
    <w:rsid w:val="00D67877"/>
    <w:rsid w:val="00D67965"/>
    <w:rsid w:val="00D67DCC"/>
    <w:rsid w:val="00D67E86"/>
    <w:rsid w:val="00D67F95"/>
    <w:rsid w:val="00D70C31"/>
    <w:rsid w:val="00D71258"/>
    <w:rsid w:val="00D71312"/>
    <w:rsid w:val="00D71947"/>
    <w:rsid w:val="00D71E20"/>
    <w:rsid w:val="00D72279"/>
    <w:rsid w:val="00D7262C"/>
    <w:rsid w:val="00D72768"/>
    <w:rsid w:val="00D732DE"/>
    <w:rsid w:val="00D73D08"/>
    <w:rsid w:val="00D73D81"/>
    <w:rsid w:val="00D73F51"/>
    <w:rsid w:val="00D7535E"/>
    <w:rsid w:val="00D753B7"/>
    <w:rsid w:val="00D75AD5"/>
    <w:rsid w:val="00D76493"/>
    <w:rsid w:val="00D76C62"/>
    <w:rsid w:val="00D76F49"/>
    <w:rsid w:val="00D77F22"/>
    <w:rsid w:val="00D80026"/>
    <w:rsid w:val="00D80675"/>
    <w:rsid w:val="00D8085D"/>
    <w:rsid w:val="00D809E9"/>
    <w:rsid w:val="00D8150E"/>
    <w:rsid w:val="00D8178B"/>
    <w:rsid w:val="00D817B4"/>
    <w:rsid w:val="00D81AEB"/>
    <w:rsid w:val="00D81CD3"/>
    <w:rsid w:val="00D82258"/>
    <w:rsid w:val="00D82C13"/>
    <w:rsid w:val="00D832F0"/>
    <w:rsid w:val="00D8395B"/>
    <w:rsid w:val="00D84B52"/>
    <w:rsid w:val="00D84C32"/>
    <w:rsid w:val="00D852E2"/>
    <w:rsid w:val="00D87302"/>
    <w:rsid w:val="00D87B2A"/>
    <w:rsid w:val="00D87D09"/>
    <w:rsid w:val="00D905B6"/>
    <w:rsid w:val="00D90977"/>
    <w:rsid w:val="00D90F64"/>
    <w:rsid w:val="00D9116B"/>
    <w:rsid w:val="00D91539"/>
    <w:rsid w:val="00D9162E"/>
    <w:rsid w:val="00D91791"/>
    <w:rsid w:val="00D91B28"/>
    <w:rsid w:val="00D91EF6"/>
    <w:rsid w:val="00D92215"/>
    <w:rsid w:val="00D927A0"/>
    <w:rsid w:val="00D927E2"/>
    <w:rsid w:val="00D9291E"/>
    <w:rsid w:val="00D93695"/>
    <w:rsid w:val="00D936D6"/>
    <w:rsid w:val="00D938B9"/>
    <w:rsid w:val="00D93E22"/>
    <w:rsid w:val="00D93EB0"/>
    <w:rsid w:val="00D9436F"/>
    <w:rsid w:val="00D951B1"/>
    <w:rsid w:val="00D95361"/>
    <w:rsid w:val="00D95573"/>
    <w:rsid w:val="00D95EEB"/>
    <w:rsid w:val="00D95FAD"/>
    <w:rsid w:val="00D9604D"/>
    <w:rsid w:val="00D96625"/>
    <w:rsid w:val="00D96727"/>
    <w:rsid w:val="00D974EE"/>
    <w:rsid w:val="00D97CEF"/>
    <w:rsid w:val="00DA0EDD"/>
    <w:rsid w:val="00DA1608"/>
    <w:rsid w:val="00DA1A71"/>
    <w:rsid w:val="00DA1B77"/>
    <w:rsid w:val="00DA347D"/>
    <w:rsid w:val="00DA3A5A"/>
    <w:rsid w:val="00DA3BBF"/>
    <w:rsid w:val="00DA3BF1"/>
    <w:rsid w:val="00DA4F18"/>
    <w:rsid w:val="00DA5D3A"/>
    <w:rsid w:val="00DA627C"/>
    <w:rsid w:val="00DA6B38"/>
    <w:rsid w:val="00DA6D43"/>
    <w:rsid w:val="00DA6EFA"/>
    <w:rsid w:val="00DA75CB"/>
    <w:rsid w:val="00DA7637"/>
    <w:rsid w:val="00DA7BE3"/>
    <w:rsid w:val="00DB04A4"/>
    <w:rsid w:val="00DB0504"/>
    <w:rsid w:val="00DB0943"/>
    <w:rsid w:val="00DB1261"/>
    <w:rsid w:val="00DB160E"/>
    <w:rsid w:val="00DB1A20"/>
    <w:rsid w:val="00DB2162"/>
    <w:rsid w:val="00DB238A"/>
    <w:rsid w:val="00DB2CBE"/>
    <w:rsid w:val="00DB2EFC"/>
    <w:rsid w:val="00DB39CD"/>
    <w:rsid w:val="00DB3A87"/>
    <w:rsid w:val="00DB4171"/>
    <w:rsid w:val="00DB48DF"/>
    <w:rsid w:val="00DB4F60"/>
    <w:rsid w:val="00DB5736"/>
    <w:rsid w:val="00DB588A"/>
    <w:rsid w:val="00DB5BF3"/>
    <w:rsid w:val="00DB6391"/>
    <w:rsid w:val="00DB6504"/>
    <w:rsid w:val="00DB65BE"/>
    <w:rsid w:val="00DB6B70"/>
    <w:rsid w:val="00DB6E5A"/>
    <w:rsid w:val="00DC0085"/>
    <w:rsid w:val="00DC1359"/>
    <w:rsid w:val="00DC2329"/>
    <w:rsid w:val="00DC247C"/>
    <w:rsid w:val="00DC24FD"/>
    <w:rsid w:val="00DC308C"/>
    <w:rsid w:val="00DC34E9"/>
    <w:rsid w:val="00DC3D6D"/>
    <w:rsid w:val="00DC4401"/>
    <w:rsid w:val="00DC4630"/>
    <w:rsid w:val="00DC46A1"/>
    <w:rsid w:val="00DC4718"/>
    <w:rsid w:val="00DC49D3"/>
    <w:rsid w:val="00DC4A3F"/>
    <w:rsid w:val="00DC5109"/>
    <w:rsid w:val="00DC5566"/>
    <w:rsid w:val="00DC560F"/>
    <w:rsid w:val="00DC566F"/>
    <w:rsid w:val="00DC62F5"/>
    <w:rsid w:val="00DC65E4"/>
    <w:rsid w:val="00DC70ED"/>
    <w:rsid w:val="00DC73A2"/>
    <w:rsid w:val="00DC76A8"/>
    <w:rsid w:val="00DC777E"/>
    <w:rsid w:val="00DD02EE"/>
    <w:rsid w:val="00DD0792"/>
    <w:rsid w:val="00DD2061"/>
    <w:rsid w:val="00DD213C"/>
    <w:rsid w:val="00DD2265"/>
    <w:rsid w:val="00DD23C3"/>
    <w:rsid w:val="00DD27D8"/>
    <w:rsid w:val="00DD2C82"/>
    <w:rsid w:val="00DD33B0"/>
    <w:rsid w:val="00DD377A"/>
    <w:rsid w:val="00DD3811"/>
    <w:rsid w:val="00DD3929"/>
    <w:rsid w:val="00DD4179"/>
    <w:rsid w:val="00DD44EA"/>
    <w:rsid w:val="00DD47D6"/>
    <w:rsid w:val="00DD493D"/>
    <w:rsid w:val="00DD4B5E"/>
    <w:rsid w:val="00DD4C96"/>
    <w:rsid w:val="00DD5A57"/>
    <w:rsid w:val="00DD5A98"/>
    <w:rsid w:val="00DD5B5C"/>
    <w:rsid w:val="00DD5F7E"/>
    <w:rsid w:val="00DD6B9A"/>
    <w:rsid w:val="00DD6D1A"/>
    <w:rsid w:val="00DD6DF0"/>
    <w:rsid w:val="00DD7459"/>
    <w:rsid w:val="00DD7D07"/>
    <w:rsid w:val="00DE0486"/>
    <w:rsid w:val="00DE04B7"/>
    <w:rsid w:val="00DE0628"/>
    <w:rsid w:val="00DE146D"/>
    <w:rsid w:val="00DE31BD"/>
    <w:rsid w:val="00DE31C8"/>
    <w:rsid w:val="00DE3991"/>
    <w:rsid w:val="00DE3A9D"/>
    <w:rsid w:val="00DE40AF"/>
    <w:rsid w:val="00DE439E"/>
    <w:rsid w:val="00DE4CBF"/>
    <w:rsid w:val="00DE5206"/>
    <w:rsid w:val="00DE54C5"/>
    <w:rsid w:val="00DE644D"/>
    <w:rsid w:val="00DE6789"/>
    <w:rsid w:val="00DE6F7B"/>
    <w:rsid w:val="00DE7219"/>
    <w:rsid w:val="00DF009D"/>
    <w:rsid w:val="00DF013C"/>
    <w:rsid w:val="00DF07D8"/>
    <w:rsid w:val="00DF07F7"/>
    <w:rsid w:val="00DF0CDB"/>
    <w:rsid w:val="00DF2562"/>
    <w:rsid w:val="00DF273B"/>
    <w:rsid w:val="00DF3578"/>
    <w:rsid w:val="00DF3882"/>
    <w:rsid w:val="00DF51A4"/>
    <w:rsid w:val="00DF5746"/>
    <w:rsid w:val="00DF5923"/>
    <w:rsid w:val="00DF59E4"/>
    <w:rsid w:val="00DF5DA5"/>
    <w:rsid w:val="00DF5E7F"/>
    <w:rsid w:val="00DF5ED4"/>
    <w:rsid w:val="00DF5FB6"/>
    <w:rsid w:val="00DF62C2"/>
    <w:rsid w:val="00DF69D0"/>
    <w:rsid w:val="00DF74F1"/>
    <w:rsid w:val="00DF7A78"/>
    <w:rsid w:val="00E00847"/>
    <w:rsid w:val="00E008FA"/>
    <w:rsid w:val="00E00C49"/>
    <w:rsid w:val="00E00D9F"/>
    <w:rsid w:val="00E012A0"/>
    <w:rsid w:val="00E01331"/>
    <w:rsid w:val="00E01552"/>
    <w:rsid w:val="00E01705"/>
    <w:rsid w:val="00E01934"/>
    <w:rsid w:val="00E029EE"/>
    <w:rsid w:val="00E02C32"/>
    <w:rsid w:val="00E02E73"/>
    <w:rsid w:val="00E02F4C"/>
    <w:rsid w:val="00E03058"/>
    <w:rsid w:val="00E0371F"/>
    <w:rsid w:val="00E047AC"/>
    <w:rsid w:val="00E05B80"/>
    <w:rsid w:val="00E060C5"/>
    <w:rsid w:val="00E065A5"/>
    <w:rsid w:val="00E0689A"/>
    <w:rsid w:val="00E10198"/>
    <w:rsid w:val="00E10416"/>
    <w:rsid w:val="00E1097B"/>
    <w:rsid w:val="00E10C0D"/>
    <w:rsid w:val="00E10E82"/>
    <w:rsid w:val="00E11166"/>
    <w:rsid w:val="00E11B1B"/>
    <w:rsid w:val="00E125ED"/>
    <w:rsid w:val="00E12DB3"/>
    <w:rsid w:val="00E12DDB"/>
    <w:rsid w:val="00E14CDE"/>
    <w:rsid w:val="00E14F04"/>
    <w:rsid w:val="00E1529D"/>
    <w:rsid w:val="00E154AC"/>
    <w:rsid w:val="00E15AD5"/>
    <w:rsid w:val="00E160D1"/>
    <w:rsid w:val="00E16111"/>
    <w:rsid w:val="00E163F3"/>
    <w:rsid w:val="00E164B5"/>
    <w:rsid w:val="00E16B5C"/>
    <w:rsid w:val="00E16C30"/>
    <w:rsid w:val="00E17042"/>
    <w:rsid w:val="00E17808"/>
    <w:rsid w:val="00E17A18"/>
    <w:rsid w:val="00E17DCA"/>
    <w:rsid w:val="00E20A77"/>
    <w:rsid w:val="00E21684"/>
    <w:rsid w:val="00E2265F"/>
    <w:rsid w:val="00E22AE5"/>
    <w:rsid w:val="00E233EE"/>
    <w:rsid w:val="00E238E4"/>
    <w:rsid w:val="00E239EF"/>
    <w:rsid w:val="00E23A1E"/>
    <w:rsid w:val="00E23D9F"/>
    <w:rsid w:val="00E2411B"/>
    <w:rsid w:val="00E247F0"/>
    <w:rsid w:val="00E248FA"/>
    <w:rsid w:val="00E24A09"/>
    <w:rsid w:val="00E24A66"/>
    <w:rsid w:val="00E2509A"/>
    <w:rsid w:val="00E250A1"/>
    <w:rsid w:val="00E25646"/>
    <w:rsid w:val="00E2579A"/>
    <w:rsid w:val="00E259D5"/>
    <w:rsid w:val="00E25BC7"/>
    <w:rsid w:val="00E25EB8"/>
    <w:rsid w:val="00E2636D"/>
    <w:rsid w:val="00E26462"/>
    <w:rsid w:val="00E269FB"/>
    <w:rsid w:val="00E270C3"/>
    <w:rsid w:val="00E270CA"/>
    <w:rsid w:val="00E2716F"/>
    <w:rsid w:val="00E2756F"/>
    <w:rsid w:val="00E27A68"/>
    <w:rsid w:val="00E27DF2"/>
    <w:rsid w:val="00E30BB1"/>
    <w:rsid w:val="00E3109C"/>
    <w:rsid w:val="00E31215"/>
    <w:rsid w:val="00E31535"/>
    <w:rsid w:val="00E31639"/>
    <w:rsid w:val="00E316AA"/>
    <w:rsid w:val="00E31BCB"/>
    <w:rsid w:val="00E3271A"/>
    <w:rsid w:val="00E329E1"/>
    <w:rsid w:val="00E32A74"/>
    <w:rsid w:val="00E32AF8"/>
    <w:rsid w:val="00E33023"/>
    <w:rsid w:val="00E332F9"/>
    <w:rsid w:val="00E335EA"/>
    <w:rsid w:val="00E33741"/>
    <w:rsid w:val="00E33A07"/>
    <w:rsid w:val="00E33B00"/>
    <w:rsid w:val="00E341A3"/>
    <w:rsid w:val="00E34409"/>
    <w:rsid w:val="00E3465E"/>
    <w:rsid w:val="00E35A6A"/>
    <w:rsid w:val="00E35BA2"/>
    <w:rsid w:val="00E3693E"/>
    <w:rsid w:val="00E36B94"/>
    <w:rsid w:val="00E3720F"/>
    <w:rsid w:val="00E373C5"/>
    <w:rsid w:val="00E378DB"/>
    <w:rsid w:val="00E37B8F"/>
    <w:rsid w:val="00E4015D"/>
    <w:rsid w:val="00E40453"/>
    <w:rsid w:val="00E40BBE"/>
    <w:rsid w:val="00E40E7F"/>
    <w:rsid w:val="00E41B91"/>
    <w:rsid w:val="00E42157"/>
    <w:rsid w:val="00E42318"/>
    <w:rsid w:val="00E4322C"/>
    <w:rsid w:val="00E43655"/>
    <w:rsid w:val="00E4395F"/>
    <w:rsid w:val="00E43AE1"/>
    <w:rsid w:val="00E44165"/>
    <w:rsid w:val="00E443AC"/>
    <w:rsid w:val="00E44556"/>
    <w:rsid w:val="00E4455B"/>
    <w:rsid w:val="00E44D9C"/>
    <w:rsid w:val="00E4564C"/>
    <w:rsid w:val="00E457FD"/>
    <w:rsid w:val="00E45879"/>
    <w:rsid w:val="00E46195"/>
    <w:rsid w:val="00E46801"/>
    <w:rsid w:val="00E4724C"/>
    <w:rsid w:val="00E479AB"/>
    <w:rsid w:val="00E47C83"/>
    <w:rsid w:val="00E47FA4"/>
    <w:rsid w:val="00E50174"/>
    <w:rsid w:val="00E5020D"/>
    <w:rsid w:val="00E5051D"/>
    <w:rsid w:val="00E50D49"/>
    <w:rsid w:val="00E50E76"/>
    <w:rsid w:val="00E5122C"/>
    <w:rsid w:val="00E51438"/>
    <w:rsid w:val="00E514B8"/>
    <w:rsid w:val="00E51F4D"/>
    <w:rsid w:val="00E53967"/>
    <w:rsid w:val="00E53F4D"/>
    <w:rsid w:val="00E5489A"/>
    <w:rsid w:val="00E54A03"/>
    <w:rsid w:val="00E54C88"/>
    <w:rsid w:val="00E54DC4"/>
    <w:rsid w:val="00E553C9"/>
    <w:rsid w:val="00E5649C"/>
    <w:rsid w:val="00E56509"/>
    <w:rsid w:val="00E5661B"/>
    <w:rsid w:val="00E56756"/>
    <w:rsid w:val="00E56BD6"/>
    <w:rsid w:val="00E56EBA"/>
    <w:rsid w:val="00E5741A"/>
    <w:rsid w:val="00E6035B"/>
    <w:rsid w:val="00E6049C"/>
    <w:rsid w:val="00E6081C"/>
    <w:rsid w:val="00E6084B"/>
    <w:rsid w:val="00E615E3"/>
    <w:rsid w:val="00E61981"/>
    <w:rsid w:val="00E6207D"/>
    <w:rsid w:val="00E62531"/>
    <w:rsid w:val="00E6265F"/>
    <w:rsid w:val="00E62AF0"/>
    <w:rsid w:val="00E62B1F"/>
    <w:rsid w:val="00E62B62"/>
    <w:rsid w:val="00E62D71"/>
    <w:rsid w:val="00E63D9D"/>
    <w:rsid w:val="00E64494"/>
    <w:rsid w:val="00E64560"/>
    <w:rsid w:val="00E6472D"/>
    <w:rsid w:val="00E648B0"/>
    <w:rsid w:val="00E64B40"/>
    <w:rsid w:val="00E6571B"/>
    <w:rsid w:val="00E659A8"/>
    <w:rsid w:val="00E65ABD"/>
    <w:rsid w:val="00E65AC9"/>
    <w:rsid w:val="00E65AD4"/>
    <w:rsid w:val="00E65E6A"/>
    <w:rsid w:val="00E6614B"/>
    <w:rsid w:val="00E66157"/>
    <w:rsid w:val="00E66212"/>
    <w:rsid w:val="00E6666A"/>
    <w:rsid w:val="00E666DC"/>
    <w:rsid w:val="00E66C81"/>
    <w:rsid w:val="00E66E12"/>
    <w:rsid w:val="00E67B7C"/>
    <w:rsid w:val="00E702F5"/>
    <w:rsid w:val="00E70516"/>
    <w:rsid w:val="00E70A27"/>
    <w:rsid w:val="00E70AED"/>
    <w:rsid w:val="00E70DA5"/>
    <w:rsid w:val="00E70E9F"/>
    <w:rsid w:val="00E70F7E"/>
    <w:rsid w:val="00E70FD9"/>
    <w:rsid w:val="00E712FE"/>
    <w:rsid w:val="00E71628"/>
    <w:rsid w:val="00E7199F"/>
    <w:rsid w:val="00E71ECC"/>
    <w:rsid w:val="00E71F71"/>
    <w:rsid w:val="00E721AC"/>
    <w:rsid w:val="00E722D8"/>
    <w:rsid w:val="00E72438"/>
    <w:rsid w:val="00E72708"/>
    <w:rsid w:val="00E732D0"/>
    <w:rsid w:val="00E7333B"/>
    <w:rsid w:val="00E737A0"/>
    <w:rsid w:val="00E74048"/>
    <w:rsid w:val="00E74489"/>
    <w:rsid w:val="00E747AE"/>
    <w:rsid w:val="00E7494D"/>
    <w:rsid w:val="00E75355"/>
    <w:rsid w:val="00E75773"/>
    <w:rsid w:val="00E75C22"/>
    <w:rsid w:val="00E75C50"/>
    <w:rsid w:val="00E75D5E"/>
    <w:rsid w:val="00E763A4"/>
    <w:rsid w:val="00E76959"/>
    <w:rsid w:val="00E76C46"/>
    <w:rsid w:val="00E7702A"/>
    <w:rsid w:val="00E7704E"/>
    <w:rsid w:val="00E7721E"/>
    <w:rsid w:val="00E77345"/>
    <w:rsid w:val="00E77450"/>
    <w:rsid w:val="00E77560"/>
    <w:rsid w:val="00E77752"/>
    <w:rsid w:val="00E77C6C"/>
    <w:rsid w:val="00E80055"/>
    <w:rsid w:val="00E80322"/>
    <w:rsid w:val="00E805F0"/>
    <w:rsid w:val="00E809C3"/>
    <w:rsid w:val="00E80F9D"/>
    <w:rsid w:val="00E81534"/>
    <w:rsid w:val="00E81713"/>
    <w:rsid w:val="00E818CB"/>
    <w:rsid w:val="00E81908"/>
    <w:rsid w:val="00E8195C"/>
    <w:rsid w:val="00E81B38"/>
    <w:rsid w:val="00E81C05"/>
    <w:rsid w:val="00E8281F"/>
    <w:rsid w:val="00E835AC"/>
    <w:rsid w:val="00E83C83"/>
    <w:rsid w:val="00E8431E"/>
    <w:rsid w:val="00E85943"/>
    <w:rsid w:val="00E85F8C"/>
    <w:rsid w:val="00E8622A"/>
    <w:rsid w:val="00E86255"/>
    <w:rsid w:val="00E864F9"/>
    <w:rsid w:val="00E879E7"/>
    <w:rsid w:val="00E90E4E"/>
    <w:rsid w:val="00E90FDB"/>
    <w:rsid w:val="00E913FF"/>
    <w:rsid w:val="00E918C8"/>
    <w:rsid w:val="00E91A70"/>
    <w:rsid w:val="00E91AC2"/>
    <w:rsid w:val="00E92BB2"/>
    <w:rsid w:val="00E92C56"/>
    <w:rsid w:val="00E92F78"/>
    <w:rsid w:val="00E93111"/>
    <w:rsid w:val="00E93746"/>
    <w:rsid w:val="00E938FB"/>
    <w:rsid w:val="00E93D53"/>
    <w:rsid w:val="00E93FC0"/>
    <w:rsid w:val="00E94115"/>
    <w:rsid w:val="00E9439E"/>
    <w:rsid w:val="00E9451F"/>
    <w:rsid w:val="00E946EF"/>
    <w:rsid w:val="00E9493A"/>
    <w:rsid w:val="00E94C5C"/>
    <w:rsid w:val="00E95B31"/>
    <w:rsid w:val="00E95B7B"/>
    <w:rsid w:val="00E960A0"/>
    <w:rsid w:val="00E96695"/>
    <w:rsid w:val="00E96BC2"/>
    <w:rsid w:val="00E97BF3"/>
    <w:rsid w:val="00EA0AED"/>
    <w:rsid w:val="00EA0C44"/>
    <w:rsid w:val="00EA0E8B"/>
    <w:rsid w:val="00EA1689"/>
    <w:rsid w:val="00EA1735"/>
    <w:rsid w:val="00EA1D0D"/>
    <w:rsid w:val="00EA205B"/>
    <w:rsid w:val="00EA22B5"/>
    <w:rsid w:val="00EA2950"/>
    <w:rsid w:val="00EA372B"/>
    <w:rsid w:val="00EA3BBA"/>
    <w:rsid w:val="00EA3CC9"/>
    <w:rsid w:val="00EA41D9"/>
    <w:rsid w:val="00EA455B"/>
    <w:rsid w:val="00EA4922"/>
    <w:rsid w:val="00EA4B2E"/>
    <w:rsid w:val="00EA51C1"/>
    <w:rsid w:val="00EA5403"/>
    <w:rsid w:val="00EA55C0"/>
    <w:rsid w:val="00EA5B4D"/>
    <w:rsid w:val="00EA5D9F"/>
    <w:rsid w:val="00EA6142"/>
    <w:rsid w:val="00EA67B9"/>
    <w:rsid w:val="00EA680B"/>
    <w:rsid w:val="00EA6C60"/>
    <w:rsid w:val="00EA6CFE"/>
    <w:rsid w:val="00EA7141"/>
    <w:rsid w:val="00EA741D"/>
    <w:rsid w:val="00EA75E8"/>
    <w:rsid w:val="00EB0053"/>
    <w:rsid w:val="00EB04A5"/>
    <w:rsid w:val="00EB095C"/>
    <w:rsid w:val="00EB0C1C"/>
    <w:rsid w:val="00EB0F78"/>
    <w:rsid w:val="00EB1316"/>
    <w:rsid w:val="00EB23DC"/>
    <w:rsid w:val="00EB256A"/>
    <w:rsid w:val="00EB2713"/>
    <w:rsid w:val="00EB2BD6"/>
    <w:rsid w:val="00EB2BE9"/>
    <w:rsid w:val="00EB2E0A"/>
    <w:rsid w:val="00EB36A0"/>
    <w:rsid w:val="00EB370B"/>
    <w:rsid w:val="00EB3ED4"/>
    <w:rsid w:val="00EB4802"/>
    <w:rsid w:val="00EB4EA9"/>
    <w:rsid w:val="00EB53F2"/>
    <w:rsid w:val="00EB551F"/>
    <w:rsid w:val="00EB599C"/>
    <w:rsid w:val="00EB5CA1"/>
    <w:rsid w:val="00EB5CC6"/>
    <w:rsid w:val="00EB5E18"/>
    <w:rsid w:val="00EB64DC"/>
    <w:rsid w:val="00EB6BA2"/>
    <w:rsid w:val="00EB6E05"/>
    <w:rsid w:val="00EB74CA"/>
    <w:rsid w:val="00EB7711"/>
    <w:rsid w:val="00EB7CAD"/>
    <w:rsid w:val="00EB7DC5"/>
    <w:rsid w:val="00EC05FC"/>
    <w:rsid w:val="00EC09AF"/>
    <w:rsid w:val="00EC0DE5"/>
    <w:rsid w:val="00EC0E19"/>
    <w:rsid w:val="00EC0E21"/>
    <w:rsid w:val="00EC103E"/>
    <w:rsid w:val="00EC1116"/>
    <w:rsid w:val="00EC1891"/>
    <w:rsid w:val="00EC29AD"/>
    <w:rsid w:val="00EC2F44"/>
    <w:rsid w:val="00EC3279"/>
    <w:rsid w:val="00EC3BDD"/>
    <w:rsid w:val="00EC40D5"/>
    <w:rsid w:val="00EC4226"/>
    <w:rsid w:val="00EC436E"/>
    <w:rsid w:val="00EC446B"/>
    <w:rsid w:val="00EC5834"/>
    <w:rsid w:val="00EC5DC2"/>
    <w:rsid w:val="00EC621D"/>
    <w:rsid w:val="00EC6604"/>
    <w:rsid w:val="00EC6B4F"/>
    <w:rsid w:val="00EC79C7"/>
    <w:rsid w:val="00EC7A00"/>
    <w:rsid w:val="00EC7CCD"/>
    <w:rsid w:val="00EC7ED9"/>
    <w:rsid w:val="00ED1D3B"/>
    <w:rsid w:val="00ED28C4"/>
    <w:rsid w:val="00ED2B64"/>
    <w:rsid w:val="00ED2C5E"/>
    <w:rsid w:val="00ED34BE"/>
    <w:rsid w:val="00ED38C2"/>
    <w:rsid w:val="00ED39ED"/>
    <w:rsid w:val="00ED3D3A"/>
    <w:rsid w:val="00ED3F36"/>
    <w:rsid w:val="00ED401E"/>
    <w:rsid w:val="00ED4417"/>
    <w:rsid w:val="00ED4537"/>
    <w:rsid w:val="00ED4D51"/>
    <w:rsid w:val="00ED5101"/>
    <w:rsid w:val="00ED5185"/>
    <w:rsid w:val="00ED5207"/>
    <w:rsid w:val="00ED56D7"/>
    <w:rsid w:val="00ED5C42"/>
    <w:rsid w:val="00ED5DDC"/>
    <w:rsid w:val="00ED61D8"/>
    <w:rsid w:val="00ED61FD"/>
    <w:rsid w:val="00ED682D"/>
    <w:rsid w:val="00ED6992"/>
    <w:rsid w:val="00ED6DBC"/>
    <w:rsid w:val="00ED6F2F"/>
    <w:rsid w:val="00ED7477"/>
    <w:rsid w:val="00ED749B"/>
    <w:rsid w:val="00ED77D6"/>
    <w:rsid w:val="00ED7D8F"/>
    <w:rsid w:val="00EE0193"/>
    <w:rsid w:val="00EE02E3"/>
    <w:rsid w:val="00EE0558"/>
    <w:rsid w:val="00EE0C06"/>
    <w:rsid w:val="00EE0CA7"/>
    <w:rsid w:val="00EE15DC"/>
    <w:rsid w:val="00EE1CA3"/>
    <w:rsid w:val="00EE1F24"/>
    <w:rsid w:val="00EE3722"/>
    <w:rsid w:val="00EE3928"/>
    <w:rsid w:val="00EE3996"/>
    <w:rsid w:val="00EE3A1F"/>
    <w:rsid w:val="00EE4090"/>
    <w:rsid w:val="00EE486E"/>
    <w:rsid w:val="00EE4C7E"/>
    <w:rsid w:val="00EE5AE2"/>
    <w:rsid w:val="00EE5DAF"/>
    <w:rsid w:val="00EE5E3C"/>
    <w:rsid w:val="00EE6F7F"/>
    <w:rsid w:val="00EE74B0"/>
    <w:rsid w:val="00EF01BB"/>
    <w:rsid w:val="00EF029C"/>
    <w:rsid w:val="00EF09F2"/>
    <w:rsid w:val="00EF177B"/>
    <w:rsid w:val="00EF1894"/>
    <w:rsid w:val="00EF1923"/>
    <w:rsid w:val="00EF1ADD"/>
    <w:rsid w:val="00EF1D10"/>
    <w:rsid w:val="00EF280F"/>
    <w:rsid w:val="00EF2A17"/>
    <w:rsid w:val="00EF2F13"/>
    <w:rsid w:val="00EF3C33"/>
    <w:rsid w:val="00EF57BE"/>
    <w:rsid w:val="00EF61EC"/>
    <w:rsid w:val="00EF6279"/>
    <w:rsid w:val="00EF6335"/>
    <w:rsid w:val="00EF65D7"/>
    <w:rsid w:val="00EF6603"/>
    <w:rsid w:val="00EF6A83"/>
    <w:rsid w:val="00EF7576"/>
    <w:rsid w:val="00F00E31"/>
    <w:rsid w:val="00F01C97"/>
    <w:rsid w:val="00F01F96"/>
    <w:rsid w:val="00F02361"/>
    <w:rsid w:val="00F028F3"/>
    <w:rsid w:val="00F02BC8"/>
    <w:rsid w:val="00F02EEE"/>
    <w:rsid w:val="00F03440"/>
    <w:rsid w:val="00F0414C"/>
    <w:rsid w:val="00F042ED"/>
    <w:rsid w:val="00F04689"/>
    <w:rsid w:val="00F04B51"/>
    <w:rsid w:val="00F05252"/>
    <w:rsid w:val="00F052A3"/>
    <w:rsid w:val="00F053D1"/>
    <w:rsid w:val="00F05483"/>
    <w:rsid w:val="00F0586E"/>
    <w:rsid w:val="00F05AD4"/>
    <w:rsid w:val="00F05BE1"/>
    <w:rsid w:val="00F05C97"/>
    <w:rsid w:val="00F063F4"/>
    <w:rsid w:val="00F066DD"/>
    <w:rsid w:val="00F06D25"/>
    <w:rsid w:val="00F07353"/>
    <w:rsid w:val="00F0789A"/>
    <w:rsid w:val="00F0792A"/>
    <w:rsid w:val="00F07B1C"/>
    <w:rsid w:val="00F07DF5"/>
    <w:rsid w:val="00F10025"/>
    <w:rsid w:val="00F10078"/>
    <w:rsid w:val="00F1063A"/>
    <w:rsid w:val="00F10AFB"/>
    <w:rsid w:val="00F1152A"/>
    <w:rsid w:val="00F118FC"/>
    <w:rsid w:val="00F11BD5"/>
    <w:rsid w:val="00F11CD8"/>
    <w:rsid w:val="00F11F66"/>
    <w:rsid w:val="00F121C8"/>
    <w:rsid w:val="00F12537"/>
    <w:rsid w:val="00F127CB"/>
    <w:rsid w:val="00F12DD5"/>
    <w:rsid w:val="00F1318E"/>
    <w:rsid w:val="00F13A3A"/>
    <w:rsid w:val="00F13AB2"/>
    <w:rsid w:val="00F13FC9"/>
    <w:rsid w:val="00F1477A"/>
    <w:rsid w:val="00F14CC6"/>
    <w:rsid w:val="00F14CD2"/>
    <w:rsid w:val="00F15BF7"/>
    <w:rsid w:val="00F15EF3"/>
    <w:rsid w:val="00F15F3F"/>
    <w:rsid w:val="00F1615A"/>
    <w:rsid w:val="00F16C2F"/>
    <w:rsid w:val="00F17183"/>
    <w:rsid w:val="00F17650"/>
    <w:rsid w:val="00F17A6B"/>
    <w:rsid w:val="00F17B3D"/>
    <w:rsid w:val="00F17F8D"/>
    <w:rsid w:val="00F2015E"/>
    <w:rsid w:val="00F207D8"/>
    <w:rsid w:val="00F22934"/>
    <w:rsid w:val="00F22978"/>
    <w:rsid w:val="00F2306B"/>
    <w:rsid w:val="00F23121"/>
    <w:rsid w:val="00F2318A"/>
    <w:rsid w:val="00F231AB"/>
    <w:rsid w:val="00F23383"/>
    <w:rsid w:val="00F23986"/>
    <w:rsid w:val="00F23CF7"/>
    <w:rsid w:val="00F24640"/>
    <w:rsid w:val="00F247AE"/>
    <w:rsid w:val="00F2501C"/>
    <w:rsid w:val="00F250B6"/>
    <w:rsid w:val="00F2566A"/>
    <w:rsid w:val="00F25D24"/>
    <w:rsid w:val="00F26113"/>
    <w:rsid w:val="00F26349"/>
    <w:rsid w:val="00F26998"/>
    <w:rsid w:val="00F26D8C"/>
    <w:rsid w:val="00F273C6"/>
    <w:rsid w:val="00F27A4C"/>
    <w:rsid w:val="00F30169"/>
    <w:rsid w:val="00F308B3"/>
    <w:rsid w:val="00F308F5"/>
    <w:rsid w:val="00F309F6"/>
    <w:rsid w:val="00F31379"/>
    <w:rsid w:val="00F318B7"/>
    <w:rsid w:val="00F31DD7"/>
    <w:rsid w:val="00F3230D"/>
    <w:rsid w:val="00F325D4"/>
    <w:rsid w:val="00F33537"/>
    <w:rsid w:val="00F33B54"/>
    <w:rsid w:val="00F33D0B"/>
    <w:rsid w:val="00F3400A"/>
    <w:rsid w:val="00F345D3"/>
    <w:rsid w:val="00F3468D"/>
    <w:rsid w:val="00F3481A"/>
    <w:rsid w:val="00F35239"/>
    <w:rsid w:val="00F3626E"/>
    <w:rsid w:val="00F367F9"/>
    <w:rsid w:val="00F369D1"/>
    <w:rsid w:val="00F375C4"/>
    <w:rsid w:val="00F37C7B"/>
    <w:rsid w:val="00F37F28"/>
    <w:rsid w:val="00F4034E"/>
    <w:rsid w:val="00F40434"/>
    <w:rsid w:val="00F410B1"/>
    <w:rsid w:val="00F413D5"/>
    <w:rsid w:val="00F426E4"/>
    <w:rsid w:val="00F42BD7"/>
    <w:rsid w:val="00F42FE9"/>
    <w:rsid w:val="00F4315D"/>
    <w:rsid w:val="00F43467"/>
    <w:rsid w:val="00F434C3"/>
    <w:rsid w:val="00F437BC"/>
    <w:rsid w:val="00F439FB"/>
    <w:rsid w:val="00F43BAA"/>
    <w:rsid w:val="00F44B64"/>
    <w:rsid w:val="00F44D5A"/>
    <w:rsid w:val="00F4533E"/>
    <w:rsid w:val="00F45417"/>
    <w:rsid w:val="00F454FE"/>
    <w:rsid w:val="00F456A2"/>
    <w:rsid w:val="00F45931"/>
    <w:rsid w:val="00F4594D"/>
    <w:rsid w:val="00F46524"/>
    <w:rsid w:val="00F46529"/>
    <w:rsid w:val="00F465C8"/>
    <w:rsid w:val="00F471B2"/>
    <w:rsid w:val="00F472D3"/>
    <w:rsid w:val="00F472E4"/>
    <w:rsid w:val="00F5056B"/>
    <w:rsid w:val="00F506A9"/>
    <w:rsid w:val="00F512AF"/>
    <w:rsid w:val="00F51B78"/>
    <w:rsid w:val="00F52120"/>
    <w:rsid w:val="00F5278A"/>
    <w:rsid w:val="00F52C8F"/>
    <w:rsid w:val="00F52F5C"/>
    <w:rsid w:val="00F53143"/>
    <w:rsid w:val="00F5319E"/>
    <w:rsid w:val="00F5347C"/>
    <w:rsid w:val="00F534D9"/>
    <w:rsid w:val="00F53783"/>
    <w:rsid w:val="00F53AE3"/>
    <w:rsid w:val="00F53B21"/>
    <w:rsid w:val="00F53DC3"/>
    <w:rsid w:val="00F54205"/>
    <w:rsid w:val="00F543B1"/>
    <w:rsid w:val="00F55106"/>
    <w:rsid w:val="00F552FA"/>
    <w:rsid w:val="00F55E8E"/>
    <w:rsid w:val="00F56233"/>
    <w:rsid w:val="00F566C2"/>
    <w:rsid w:val="00F56772"/>
    <w:rsid w:val="00F567D8"/>
    <w:rsid w:val="00F56895"/>
    <w:rsid w:val="00F568E6"/>
    <w:rsid w:val="00F56F62"/>
    <w:rsid w:val="00F57112"/>
    <w:rsid w:val="00F57339"/>
    <w:rsid w:val="00F60479"/>
    <w:rsid w:val="00F60E5D"/>
    <w:rsid w:val="00F61141"/>
    <w:rsid w:val="00F61152"/>
    <w:rsid w:val="00F6171B"/>
    <w:rsid w:val="00F61953"/>
    <w:rsid w:val="00F61A58"/>
    <w:rsid w:val="00F61B70"/>
    <w:rsid w:val="00F61E65"/>
    <w:rsid w:val="00F62B44"/>
    <w:rsid w:val="00F630A9"/>
    <w:rsid w:val="00F6325C"/>
    <w:rsid w:val="00F6359E"/>
    <w:rsid w:val="00F6360B"/>
    <w:rsid w:val="00F63716"/>
    <w:rsid w:val="00F6391D"/>
    <w:rsid w:val="00F63C1F"/>
    <w:rsid w:val="00F64037"/>
    <w:rsid w:val="00F6470C"/>
    <w:rsid w:val="00F64948"/>
    <w:rsid w:val="00F64D01"/>
    <w:rsid w:val="00F64F00"/>
    <w:rsid w:val="00F64F78"/>
    <w:rsid w:val="00F6528A"/>
    <w:rsid w:val="00F652FF"/>
    <w:rsid w:val="00F65455"/>
    <w:rsid w:val="00F65507"/>
    <w:rsid w:val="00F659B1"/>
    <w:rsid w:val="00F65DAA"/>
    <w:rsid w:val="00F66941"/>
    <w:rsid w:val="00F66FE6"/>
    <w:rsid w:val="00F67765"/>
    <w:rsid w:val="00F67D2C"/>
    <w:rsid w:val="00F706A2"/>
    <w:rsid w:val="00F70B5C"/>
    <w:rsid w:val="00F70DC9"/>
    <w:rsid w:val="00F70F8F"/>
    <w:rsid w:val="00F71194"/>
    <w:rsid w:val="00F712D6"/>
    <w:rsid w:val="00F71C01"/>
    <w:rsid w:val="00F71DA0"/>
    <w:rsid w:val="00F72871"/>
    <w:rsid w:val="00F72904"/>
    <w:rsid w:val="00F7312A"/>
    <w:rsid w:val="00F732C3"/>
    <w:rsid w:val="00F73B86"/>
    <w:rsid w:val="00F74645"/>
    <w:rsid w:val="00F74CDE"/>
    <w:rsid w:val="00F74EA5"/>
    <w:rsid w:val="00F754F4"/>
    <w:rsid w:val="00F75515"/>
    <w:rsid w:val="00F7590A"/>
    <w:rsid w:val="00F75F45"/>
    <w:rsid w:val="00F760FA"/>
    <w:rsid w:val="00F774A2"/>
    <w:rsid w:val="00F778C4"/>
    <w:rsid w:val="00F778CA"/>
    <w:rsid w:val="00F77976"/>
    <w:rsid w:val="00F779F7"/>
    <w:rsid w:val="00F77EEA"/>
    <w:rsid w:val="00F80012"/>
    <w:rsid w:val="00F800A5"/>
    <w:rsid w:val="00F804DE"/>
    <w:rsid w:val="00F81250"/>
    <w:rsid w:val="00F81300"/>
    <w:rsid w:val="00F82FC4"/>
    <w:rsid w:val="00F8302B"/>
    <w:rsid w:val="00F8311D"/>
    <w:rsid w:val="00F8362B"/>
    <w:rsid w:val="00F83963"/>
    <w:rsid w:val="00F83987"/>
    <w:rsid w:val="00F83A22"/>
    <w:rsid w:val="00F83A7B"/>
    <w:rsid w:val="00F83ACC"/>
    <w:rsid w:val="00F83BC6"/>
    <w:rsid w:val="00F83BEB"/>
    <w:rsid w:val="00F83EEF"/>
    <w:rsid w:val="00F8421A"/>
    <w:rsid w:val="00F84865"/>
    <w:rsid w:val="00F85435"/>
    <w:rsid w:val="00F85609"/>
    <w:rsid w:val="00F857A3"/>
    <w:rsid w:val="00F8631F"/>
    <w:rsid w:val="00F86526"/>
    <w:rsid w:val="00F866D0"/>
    <w:rsid w:val="00F868B2"/>
    <w:rsid w:val="00F868D9"/>
    <w:rsid w:val="00F869B1"/>
    <w:rsid w:val="00F86E03"/>
    <w:rsid w:val="00F86FAE"/>
    <w:rsid w:val="00F9010F"/>
    <w:rsid w:val="00F91BEC"/>
    <w:rsid w:val="00F91ED5"/>
    <w:rsid w:val="00F923CB"/>
    <w:rsid w:val="00F925A1"/>
    <w:rsid w:val="00F9280C"/>
    <w:rsid w:val="00F9308A"/>
    <w:rsid w:val="00F9351C"/>
    <w:rsid w:val="00F93844"/>
    <w:rsid w:val="00F940AD"/>
    <w:rsid w:val="00F9411B"/>
    <w:rsid w:val="00F947DD"/>
    <w:rsid w:val="00F95E55"/>
    <w:rsid w:val="00F9649F"/>
    <w:rsid w:val="00F9722F"/>
    <w:rsid w:val="00F97280"/>
    <w:rsid w:val="00F974A1"/>
    <w:rsid w:val="00F97A43"/>
    <w:rsid w:val="00FA01E3"/>
    <w:rsid w:val="00FA04CA"/>
    <w:rsid w:val="00FA06EE"/>
    <w:rsid w:val="00FA0975"/>
    <w:rsid w:val="00FA0D9E"/>
    <w:rsid w:val="00FA0F83"/>
    <w:rsid w:val="00FA1135"/>
    <w:rsid w:val="00FA12BE"/>
    <w:rsid w:val="00FA13F8"/>
    <w:rsid w:val="00FA1DEA"/>
    <w:rsid w:val="00FA1EA6"/>
    <w:rsid w:val="00FA20F6"/>
    <w:rsid w:val="00FA2C50"/>
    <w:rsid w:val="00FA307F"/>
    <w:rsid w:val="00FA3202"/>
    <w:rsid w:val="00FA3FD4"/>
    <w:rsid w:val="00FA4740"/>
    <w:rsid w:val="00FA49FE"/>
    <w:rsid w:val="00FA4BD7"/>
    <w:rsid w:val="00FA4CE5"/>
    <w:rsid w:val="00FA55CC"/>
    <w:rsid w:val="00FA57EE"/>
    <w:rsid w:val="00FA6726"/>
    <w:rsid w:val="00FA6B86"/>
    <w:rsid w:val="00FA6E11"/>
    <w:rsid w:val="00FA6FFC"/>
    <w:rsid w:val="00FA773A"/>
    <w:rsid w:val="00FA7878"/>
    <w:rsid w:val="00FB0A8A"/>
    <w:rsid w:val="00FB1101"/>
    <w:rsid w:val="00FB12C9"/>
    <w:rsid w:val="00FB1963"/>
    <w:rsid w:val="00FB1E28"/>
    <w:rsid w:val="00FB2129"/>
    <w:rsid w:val="00FB2136"/>
    <w:rsid w:val="00FB21C1"/>
    <w:rsid w:val="00FB22DE"/>
    <w:rsid w:val="00FB307E"/>
    <w:rsid w:val="00FB3381"/>
    <w:rsid w:val="00FB3628"/>
    <w:rsid w:val="00FB377E"/>
    <w:rsid w:val="00FB40DF"/>
    <w:rsid w:val="00FB41AB"/>
    <w:rsid w:val="00FB47C4"/>
    <w:rsid w:val="00FB5109"/>
    <w:rsid w:val="00FB531B"/>
    <w:rsid w:val="00FB5DF9"/>
    <w:rsid w:val="00FB6228"/>
    <w:rsid w:val="00FB6619"/>
    <w:rsid w:val="00FB750F"/>
    <w:rsid w:val="00FB7C3F"/>
    <w:rsid w:val="00FB7C93"/>
    <w:rsid w:val="00FC00A4"/>
    <w:rsid w:val="00FC0857"/>
    <w:rsid w:val="00FC13CF"/>
    <w:rsid w:val="00FC145B"/>
    <w:rsid w:val="00FC182E"/>
    <w:rsid w:val="00FC1F5C"/>
    <w:rsid w:val="00FC26BB"/>
    <w:rsid w:val="00FC2D99"/>
    <w:rsid w:val="00FC3111"/>
    <w:rsid w:val="00FC36C9"/>
    <w:rsid w:val="00FC381D"/>
    <w:rsid w:val="00FC3B4C"/>
    <w:rsid w:val="00FC3E82"/>
    <w:rsid w:val="00FC447A"/>
    <w:rsid w:val="00FC4C3B"/>
    <w:rsid w:val="00FC4C85"/>
    <w:rsid w:val="00FC562F"/>
    <w:rsid w:val="00FC6523"/>
    <w:rsid w:val="00FC664C"/>
    <w:rsid w:val="00FC675B"/>
    <w:rsid w:val="00FC6803"/>
    <w:rsid w:val="00FC6978"/>
    <w:rsid w:val="00FC6F2C"/>
    <w:rsid w:val="00FC70B4"/>
    <w:rsid w:val="00FC74DF"/>
    <w:rsid w:val="00FC79B5"/>
    <w:rsid w:val="00FC7CEA"/>
    <w:rsid w:val="00FD005C"/>
    <w:rsid w:val="00FD007E"/>
    <w:rsid w:val="00FD0105"/>
    <w:rsid w:val="00FD0DFB"/>
    <w:rsid w:val="00FD10D0"/>
    <w:rsid w:val="00FD1358"/>
    <w:rsid w:val="00FD180B"/>
    <w:rsid w:val="00FD1B49"/>
    <w:rsid w:val="00FD1E1D"/>
    <w:rsid w:val="00FD208F"/>
    <w:rsid w:val="00FD3537"/>
    <w:rsid w:val="00FD3585"/>
    <w:rsid w:val="00FD3E52"/>
    <w:rsid w:val="00FD4EA8"/>
    <w:rsid w:val="00FD5431"/>
    <w:rsid w:val="00FD5444"/>
    <w:rsid w:val="00FD550B"/>
    <w:rsid w:val="00FD55AF"/>
    <w:rsid w:val="00FD5831"/>
    <w:rsid w:val="00FD5867"/>
    <w:rsid w:val="00FD5B4F"/>
    <w:rsid w:val="00FD63C2"/>
    <w:rsid w:val="00FD681A"/>
    <w:rsid w:val="00FD6DEE"/>
    <w:rsid w:val="00FD76A8"/>
    <w:rsid w:val="00FD7806"/>
    <w:rsid w:val="00FD791E"/>
    <w:rsid w:val="00FD7CC2"/>
    <w:rsid w:val="00FE02A7"/>
    <w:rsid w:val="00FE0C2F"/>
    <w:rsid w:val="00FE0D66"/>
    <w:rsid w:val="00FE1A60"/>
    <w:rsid w:val="00FE1F70"/>
    <w:rsid w:val="00FE26FE"/>
    <w:rsid w:val="00FE3039"/>
    <w:rsid w:val="00FE36CB"/>
    <w:rsid w:val="00FE36D7"/>
    <w:rsid w:val="00FE3AE8"/>
    <w:rsid w:val="00FE4001"/>
    <w:rsid w:val="00FE411B"/>
    <w:rsid w:val="00FE43BC"/>
    <w:rsid w:val="00FE49E0"/>
    <w:rsid w:val="00FE4BFE"/>
    <w:rsid w:val="00FE4CFB"/>
    <w:rsid w:val="00FE4FBA"/>
    <w:rsid w:val="00FE4FBB"/>
    <w:rsid w:val="00FE4FEE"/>
    <w:rsid w:val="00FE57C1"/>
    <w:rsid w:val="00FE594D"/>
    <w:rsid w:val="00FE69C7"/>
    <w:rsid w:val="00FE6BEE"/>
    <w:rsid w:val="00FE7969"/>
    <w:rsid w:val="00FE79BD"/>
    <w:rsid w:val="00FE7B51"/>
    <w:rsid w:val="00FE7CC9"/>
    <w:rsid w:val="00FF0337"/>
    <w:rsid w:val="00FF072C"/>
    <w:rsid w:val="00FF0A0A"/>
    <w:rsid w:val="00FF11CB"/>
    <w:rsid w:val="00FF1226"/>
    <w:rsid w:val="00FF1E44"/>
    <w:rsid w:val="00FF1F4F"/>
    <w:rsid w:val="00FF2961"/>
    <w:rsid w:val="00FF3BF0"/>
    <w:rsid w:val="00FF3DDC"/>
    <w:rsid w:val="00FF3E89"/>
    <w:rsid w:val="00FF4097"/>
    <w:rsid w:val="00FF40EC"/>
    <w:rsid w:val="00FF412C"/>
    <w:rsid w:val="00FF5362"/>
    <w:rsid w:val="00FF640D"/>
    <w:rsid w:val="00FF657B"/>
    <w:rsid w:val="00FF6E7B"/>
    <w:rsid w:val="00FF7117"/>
    <w:rsid w:val="00FF7EA3"/>
    <w:rsid w:val="01CC4AE0"/>
    <w:rsid w:val="023FB6FA"/>
    <w:rsid w:val="03C4A813"/>
    <w:rsid w:val="043DCF62"/>
    <w:rsid w:val="053CEED2"/>
    <w:rsid w:val="0558B1E0"/>
    <w:rsid w:val="0597D0B5"/>
    <w:rsid w:val="05C02B51"/>
    <w:rsid w:val="06117B23"/>
    <w:rsid w:val="06527C7D"/>
    <w:rsid w:val="06B3FAC2"/>
    <w:rsid w:val="06CBD92A"/>
    <w:rsid w:val="06D4AC9C"/>
    <w:rsid w:val="06D52DAA"/>
    <w:rsid w:val="06DE2AB7"/>
    <w:rsid w:val="072DB00F"/>
    <w:rsid w:val="0748B2A2"/>
    <w:rsid w:val="07B63E58"/>
    <w:rsid w:val="081FA318"/>
    <w:rsid w:val="08D9A6CB"/>
    <w:rsid w:val="08E686AC"/>
    <w:rsid w:val="09107F0A"/>
    <w:rsid w:val="0918CFF4"/>
    <w:rsid w:val="09A70C55"/>
    <w:rsid w:val="0A0FC2E4"/>
    <w:rsid w:val="0A87ABF8"/>
    <w:rsid w:val="0AE98B5D"/>
    <w:rsid w:val="0B1F6784"/>
    <w:rsid w:val="0BC03D93"/>
    <w:rsid w:val="0BF25A7D"/>
    <w:rsid w:val="0BF4B6EA"/>
    <w:rsid w:val="0C141344"/>
    <w:rsid w:val="0CF20D27"/>
    <w:rsid w:val="0E359E77"/>
    <w:rsid w:val="1048289C"/>
    <w:rsid w:val="10DA7ABC"/>
    <w:rsid w:val="110933BD"/>
    <w:rsid w:val="118F2E65"/>
    <w:rsid w:val="122988CD"/>
    <w:rsid w:val="12EB2BEB"/>
    <w:rsid w:val="137514E0"/>
    <w:rsid w:val="1380A927"/>
    <w:rsid w:val="14C6C83C"/>
    <w:rsid w:val="14E1FFE4"/>
    <w:rsid w:val="14FCB12F"/>
    <w:rsid w:val="15AFEB49"/>
    <w:rsid w:val="15B0FAEA"/>
    <w:rsid w:val="15E9AC6E"/>
    <w:rsid w:val="1666C926"/>
    <w:rsid w:val="16997E90"/>
    <w:rsid w:val="16B60F3C"/>
    <w:rsid w:val="17CBB065"/>
    <w:rsid w:val="17EE0231"/>
    <w:rsid w:val="17F69DC4"/>
    <w:rsid w:val="18093A1E"/>
    <w:rsid w:val="18466186"/>
    <w:rsid w:val="187337FC"/>
    <w:rsid w:val="18784F5C"/>
    <w:rsid w:val="187EFB2E"/>
    <w:rsid w:val="188A8C83"/>
    <w:rsid w:val="1A16B171"/>
    <w:rsid w:val="1B3203D3"/>
    <w:rsid w:val="1BE42A3A"/>
    <w:rsid w:val="1C49286F"/>
    <w:rsid w:val="1C575648"/>
    <w:rsid w:val="1C873E2D"/>
    <w:rsid w:val="1C874422"/>
    <w:rsid w:val="1D2E9E11"/>
    <w:rsid w:val="1DB47F8D"/>
    <w:rsid w:val="1DB84035"/>
    <w:rsid w:val="1DB8858A"/>
    <w:rsid w:val="1DE4F8D0"/>
    <w:rsid w:val="1E052BB2"/>
    <w:rsid w:val="1E4A1921"/>
    <w:rsid w:val="1EC30C69"/>
    <w:rsid w:val="1FA0B3D4"/>
    <w:rsid w:val="20079BA5"/>
    <w:rsid w:val="2030C425"/>
    <w:rsid w:val="203B9F5C"/>
    <w:rsid w:val="2083F761"/>
    <w:rsid w:val="20A7D299"/>
    <w:rsid w:val="20C51185"/>
    <w:rsid w:val="21099D2B"/>
    <w:rsid w:val="2113013D"/>
    <w:rsid w:val="211C9992"/>
    <w:rsid w:val="214606D5"/>
    <w:rsid w:val="21E9DCE1"/>
    <w:rsid w:val="21EC5DD8"/>
    <w:rsid w:val="232D4C46"/>
    <w:rsid w:val="23D41D05"/>
    <w:rsid w:val="24543A54"/>
    <w:rsid w:val="24BD512A"/>
    <w:rsid w:val="24EEB816"/>
    <w:rsid w:val="2593AF2D"/>
    <w:rsid w:val="25A101DA"/>
    <w:rsid w:val="25D6E258"/>
    <w:rsid w:val="25FC1F1A"/>
    <w:rsid w:val="26408059"/>
    <w:rsid w:val="26EF9ED0"/>
    <w:rsid w:val="26F330A8"/>
    <w:rsid w:val="284E2F5B"/>
    <w:rsid w:val="2862D7C9"/>
    <w:rsid w:val="28CB4FEF"/>
    <w:rsid w:val="296B0141"/>
    <w:rsid w:val="297B4AE3"/>
    <w:rsid w:val="29D3C0DB"/>
    <w:rsid w:val="29F27C99"/>
    <w:rsid w:val="2A9311F0"/>
    <w:rsid w:val="2AD7B363"/>
    <w:rsid w:val="2AF30ABF"/>
    <w:rsid w:val="2B0B1915"/>
    <w:rsid w:val="2B20982E"/>
    <w:rsid w:val="2C409EB9"/>
    <w:rsid w:val="2C456DFC"/>
    <w:rsid w:val="2DA07D0F"/>
    <w:rsid w:val="2DD17117"/>
    <w:rsid w:val="2DE1F43D"/>
    <w:rsid w:val="2E8A29E4"/>
    <w:rsid w:val="2F1486B9"/>
    <w:rsid w:val="2F5B26C7"/>
    <w:rsid w:val="2F814A25"/>
    <w:rsid w:val="3025FA45"/>
    <w:rsid w:val="307D479C"/>
    <w:rsid w:val="313BC7D8"/>
    <w:rsid w:val="319A33B3"/>
    <w:rsid w:val="31F67C06"/>
    <w:rsid w:val="3207B9A2"/>
    <w:rsid w:val="323BC2BC"/>
    <w:rsid w:val="328BA086"/>
    <w:rsid w:val="32DCF74C"/>
    <w:rsid w:val="3405C381"/>
    <w:rsid w:val="34288EDB"/>
    <w:rsid w:val="34C66258"/>
    <w:rsid w:val="34E33741"/>
    <w:rsid w:val="34F61470"/>
    <w:rsid w:val="350B4273"/>
    <w:rsid w:val="359DBF2C"/>
    <w:rsid w:val="35CFDC01"/>
    <w:rsid w:val="36490A99"/>
    <w:rsid w:val="365D78B0"/>
    <w:rsid w:val="367DA55A"/>
    <w:rsid w:val="36EC402D"/>
    <w:rsid w:val="3781B04C"/>
    <w:rsid w:val="3783F842"/>
    <w:rsid w:val="37CC60C2"/>
    <w:rsid w:val="382DBEA0"/>
    <w:rsid w:val="389D72D0"/>
    <w:rsid w:val="38AC56DB"/>
    <w:rsid w:val="38B96A32"/>
    <w:rsid w:val="38E82597"/>
    <w:rsid w:val="3B321113"/>
    <w:rsid w:val="3B49AF43"/>
    <w:rsid w:val="3CB3D063"/>
    <w:rsid w:val="3CD078DC"/>
    <w:rsid w:val="3D31C340"/>
    <w:rsid w:val="3DD51B20"/>
    <w:rsid w:val="3DE846B0"/>
    <w:rsid w:val="3E89B602"/>
    <w:rsid w:val="3E91EB13"/>
    <w:rsid w:val="3EBB44BD"/>
    <w:rsid w:val="3F7BD8AA"/>
    <w:rsid w:val="3FF4A795"/>
    <w:rsid w:val="40DB4AC7"/>
    <w:rsid w:val="41035FF8"/>
    <w:rsid w:val="411AC0FA"/>
    <w:rsid w:val="4290774C"/>
    <w:rsid w:val="43657D4C"/>
    <w:rsid w:val="438FC466"/>
    <w:rsid w:val="43C76ECC"/>
    <w:rsid w:val="43E70FFE"/>
    <w:rsid w:val="441F0C51"/>
    <w:rsid w:val="44A7ED20"/>
    <w:rsid w:val="44B2B454"/>
    <w:rsid w:val="44C364B4"/>
    <w:rsid w:val="454CA2D6"/>
    <w:rsid w:val="454DCBA8"/>
    <w:rsid w:val="456BF865"/>
    <w:rsid w:val="45B838D4"/>
    <w:rsid w:val="4679D7D3"/>
    <w:rsid w:val="47729443"/>
    <w:rsid w:val="4801E1DF"/>
    <w:rsid w:val="48BA78E0"/>
    <w:rsid w:val="49E7EAED"/>
    <w:rsid w:val="4A6D2282"/>
    <w:rsid w:val="4A734BE3"/>
    <w:rsid w:val="4A7EB8CE"/>
    <w:rsid w:val="4B07455D"/>
    <w:rsid w:val="4B238ED8"/>
    <w:rsid w:val="4B322801"/>
    <w:rsid w:val="4C460566"/>
    <w:rsid w:val="4C5AA9AB"/>
    <w:rsid w:val="4C85EEAF"/>
    <w:rsid w:val="4D0CF85C"/>
    <w:rsid w:val="4D15B35E"/>
    <w:rsid w:val="4DD791D7"/>
    <w:rsid w:val="4DE1D5C7"/>
    <w:rsid w:val="4E4BB280"/>
    <w:rsid w:val="4E662290"/>
    <w:rsid w:val="4F0D595B"/>
    <w:rsid w:val="4FEAFA9F"/>
    <w:rsid w:val="5042E968"/>
    <w:rsid w:val="5090019C"/>
    <w:rsid w:val="514E146B"/>
    <w:rsid w:val="517869BB"/>
    <w:rsid w:val="52582214"/>
    <w:rsid w:val="529623C5"/>
    <w:rsid w:val="52F67DD4"/>
    <w:rsid w:val="531EC9FC"/>
    <w:rsid w:val="5322D573"/>
    <w:rsid w:val="53FA8CFC"/>
    <w:rsid w:val="544D507A"/>
    <w:rsid w:val="5454D07A"/>
    <w:rsid w:val="553DB8F9"/>
    <w:rsid w:val="55456A49"/>
    <w:rsid w:val="558FC2D6"/>
    <w:rsid w:val="5607AE80"/>
    <w:rsid w:val="565749BE"/>
    <w:rsid w:val="56EEC39C"/>
    <w:rsid w:val="570B0617"/>
    <w:rsid w:val="573B3166"/>
    <w:rsid w:val="574B21C9"/>
    <w:rsid w:val="5762180C"/>
    <w:rsid w:val="57899BD4"/>
    <w:rsid w:val="57C6EB73"/>
    <w:rsid w:val="581C5D9A"/>
    <w:rsid w:val="5825CB59"/>
    <w:rsid w:val="58847352"/>
    <w:rsid w:val="589F0EF7"/>
    <w:rsid w:val="59676C4B"/>
    <w:rsid w:val="59CBDCE2"/>
    <w:rsid w:val="5A64F545"/>
    <w:rsid w:val="5ADBAC3B"/>
    <w:rsid w:val="5B77D52C"/>
    <w:rsid w:val="5B97158C"/>
    <w:rsid w:val="5BB36E6F"/>
    <w:rsid w:val="5BE70048"/>
    <w:rsid w:val="5BF60808"/>
    <w:rsid w:val="5C345EB6"/>
    <w:rsid w:val="5C7779F8"/>
    <w:rsid w:val="5CBEEFAC"/>
    <w:rsid w:val="5CEEFE52"/>
    <w:rsid w:val="5D190301"/>
    <w:rsid w:val="5D1F7FD9"/>
    <w:rsid w:val="5E067BCD"/>
    <w:rsid w:val="5E098078"/>
    <w:rsid w:val="5E37A6C1"/>
    <w:rsid w:val="5E83F041"/>
    <w:rsid w:val="5E90BBC0"/>
    <w:rsid w:val="5EB70ED5"/>
    <w:rsid w:val="5F43FEFC"/>
    <w:rsid w:val="5FA533EF"/>
    <w:rsid w:val="6025C23F"/>
    <w:rsid w:val="618EB31A"/>
    <w:rsid w:val="61C63870"/>
    <w:rsid w:val="624B9305"/>
    <w:rsid w:val="6252BF9E"/>
    <w:rsid w:val="627A20F5"/>
    <w:rsid w:val="62A34BF2"/>
    <w:rsid w:val="6463721A"/>
    <w:rsid w:val="64696624"/>
    <w:rsid w:val="648403C0"/>
    <w:rsid w:val="64C2E8CF"/>
    <w:rsid w:val="651C600D"/>
    <w:rsid w:val="654D4B04"/>
    <w:rsid w:val="656FEF86"/>
    <w:rsid w:val="6578C67F"/>
    <w:rsid w:val="65AB9DB3"/>
    <w:rsid w:val="65ADD426"/>
    <w:rsid w:val="66034707"/>
    <w:rsid w:val="660AF8FC"/>
    <w:rsid w:val="6660B8F8"/>
    <w:rsid w:val="66791E08"/>
    <w:rsid w:val="66B1281D"/>
    <w:rsid w:val="66B8306E"/>
    <w:rsid w:val="6752D71F"/>
    <w:rsid w:val="67978049"/>
    <w:rsid w:val="68415C13"/>
    <w:rsid w:val="68440DE3"/>
    <w:rsid w:val="685400CF"/>
    <w:rsid w:val="6854D26B"/>
    <w:rsid w:val="6887A240"/>
    <w:rsid w:val="6941954D"/>
    <w:rsid w:val="69727FC7"/>
    <w:rsid w:val="6989EB00"/>
    <w:rsid w:val="69EFD130"/>
    <w:rsid w:val="6AC15157"/>
    <w:rsid w:val="6AD03B1B"/>
    <w:rsid w:val="6B5675C0"/>
    <w:rsid w:val="6B8BA191"/>
    <w:rsid w:val="6C79992F"/>
    <w:rsid w:val="6CE55EEC"/>
    <w:rsid w:val="6E1EDF22"/>
    <w:rsid w:val="6E311149"/>
    <w:rsid w:val="6E63DFC6"/>
    <w:rsid w:val="6F9FAD6D"/>
    <w:rsid w:val="70077D84"/>
    <w:rsid w:val="708AC284"/>
    <w:rsid w:val="710D526F"/>
    <w:rsid w:val="71278E10"/>
    <w:rsid w:val="71819316"/>
    <w:rsid w:val="71819C9E"/>
    <w:rsid w:val="7193D543"/>
    <w:rsid w:val="7285A3CC"/>
    <w:rsid w:val="72A714CB"/>
    <w:rsid w:val="72DD3284"/>
    <w:rsid w:val="73B763B7"/>
    <w:rsid w:val="73C4169A"/>
    <w:rsid w:val="7478389C"/>
    <w:rsid w:val="74DAA012"/>
    <w:rsid w:val="75025DE1"/>
    <w:rsid w:val="7626957D"/>
    <w:rsid w:val="768ACE67"/>
    <w:rsid w:val="76FBB75C"/>
    <w:rsid w:val="7818E205"/>
    <w:rsid w:val="783E4F30"/>
    <w:rsid w:val="78565768"/>
    <w:rsid w:val="787BFD55"/>
    <w:rsid w:val="78B1FD10"/>
    <w:rsid w:val="791BD486"/>
    <w:rsid w:val="7A07A9F3"/>
    <w:rsid w:val="7A595668"/>
    <w:rsid w:val="7A885401"/>
    <w:rsid w:val="7AAE09C1"/>
    <w:rsid w:val="7B0BB1AE"/>
    <w:rsid w:val="7B7862BE"/>
    <w:rsid w:val="7B9384E2"/>
    <w:rsid w:val="7BC96608"/>
    <w:rsid w:val="7C571B7B"/>
    <w:rsid w:val="7C6EAED5"/>
    <w:rsid w:val="7DC6E68F"/>
    <w:rsid w:val="7DFFA4B3"/>
    <w:rsid w:val="7EB4F341"/>
    <w:rsid w:val="7EC3987E"/>
    <w:rsid w:val="7F8B160A"/>
    <w:rsid w:val="7FB95A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8CE71"/>
  <w15:docId w15:val="{191C7B1B-E114-497C-AD68-06449517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60"/>
    <w:pPr>
      <w:spacing w:after="120" w:line="276" w:lineRule="auto"/>
    </w:pPr>
    <w:rPr>
      <w:rFonts w:ascii="Calibri" w:hAnsi="Calibri"/>
      <w:sz w:val="22"/>
    </w:rPr>
  </w:style>
  <w:style w:type="paragraph" w:styleId="Heading1">
    <w:name w:val="heading 1"/>
    <w:aliases w:val="Section title,Page title"/>
    <w:basedOn w:val="ChapterTitle"/>
    <w:next w:val="Normal"/>
    <w:link w:val="Heading1Char"/>
    <w:uiPriority w:val="9"/>
    <w:qFormat/>
    <w:rsid w:val="00294D48"/>
    <w:pPr>
      <w:spacing w:line="240" w:lineRule="auto"/>
    </w:pPr>
  </w:style>
  <w:style w:type="paragraph" w:styleId="Heading2">
    <w:name w:val="heading 2"/>
    <w:basedOn w:val="Normal"/>
    <w:next w:val="Normal"/>
    <w:link w:val="Heading2Char"/>
    <w:uiPriority w:val="9"/>
    <w:qFormat/>
    <w:rsid w:val="00294D48"/>
    <w:pPr>
      <w:keepNext/>
      <w:keepLines/>
      <w:spacing w:before="200" w:line="240" w:lineRule="auto"/>
      <w:outlineLvl w:val="1"/>
    </w:pPr>
    <w:rPr>
      <w:rFonts w:eastAsiaTheme="majorEastAsia" w:cstheme="majorBidi"/>
      <w:b/>
      <w:bCs/>
      <w:color w:val="ED1B24"/>
      <w:sz w:val="32"/>
      <w:szCs w:val="26"/>
    </w:rPr>
  </w:style>
  <w:style w:type="paragraph" w:styleId="Heading3">
    <w:name w:val="heading 3"/>
    <w:basedOn w:val="Normal"/>
    <w:next w:val="Normal"/>
    <w:link w:val="Heading3Char"/>
    <w:uiPriority w:val="9"/>
    <w:qFormat/>
    <w:rsid w:val="00F17B3D"/>
    <w:pPr>
      <w:keepNext/>
      <w:keepLines/>
      <w:spacing w:before="200" w:line="240" w:lineRule="auto"/>
      <w:outlineLvl w:val="2"/>
    </w:pPr>
    <w:rPr>
      <w:rFonts w:eastAsiaTheme="majorEastAsia" w:cstheme="majorBidi"/>
      <w:bCs/>
      <w:color w:val="FF0000"/>
      <w:sz w:val="28"/>
    </w:rPr>
  </w:style>
  <w:style w:type="paragraph" w:styleId="Heading4">
    <w:name w:val="heading 4"/>
    <w:basedOn w:val="Normal"/>
    <w:next w:val="Normal"/>
    <w:link w:val="Heading4Char"/>
    <w:uiPriority w:val="9"/>
    <w:qFormat/>
    <w:rsid w:val="00F17B3D"/>
    <w:pPr>
      <w:outlineLvl w:val="3"/>
    </w:pPr>
    <w:rPr>
      <w:b/>
      <w:sz w:val="24"/>
    </w:rPr>
  </w:style>
  <w:style w:type="paragraph" w:styleId="Heading5">
    <w:name w:val="heading 5"/>
    <w:basedOn w:val="Normal"/>
    <w:next w:val="Normal"/>
    <w:link w:val="Heading5Char"/>
    <w:uiPriority w:val="9"/>
    <w:semiHidden/>
    <w:unhideWhenUsed/>
    <w:qFormat/>
    <w:rsid w:val="009A1625"/>
    <w:pPr>
      <w:keepNext/>
      <w:keepLines/>
      <w:spacing w:before="80" w:after="40"/>
      <w:outlineLvl w:val="4"/>
    </w:pPr>
    <w:rPr>
      <w:rFonts w:eastAsiaTheme="majorEastAsia" w:cstheme="majorBidi"/>
      <w:color w:val="365F91" w:themeColor="accent1" w:themeShade="BF"/>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FA"/>
    <w:pPr>
      <w:spacing w:after="0" w:line="240" w:lineRule="auto"/>
    </w:pPr>
  </w:style>
  <w:style w:type="character" w:customStyle="1" w:styleId="HeaderChar">
    <w:name w:val="Header Char"/>
    <w:basedOn w:val="DefaultParagraphFont"/>
    <w:link w:val="Header"/>
    <w:uiPriority w:val="99"/>
    <w:rsid w:val="009503FA"/>
    <w:rPr>
      <w:rFonts w:ascii="Calibri" w:hAnsi="Calibri"/>
      <w:sz w:val="22"/>
    </w:rPr>
  </w:style>
  <w:style w:type="paragraph" w:styleId="Footer">
    <w:name w:val="footer"/>
    <w:basedOn w:val="Normal"/>
    <w:link w:val="FooterChar"/>
    <w:uiPriority w:val="99"/>
    <w:unhideWhenUsed/>
    <w:rsid w:val="00FD791E"/>
    <w:pPr>
      <w:pBdr>
        <w:top w:val="single" w:sz="4" w:space="3" w:color="ED1B24"/>
      </w:pBdr>
      <w:tabs>
        <w:tab w:val="right" w:pos="9630"/>
      </w:tabs>
      <w:spacing w:after="0" w:line="240" w:lineRule="auto"/>
    </w:pPr>
    <w:rPr>
      <w:sz w:val="19"/>
    </w:rPr>
  </w:style>
  <w:style w:type="character" w:customStyle="1" w:styleId="FooterChar">
    <w:name w:val="Footer Char"/>
    <w:basedOn w:val="DefaultParagraphFont"/>
    <w:link w:val="Footer"/>
    <w:uiPriority w:val="99"/>
    <w:rsid w:val="00FD791E"/>
    <w:rPr>
      <w:rFonts w:ascii="Calibri" w:hAnsi="Calibri"/>
      <w:sz w:val="19"/>
    </w:rPr>
  </w:style>
  <w:style w:type="table" w:styleId="TableGrid">
    <w:name w:val="Table Grid"/>
    <w:aliases w:val="Table Grid no borders,none,CV table,EY Table,DPS Table Grid"/>
    <w:basedOn w:val="TableNormal"/>
    <w:rsid w:val="006F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4B5733"/>
    <w:pPr>
      <w:keepNext/>
      <w:spacing w:before="20" w:after="20" w:line="240" w:lineRule="auto"/>
    </w:pPr>
    <w:rPr>
      <w:sz w:val="18"/>
      <w:szCs w:val="18"/>
    </w:rPr>
  </w:style>
  <w:style w:type="paragraph" w:styleId="Date">
    <w:name w:val="Date"/>
    <w:basedOn w:val="Normal"/>
    <w:next w:val="Normal"/>
    <w:link w:val="DateChar"/>
    <w:uiPriority w:val="99"/>
    <w:qFormat/>
    <w:rsid w:val="00207D61"/>
    <w:pPr>
      <w:spacing w:after="360"/>
    </w:pPr>
  </w:style>
  <w:style w:type="character" w:customStyle="1" w:styleId="DateChar">
    <w:name w:val="Date Char"/>
    <w:basedOn w:val="DefaultParagraphFont"/>
    <w:link w:val="Date"/>
    <w:uiPriority w:val="99"/>
    <w:rsid w:val="00207D61"/>
    <w:rPr>
      <w:rFonts w:ascii="Calibri" w:hAnsi="Calibri"/>
      <w:sz w:val="22"/>
    </w:rPr>
  </w:style>
  <w:style w:type="character" w:customStyle="1" w:styleId="Heading1Char">
    <w:name w:val="Heading 1 Char"/>
    <w:aliases w:val="Section title Char,Page title Char"/>
    <w:basedOn w:val="DefaultParagraphFont"/>
    <w:link w:val="Heading1"/>
    <w:uiPriority w:val="9"/>
    <w:rsid w:val="00294D48"/>
    <w:rPr>
      <w:rFonts w:ascii="Calibri" w:eastAsiaTheme="majorEastAsia" w:hAnsi="Calibri" w:cstheme="majorBidi"/>
      <w:b/>
      <w:bCs/>
      <w:color w:val="ED1B24"/>
      <w:sz w:val="50"/>
      <w:szCs w:val="28"/>
    </w:rPr>
  </w:style>
  <w:style w:type="character" w:customStyle="1" w:styleId="Heading2Char">
    <w:name w:val="Heading 2 Char"/>
    <w:basedOn w:val="DefaultParagraphFont"/>
    <w:link w:val="Heading2"/>
    <w:uiPriority w:val="9"/>
    <w:rsid w:val="00294D48"/>
    <w:rPr>
      <w:rFonts w:ascii="Calibri" w:eastAsiaTheme="majorEastAsia" w:hAnsi="Calibri" w:cstheme="majorBidi"/>
      <w:b/>
      <w:bCs/>
      <w:color w:val="ED1B24"/>
      <w:sz w:val="32"/>
      <w:szCs w:val="26"/>
    </w:rPr>
  </w:style>
  <w:style w:type="character" w:customStyle="1" w:styleId="Heading3Char">
    <w:name w:val="Heading 3 Char"/>
    <w:basedOn w:val="DefaultParagraphFont"/>
    <w:link w:val="Heading3"/>
    <w:uiPriority w:val="9"/>
    <w:rsid w:val="00F17B3D"/>
    <w:rPr>
      <w:rFonts w:ascii="Calibri" w:eastAsiaTheme="majorEastAsia" w:hAnsi="Calibri" w:cstheme="majorBidi"/>
      <w:bCs/>
      <w:color w:val="FF0000"/>
      <w:sz w:val="28"/>
    </w:rPr>
  </w:style>
  <w:style w:type="character" w:customStyle="1" w:styleId="Heading4Char">
    <w:name w:val="Heading 4 Char"/>
    <w:basedOn w:val="DefaultParagraphFont"/>
    <w:link w:val="Heading4"/>
    <w:uiPriority w:val="9"/>
    <w:rsid w:val="00F17B3D"/>
    <w:rPr>
      <w:rFonts w:ascii="Calibri" w:hAnsi="Calibri"/>
      <w:b/>
      <w:sz w:val="24"/>
    </w:rPr>
  </w:style>
  <w:style w:type="character" w:styleId="PageNumber">
    <w:name w:val="page number"/>
    <w:basedOn w:val="DefaultParagraphFont"/>
    <w:uiPriority w:val="99"/>
    <w:semiHidden/>
    <w:unhideWhenUsed/>
    <w:rsid w:val="006F4B60"/>
    <w:rPr>
      <w:sz w:val="18"/>
    </w:rPr>
  </w:style>
  <w:style w:type="paragraph" w:customStyle="1" w:styleId="TableHeading">
    <w:name w:val="TableHeading"/>
    <w:basedOn w:val="TableText"/>
    <w:qFormat/>
    <w:rsid w:val="00690CD6"/>
    <w:pPr>
      <w:spacing w:before="60" w:after="60"/>
    </w:pPr>
    <w:rPr>
      <w:color w:val="FFFFFF"/>
    </w:rPr>
  </w:style>
  <w:style w:type="paragraph" w:customStyle="1" w:styleId="ReportTitle">
    <w:name w:val="ReportTitle"/>
    <w:basedOn w:val="Normal"/>
    <w:rsid w:val="00620351"/>
    <w:pPr>
      <w:spacing w:before="2960" w:after="4000" w:line="240" w:lineRule="auto"/>
    </w:pPr>
    <w:rPr>
      <w:b/>
      <w:color w:val="FFFFFF"/>
      <w:sz w:val="60"/>
    </w:rPr>
  </w:style>
  <w:style w:type="paragraph" w:customStyle="1" w:styleId="CopyrightInfo">
    <w:name w:val="CopyrightInfo"/>
    <w:basedOn w:val="Normal"/>
    <w:rsid w:val="00620351"/>
    <w:rPr>
      <w:sz w:val="16"/>
    </w:rPr>
  </w:style>
  <w:style w:type="paragraph" w:customStyle="1" w:styleId="ChapterTitle">
    <w:name w:val="ChapterTitle"/>
    <w:basedOn w:val="Normal"/>
    <w:next w:val="Normal"/>
    <w:qFormat/>
    <w:rsid w:val="00BE3286"/>
    <w:pPr>
      <w:pageBreakBefore/>
      <w:pBdr>
        <w:bottom w:val="single" w:sz="12" w:space="1" w:color="ED1B24"/>
      </w:pBdr>
      <w:spacing w:after="720"/>
      <w:outlineLvl w:val="0"/>
    </w:pPr>
    <w:rPr>
      <w:rFonts w:eastAsiaTheme="majorEastAsia" w:cstheme="majorBidi"/>
      <w:b/>
      <w:bCs/>
      <w:color w:val="ED1B24"/>
      <w:sz w:val="50"/>
      <w:szCs w:val="28"/>
    </w:rPr>
  </w:style>
  <w:style w:type="paragraph" w:styleId="FootnoteText">
    <w:name w:val="footnote text"/>
    <w:basedOn w:val="Normal"/>
    <w:link w:val="FootnoteTextChar"/>
    <w:uiPriority w:val="99"/>
    <w:unhideWhenUsed/>
    <w:rsid w:val="00706E33"/>
    <w:pPr>
      <w:spacing w:after="0" w:line="240" w:lineRule="auto"/>
    </w:pPr>
    <w:rPr>
      <w:sz w:val="20"/>
    </w:rPr>
  </w:style>
  <w:style w:type="character" w:customStyle="1" w:styleId="FootnoteTextChar">
    <w:name w:val="Footnote Text Char"/>
    <w:basedOn w:val="DefaultParagraphFont"/>
    <w:link w:val="FootnoteText"/>
    <w:uiPriority w:val="99"/>
    <w:rsid w:val="00706E33"/>
    <w:rPr>
      <w:rFonts w:ascii="Calibri" w:hAnsi="Calibri"/>
    </w:rPr>
  </w:style>
  <w:style w:type="character" w:styleId="FootnoteReference">
    <w:name w:val="footnote reference"/>
    <w:aliases w:val="NO,(NECG) Footnote Reference,EN Footnote Reference,SUPERS,number"/>
    <w:basedOn w:val="DefaultParagraphFont"/>
    <w:uiPriority w:val="99"/>
    <w:unhideWhenUsed/>
    <w:rsid w:val="00706E33"/>
    <w:rPr>
      <w:vertAlign w:val="superscript"/>
    </w:rPr>
  </w:style>
  <w:style w:type="paragraph" w:customStyle="1" w:styleId="ContentsTitle">
    <w:name w:val="ContentsTitle"/>
    <w:basedOn w:val="ChapterTitle"/>
    <w:rsid w:val="00706E33"/>
    <w:pPr>
      <w:spacing w:line="240" w:lineRule="auto"/>
      <w:outlineLvl w:val="9"/>
    </w:pPr>
  </w:style>
  <w:style w:type="paragraph" w:styleId="TOCHeading">
    <w:name w:val="TOC Heading"/>
    <w:basedOn w:val="Heading1"/>
    <w:next w:val="Normal"/>
    <w:uiPriority w:val="39"/>
    <w:unhideWhenUsed/>
    <w:qFormat/>
    <w:rsid w:val="00706E33"/>
    <w:pPr>
      <w:spacing w:before="480" w:after="0" w:line="276" w:lineRule="auto"/>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C26607"/>
    <w:pPr>
      <w:tabs>
        <w:tab w:val="right" w:leader="dot" w:pos="9620"/>
      </w:tabs>
      <w:spacing w:after="100"/>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B6373"/>
    <w:pPr>
      <w:tabs>
        <w:tab w:val="right" w:leader="dot" w:pos="9620"/>
      </w:tabs>
      <w:spacing w:after="100"/>
    </w:pPr>
    <w:rPr>
      <w:rFonts w:asciiTheme="minorHAnsi" w:eastAsiaTheme="minorEastAsia" w:hAnsiTheme="minorHAnsi" w:cstheme="minorBidi"/>
      <w:b/>
      <w:szCs w:val="22"/>
      <w:lang w:val="en-US" w:eastAsia="ja-JP"/>
    </w:rPr>
  </w:style>
  <w:style w:type="paragraph" w:styleId="TOC3">
    <w:name w:val="toc 3"/>
    <w:basedOn w:val="Normal"/>
    <w:next w:val="Normal"/>
    <w:autoRedefine/>
    <w:uiPriority w:val="39"/>
    <w:unhideWhenUsed/>
    <w:qFormat/>
    <w:rsid w:val="00EF01BB"/>
    <w:pPr>
      <w:tabs>
        <w:tab w:val="right" w:leader="dot" w:pos="9620"/>
      </w:tabs>
      <w:spacing w:after="100"/>
      <w:ind w:left="440"/>
    </w:pPr>
    <w:rPr>
      <w:rFonts w:asciiTheme="minorHAnsi" w:eastAsiaTheme="minorEastAsia" w:hAnsiTheme="minorHAnsi" w:cstheme="minorBidi"/>
      <w:szCs w:val="22"/>
      <w:lang w:val="en-US" w:eastAsia="ja-JP"/>
    </w:rPr>
  </w:style>
  <w:style w:type="table" w:customStyle="1" w:styleId="E3">
    <w:name w:val="E3"/>
    <w:basedOn w:val="TableNormal"/>
    <w:uiPriority w:val="99"/>
    <w:rsid w:val="00706E33"/>
    <w:rPr>
      <w:rFonts w:ascii="Calibri" w:hAnsi="Calibri"/>
      <w:sz w:val="22"/>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690CD6"/>
    <w:pPr>
      <w:keepLines/>
      <w:tabs>
        <w:tab w:val="left" w:pos="1080"/>
      </w:tabs>
      <w:spacing w:before="180" w:after="120"/>
      <w:ind w:left="1080" w:hanging="1080"/>
    </w:pPr>
    <w:rPr>
      <w:b/>
    </w:rPr>
  </w:style>
  <w:style w:type="paragraph" w:customStyle="1" w:styleId="Bullets-Major">
    <w:name w:val="Bullets - Major"/>
    <w:basedOn w:val="NoSpacing"/>
    <w:qFormat/>
    <w:rsid w:val="00BD100E"/>
    <w:pPr>
      <w:numPr>
        <w:numId w:val="2"/>
      </w:numPr>
      <w:spacing w:after="60" w:line="276" w:lineRule="auto"/>
      <w:ind w:left="714" w:hanging="357"/>
    </w:pPr>
    <w:rPr>
      <w:rFonts w:asciiTheme="minorHAnsi" w:hAnsiTheme="minorHAnsi" w:cstheme="minorBidi"/>
      <w:szCs w:val="22"/>
    </w:rPr>
  </w:style>
  <w:style w:type="paragraph" w:styleId="NoSpacing">
    <w:name w:val="No Spacing"/>
    <w:aliases w:val="Paragragh text"/>
    <w:link w:val="NoSpacingChar"/>
    <w:uiPriority w:val="1"/>
    <w:qFormat/>
    <w:rsid w:val="00DA627C"/>
    <w:rPr>
      <w:rFonts w:ascii="Calibri" w:hAnsi="Calibri"/>
      <w:sz w:val="22"/>
    </w:rPr>
  </w:style>
  <w:style w:type="paragraph" w:styleId="ListParagraph">
    <w:name w:val="List Paragraph"/>
    <w:aliases w:val="Recommendation,List Paragraph1,Bullet List,FooterText,numbered,Paragraphe de liste1,列出段落,列出段落1,Bulletr List Paragraph,List Paragraph2,List Paragraph21,Párrafo de lista1,Parágrafo da Lista1,リスト段落1,Listeafsnit1,List Paragraph11,Bullet list"/>
    <w:basedOn w:val="Normal"/>
    <w:link w:val="ListParagraphChar"/>
    <w:uiPriority w:val="34"/>
    <w:qFormat/>
    <w:rsid w:val="00BD06AA"/>
    <w:pPr>
      <w:ind w:left="720"/>
      <w:contextualSpacing/>
    </w:pPr>
  </w:style>
  <w:style w:type="paragraph" w:styleId="BalloonText">
    <w:name w:val="Balloon Text"/>
    <w:basedOn w:val="Normal"/>
    <w:link w:val="BalloonTextChar"/>
    <w:uiPriority w:val="99"/>
    <w:semiHidden/>
    <w:unhideWhenUsed/>
    <w:rsid w:val="00645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E01"/>
    <w:rPr>
      <w:rFonts w:ascii="Segoe UI" w:hAnsi="Segoe UI" w:cs="Segoe UI"/>
      <w:sz w:val="18"/>
      <w:szCs w:val="18"/>
    </w:rPr>
  </w:style>
  <w:style w:type="character" w:styleId="CommentReference">
    <w:name w:val="annotation reference"/>
    <w:basedOn w:val="DefaultParagraphFont"/>
    <w:uiPriority w:val="99"/>
    <w:unhideWhenUsed/>
    <w:rsid w:val="00B90695"/>
    <w:rPr>
      <w:sz w:val="16"/>
      <w:szCs w:val="16"/>
    </w:rPr>
  </w:style>
  <w:style w:type="paragraph" w:styleId="CommentText">
    <w:name w:val="annotation text"/>
    <w:basedOn w:val="Normal"/>
    <w:link w:val="CommentTextChar"/>
    <w:uiPriority w:val="99"/>
    <w:unhideWhenUsed/>
    <w:rsid w:val="00B90695"/>
    <w:pPr>
      <w:spacing w:line="240" w:lineRule="auto"/>
    </w:pPr>
    <w:rPr>
      <w:sz w:val="20"/>
    </w:rPr>
  </w:style>
  <w:style w:type="character" w:customStyle="1" w:styleId="CommentTextChar">
    <w:name w:val="Comment Text Char"/>
    <w:basedOn w:val="DefaultParagraphFont"/>
    <w:link w:val="CommentText"/>
    <w:uiPriority w:val="99"/>
    <w:rsid w:val="00B90695"/>
    <w:rPr>
      <w:rFonts w:ascii="Calibri" w:hAnsi="Calibri"/>
    </w:rPr>
  </w:style>
  <w:style w:type="paragraph" w:styleId="CommentSubject">
    <w:name w:val="annotation subject"/>
    <w:basedOn w:val="CommentText"/>
    <w:next w:val="CommentText"/>
    <w:link w:val="CommentSubjectChar"/>
    <w:uiPriority w:val="99"/>
    <w:semiHidden/>
    <w:unhideWhenUsed/>
    <w:rsid w:val="00B90695"/>
    <w:rPr>
      <w:b/>
      <w:bCs/>
    </w:rPr>
  </w:style>
  <w:style w:type="character" w:customStyle="1" w:styleId="CommentSubjectChar">
    <w:name w:val="Comment Subject Char"/>
    <w:basedOn w:val="CommentTextChar"/>
    <w:link w:val="CommentSubject"/>
    <w:uiPriority w:val="99"/>
    <w:semiHidden/>
    <w:rsid w:val="00B90695"/>
    <w:rPr>
      <w:rFonts w:ascii="Calibri" w:hAnsi="Calibri"/>
      <w:b/>
      <w:bCs/>
    </w:rPr>
  </w:style>
  <w:style w:type="table" w:customStyle="1" w:styleId="TableGridLight1">
    <w:name w:val="Table Grid Light1"/>
    <w:basedOn w:val="TableNormal"/>
    <w:uiPriority w:val="40"/>
    <w:rsid w:val="00CE0784"/>
    <w:rPr>
      <w:rFonts w:asciiTheme="minorHAnsi" w:hAnsiTheme="minorHAnsi" w:cstheme="minorBidi"/>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link w:val="CaptionChar"/>
    <w:uiPriority w:val="35"/>
    <w:unhideWhenUsed/>
    <w:qFormat/>
    <w:rsid w:val="00375CBD"/>
    <w:pPr>
      <w:keepNext/>
      <w:spacing w:after="200" w:line="240" w:lineRule="auto"/>
    </w:pPr>
    <w:rPr>
      <w:i/>
      <w:iCs/>
      <w:color w:val="1F497D" w:themeColor="text2"/>
      <w:sz w:val="18"/>
      <w:szCs w:val="18"/>
    </w:rPr>
  </w:style>
  <w:style w:type="character" w:styleId="Hyperlink">
    <w:name w:val="Hyperlink"/>
    <w:basedOn w:val="DefaultParagraphFont"/>
    <w:uiPriority w:val="99"/>
    <w:unhideWhenUsed/>
    <w:rsid w:val="00F46529"/>
    <w:rPr>
      <w:color w:val="0000FF" w:themeColor="hyperlink"/>
      <w:u w:val="single"/>
    </w:rPr>
  </w:style>
  <w:style w:type="paragraph" w:customStyle="1" w:styleId="Bullets-Minor">
    <w:name w:val="Bullets - Minor"/>
    <w:basedOn w:val="Normal"/>
    <w:link w:val="Bullets-MinorChar"/>
    <w:qFormat/>
    <w:rsid w:val="00557759"/>
    <w:pPr>
      <w:numPr>
        <w:numId w:val="3"/>
      </w:numPr>
      <w:tabs>
        <w:tab w:val="num" w:pos="1494"/>
      </w:tabs>
      <w:overflowPunct w:val="0"/>
      <w:autoSpaceDE w:val="0"/>
      <w:autoSpaceDN w:val="0"/>
      <w:adjustRightInd w:val="0"/>
      <w:spacing w:before="60" w:after="60" w:line="252" w:lineRule="auto"/>
      <w:ind w:right="720"/>
      <w:textAlignment w:val="baseline"/>
    </w:pPr>
  </w:style>
  <w:style w:type="character" w:customStyle="1" w:styleId="Bullets-MinorChar">
    <w:name w:val="Bullets - Minor Char"/>
    <w:basedOn w:val="DefaultParagraphFont"/>
    <w:link w:val="Bullets-Minor"/>
    <w:rsid w:val="00557759"/>
    <w:rPr>
      <w:rFonts w:ascii="Calibri" w:hAnsi="Calibri"/>
      <w:sz w:val="22"/>
    </w:rPr>
  </w:style>
  <w:style w:type="character" w:customStyle="1" w:styleId="UnresolvedMention1">
    <w:name w:val="Unresolved Mention1"/>
    <w:basedOn w:val="DefaultParagraphFont"/>
    <w:uiPriority w:val="99"/>
    <w:semiHidden/>
    <w:unhideWhenUsed/>
    <w:rsid w:val="00BD7208"/>
    <w:rPr>
      <w:color w:val="605E5C"/>
      <w:shd w:val="clear" w:color="auto" w:fill="E1DFDD"/>
    </w:rPr>
  </w:style>
  <w:style w:type="paragraph" w:customStyle="1" w:styleId="E3Heading2">
    <w:name w:val="E3 Heading 2"/>
    <w:basedOn w:val="Heading2"/>
    <w:next w:val="Normal"/>
    <w:rsid w:val="00730478"/>
    <w:pPr>
      <w:tabs>
        <w:tab w:val="left" w:pos="425"/>
      </w:tabs>
      <w:spacing w:before="300" w:after="113" w:line="278" w:lineRule="auto"/>
    </w:pPr>
    <w:rPr>
      <w:rFonts w:ascii="Helvetica" w:eastAsia="Times New Roman" w:hAnsi="Helvetica" w:cs="Times New Roman"/>
      <w:color w:val="auto"/>
      <w:sz w:val="26"/>
    </w:rPr>
  </w:style>
  <w:style w:type="paragraph" w:customStyle="1" w:styleId="E3Bullets">
    <w:name w:val="E3 Bullets"/>
    <w:basedOn w:val="Normal"/>
    <w:link w:val="E3BulletsChar"/>
    <w:qFormat/>
    <w:rsid w:val="007D367E"/>
    <w:pPr>
      <w:numPr>
        <w:numId w:val="4"/>
      </w:numPr>
      <w:spacing w:after="113" w:line="278" w:lineRule="auto"/>
      <w:contextualSpacing/>
    </w:pPr>
    <w:rPr>
      <w:rFonts w:ascii="Georgia" w:eastAsia="Cambria" w:hAnsi="Georgia"/>
      <w:sz w:val="19"/>
      <w:szCs w:val="24"/>
    </w:rPr>
  </w:style>
  <w:style w:type="character" w:customStyle="1" w:styleId="E3BulletsChar">
    <w:name w:val="E3 Bullets Char"/>
    <w:basedOn w:val="DefaultParagraphFont"/>
    <w:link w:val="E3Bullets"/>
    <w:rsid w:val="007D367E"/>
    <w:rPr>
      <w:rFonts w:ascii="Georgia" w:eastAsia="Cambria" w:hAnsi="Georgia"/>
      <w:sz w:val="19"/>
      <w:szCs w:val="24"/>
    </w:rPr>
  </w:style>
  <w:style w:type="paragraph" w:customStyle="1" w:styleId="E3Heading3">
    <w:name w:val="E3 Heading 3"/>
    <w:basedOn w:val="Heading3"/>
    <w:next w:val="Normal"/>
    <w:rsid w:val="007D367E"/>
    <w:pPr>
      <w:spacing w:before="113" w:after="113" w:line="278" w:lineRule="auto"/>
    </w:pPr>
    <w:rPr>
      <w:rFonts w:ascii="Georgia" w:eastAsia="Times New Roman" w:hAnsi="Georgia" w:cs="Times New Roman"/>
      <w:b/>
      <w:color w:val="E31F26"/>
      <w:sz w:val="22"/>
      <w:szCs w:val="24"/>
    </w:rPr>
  </w:style>
  <w:style w:type="character" w:styleId="FollowedHyperlink">
    <w:name w:val="FollowedHyperlink"/>
    <w:basedOn w:val="DefaultParagraphFont"/>
    <w:uiPriority w:val="99"/>
    <w:semiHidden/>
    <w:unhideWhenUsed/>
    <w:rsid w:val="003C5F99"/>
    <w:rPr>
      <w:color w:val="800080" w:themeColor="followedHyperlink"/>
      <w:u w:val="single"/>
    </w:rPr>
  </w:style>
  <w:style w:type="paragraph" w:customStyle="1" w:styleId="Default">
    <w:name w:val="Default"/>
    <w:rsid w:val="003C5F99"/>
    <w:pPr>
      <w:autoSpaceDE w:val="0"/>
      <w:autoSpaceDN w:val="0"/>
      <w:adjustRightInd w:val="0"/>
    </w:pPr>
    <w:rPr>
      <w:rFonts w:ascii="Calibri" w:hAnsi="Calibri" w:cs="Calibri"/>
      <w:color w:val="000000"/>
      <w:sz w:val="24"/>
      <w:szCs w:val="24"/>
      <w:lang w:val="en-NZ"/>
    </w:rPr>
  </w:style>
  <w:style w:type="paragraph" w:customStyle="1" w:styleId="statutory-body-2em">
    <w:name w:val="statutory-body-2em"/>
    <w:basedOn w:val="Normal"/>
    <w:rsid w:val="00414FEE"/>
    <w:pPr>
      <w:spacing w:before="100" w:beforeAutospacing="1" w:after="100" w:afterAutospacing="1" w:line="240" w:lineRule="auto"/>
    </w:pPr>
    <w:rPr>
      <w:rFonts w:ascii="Times New Roman" w:eastAsia="Times New Roman" w:hAnsi="Times New Roman"/>
      <w:sz w:val="24"/>
      <w:szCs w:val="24"/>
      <w:lang w:val="en-NZ" w:eastAsia="en-NZ"/>
    </w:rPr>
  </w:style>
  <w:style w:type="character" w:customStyle="1" w:styleId="ListParagraphChar">
    <w:name w:val="List Paragraph Char"/>
    <w:aliases w:val="Recommendation Char,List Paragraph1 Char,Bullet List Char,FooterText Char,numbered Char,Paragraphe de liste1 Char,列出段落 Char,列出段落1 Char,Bulletr List Paragraph Char,List Paragraph2 Char,List Paragraph21 Char,Párrafo de lista1 Char"/>
    <w:link w:val="ListParagraph"/>
    <w:uiPriority w:val="34"/>
    <w:qFormat/>
    <w:locked/>
    <w:rsid w:val="007D2A92"/>
    <w:rPr>
      <w:rFonts w:ascii="Calibri" w:hAnsi="Calibri"/>
      <w:sz w:val="22"/>
    </w:rPr>
  </w:style>
  <w:style w:type="character" w:styleId="EndnoteReference">
    <w:name w:val="endnote reference"/>
    <w:basedOn w:val="DefaultParagraphFont"/>
    <w:uiPriority w:val="99"/>
    <w:semiHidden/>
    <w:unhideWhenUsed/>
    <w:rsid w:val="00231C10"/>
    <w:rPr>
      <w:vertAlign w:val="superscript"/>
    </w:rPr>
  </w:style>
  <w:style w:type="paragraph" w:styleId="Revision">
    <w:name w:val="Revision"/>
    <w:hidden/>
    <w:uiPriority w:val="99"/>
    <w:semiHidden/>
    <w:rsid w:val="005673DD"/>
    <w:rPr>
      <w:rFonts w:ascii="Calibri" w:hAnsi="Calibri"/>
      <w:sz w:val="22"/>
    </w:rPr>
  </w:style>
  <w:style w:type="character" w:customStyle="1" w:styleId="UnresolvedMention10">
    <w:name w:val="Unresolved Mention10"/>
    <w:basedOn w:val="DefaultParagraphFont"/>
    <w:uiPriority w:val="99"/>
    <w:semiHidden/>
    <w:unhideWhenUsed/>
    <w:rsid w:val="00760615"/>
    <w:rPr>
      <w:color w:val="605E5C"/>
      <w:shd w:val="clear" w:color="auto" w:fill="E1DFDD"/>
    </w:rPr>
  </w:style>
  <w:style w:type="paragraph" w:styleId="NormalWeb">
    <w:name w:val="Normal (Web)"/>
    <w:basedOn w:val="Normal"/>
    <w:uiPriority w:val="99"/>
    <w:semiHidden/>
    <w:unhideWhenUsed/>
    <w:rsid w:val="000037B3"/>
    <w:pPr>
      <w:spacing w:before="100" w:beforeAutospacing="1" w:after="100" w:afterAutospacing="1" w:line="240" w:lineRule="auto"/>
    </w:pPr>
    <w:rPr>
      <w:rFonts w:ascii="Times New Roman" w:eastAsia="Times New Roman" w:hAnsi="Times New Roman"/>
      <w:sz w:val="24"/>
      <w:szCs w:val="24"/>
      <w:lang w:val="en-NZ" w:eastAsia="en-NZ"/>
    </w:rPr>
  </w:style>
  <w:style w:type="paragraph" w:styleId="EndnoteText">
    <w:name w:val="endnote text"/>
    <w:basedOn w:val="Normal"/>
    <w:link w:val="EndnoteTextChar"/>
    <w:uiPriority w:val="99"/>
    <w:semiHidden/>
    <w:unhideWhenUsed/>
    <w:rsid w:val="000A3DEA"/>
    <w:pPr>
      <w:spacing w:after="0" w:line="240" w:lineRule="auto"/>
    </w:pPr>
    <w:rPr>
      <w:sz w:val="20"/>
    </w:rPr>
  </w:style>
  <w:style w:type="character" w:customStyle="1" w:styleId="EndnoteTextChar">
    <w:name w:val="Endnote Text Char"/>
    <w:basedOn w:val="DefaultParagraphFont"/>
    <w:link w:val="EndnoteText"/>
    <w:uiPriority w:val="99"/>
    <w:semiHidden/>
    <w:rsid w:val="000A3DEA"/>
    <w:rPr>
      <w:rFonts w:ascii="Calibri" w:hAnsi="Calibri"/>
    </w:rPr>
  </w:style>
  <w:style w:type="paragraph" w:customStyle="1" w:styleId="EEATbullets">
    <w:name w:val="EEAT bullets"/>
    <w:basedOn w:val="E3Bullets"/>
    <w:link w:val="EEATbulletsChar"/>
    <w:qFormat/>
    <w:rsid w:val="001D01EB"/>
    <w:pPr>
      <w:numPr>
        <w:numId w:val="5"/>
      </w:numPr>
      <w:spacing w:before="60" w:after="60" w:line="276" w:lineRule="auto"/>
    </w:pPr>
    <w:rPr>
      <w:rFonts w:ascii="Calibri" w:hAnsi="Calibri"/>
      <w:sz w:val="22"/>
    </w:rPr>
  </w:style>
  <w:style w:type="character" w:customStyle="1" w:styleId="EEATbulletsChar">
    <w:name w:val="EEAT bullets Char"/>
    <w:basedOn w:val="E3BulletsChar"/>
    <w:link w:val="EEATbullets"/>
    <w:rsid w:val="001D01EB"/>
    <w:rPr>
      <w:rFonts w:ascii="Calibri" w:eastAsia="Cambria" w:hAnsi="Calibri"/>
      <w:sz w:val="22"/>
      <w:szCs w:val="24"/>
    </w:rPr>
  </w:style>
  <w:style w:type="character" w:customStyle="1" w:styleId="CaptionChar">
    <w:name w:val="Caption Char"/>
    <w:basedOn w:val="DefaultParagraphFont"/>
    <w:link w:val="Caption"/>
    <w:uiPriority w:val="35"/>
    <w:locked/>
    <w:rsid w:val="00CA75B9"/>
    <w:rPr>
      <w:rFonts w:ascii="Calibri" w:hAnsi="Calibri"/>
      <w:i/>
      <w:iCs/>
      <w:color w:val="1F497D" w:themeColor="text2"/>
      <w:sz w:val="18"/>
      <w:szCs w:val="18"/>
    </w:rPr>
  </w:style>
  <w:style w:type="character" w:styleId="PlaceholderText">
    <w:name w:val="Placeholder Text"/>
    <w:basedOn w:val="DefaultParagraphFont"/>
    <w:uiPriority w:val="99"/>
    <w:semiHidden/>
    <w:rsid w:val="00391988"/>
    <w:rPr>
      <w:color w:val="808080"/>
    </w:rPr>
  </w:style>
  <w:style w:type="paragraph" w:customStyle="1" w:styleId="h5Section">
    <w:name w:val="h5_Section"/>
    <w:aliases w:val="ActHead 5,s"/>
    <w:basedOn w:val="Normal"/>
    <w:next w:val="Normal"/>
    <w:qFormat/>
    <w:rsid w:val="003B2B3E"/>
    <w:pPr>
      <w:keepNext/>
      <w:keepLines/>
      <w:spacing w:before="280" w:after="0" w:line="240" w:lineRule="auto"/>
      <w:ind w:left="1134" w:hanging="1134"/>
      <w:outlineLvl w:val="4"/>
    </w:pPr>
    <w:rPr>
      <w:rFonts w:ascii="Times New Roman" w:eastAsia="Times New Roman" w:hAnsi="Times New Roman"/>
      <w:b/>
      <w:kern w:val="28"/>
      <w:sz w:val="24"/>
      <w:lang w:eastAsia="en-AU"/>
    </w:rPr>
  </w:style>
  <w:style w:type="character" w:customStyle="1" w:styleId="paragraphChar">
    <w:name w:val="paragraph Char"/>
    <w:aliases w:val="a Char"/>
    <w:basedOn w:val="DefaultParagraphFont"/>
    <w:link w:val="tPara"/>
    <w:locked/>
    <w:rsid w:val="003B2B3E"/>
    <w:rPr>
      <w:sz w:val="22"/>
    </w:rPr>
  </w:style>
  <w:style w:type="paragraph" w:customStyle="1" w:styleId="tPara">
    <w:name w:val="t_Para"/>
    <w:aliases w:val="paragraph,a"/>
    <w:basedOn w:val="Normal"/>
    <w:link w:val="paragraphChar"/>
    <w:qFormat/>
    <w:rsid w:val="003B2B3E"/>
    <w:pPr>
      <w:tabs>
        <w:tab w:val="right" w:pos="1531"/>
      </w:tabs>
      <w:spacing w:before="40" w:after="0" w:line="240" w:lineRule="auto"/>
      <w:ind w:left="1644" w:hanging="1644"/>
    </w:pPr>
    <w:rPr>
      <w:rFonts w:ascii="Times New Roman" w:hAnsi="Times New Roman"/>
    </w:rPr>
  </w:style>
  <w:style w:type="character" w:customStyle="1" w:styleId="subsectionChar">
    <w:name w:val="subsection Char"/>
    <w:aliases w:val="ss Char"/>
    <w:basedOn w:val="DefaultParagraphFont"/>
    <w:link w:val="tMain"/>
    <w:locked/>
    <w:rsid w:val="003B2B3E"/>
    <w:rPr>
      <w:sz w:val="22"/>
    </w:rPr>
  </w:style>
  <w:style w:type="paragraph" w:customStyle="1" w:styleId="tMain">
    <w:name w:val="t_Main"/>
    <w:aliases w:val="subsection,ss"/>
    <w:basedOn w:val="Normal"/>
    <w:link w:val="subsectionChar"/>
    <w:qFormat/>
    <w:rsid w:val="003B2B3E"/>
    <w:pPr>
      <w:tabs>
        <w:tab w:val="right" w:pos="1021"/>
      </w:tabs>
      <w:spacing w:before="180" w:after="0" w:line="240" w:lineRule="auto"/>
      <w:ind w:left="1134" w:hanging="1134"/>
    </w:pPr>
    <w:rPr>
      <w:rFonts w:ascii="Times New Roman" w:hAnsi="Times New Roman"/>
    </w:rPr>
  </w:style>
  <w:style w:type="paragraph" w:customStyle="1" w:styleId="h6Subsec">
    <w:name w:val="h6_Subsec"/>
    <w:aliases w:val="SubsectionHead"/>
    <w:basedOn w:val="Normal"/>
    <w:next w:val="tMain"/>
    <w:qFormat/>
    <w:rsid w:val="003B2B3E"/>
    <w:pPr>
      <w:keepNext/>
      <w:keepLines/>
      <w:spacing w:before="240" w:after="0" w:line="240" w:lineRule="auto"/>
      <w:ind w:left="1134"/>
    </w:pPr>
    <w:rPr>
      <w:rFonts w:ascii="Times New Roman" w:eastAsia="Times New Roman" w:hAnsi="Times New Roman"/>
      <w:i/>
      <w:lang w:eastAsia="en-AU"/>
    </w:rPr>
  </w:style>
  <w:style w:type="paragraph" w:customStyle="1" w:styleId="tSubpara">
    <w:name w:val="t_Subpara"/>
    <w:aliases w:val="paragraph(sub),aa"/>
    <w:basedOn w:val="Normal"/>
    <w:qFormat/>
    <w:rsid w:val="003B2B3E"/>
    <w:pPr>
      <w:tabs>
        <w:tab w:val="right" w:pos="1985"/>
      </w:tabs>
      <w:spacing w:before="40" w:after="0" w:line="240" w:lineRule="auto"/>
      <w:ind w:left="2098" w:hanging="2098"/>
    </w:pPr>
    <w:rPr>
      <w:rFonts w:ascii="Times New Roman" w:eastAsia="Times New Roman" w:hAnsi="Times New Roman"/>
      <w:lang w:eastAsia="en-AU"/>
    </w:rPr>
  </w:style>
  <w:style w:type="paragraph" w:customStyle="1" w:styleId="tDefn">
    <w:name w:val="t_Defn"/>
    <w:aliases w:val="Definition,dd"/>
    <w:basedOn w:val="Normal"/>
    <w:uiPriority w:val="99"/>
    <w:rsid w:val="00FE1A60"/>
    <w:pPr>
      <w:spacing w:before="180" w:after="0" w:line="240" w:lineRule="auto"/>
      <w:ind w:left="1134"/>
    </w:pPr>
    <w:rPr>
      <w:rFonts w:ascii="Times New Roman" w:eastAsia="Times New Roman" w:hAnsi="Times New Roman"/>
      <w:lang w:eastAsia="en-AU"/>
    </w:rPr>
  </w:style>
  <w:style w:type="character" w:customStyle="1" w:styleId="hgkelc">
    <w:name w:val="hgkelc"/>
    <w:basedOn w:val="DefaultParagraphFont"/>
    <w:rsid w:val="005640EA"/>
  </w:style>
  <w:style w:type="character" w:customStyle="1" w:styleId="UnresolvedMention2">
    <w:name w:val="Unresolved Mention2"/>
    <w:basedOn w:val="DefaultParagraphFont"/>
    <w:uiPriority w:val="99"/>
    <w:semiHidden/>
    <w:unhideWhenUsed/>
    <w:rsid w:val="00952072"/>
    <w:rPr>
      <w:color w:val="605E5C"/>
      <w:shd w:val="clear" w:color="auto" w:fill="E1DFDD"/>
    </w:rPr>
  </w:style>
  <w:style w:type="paragraph" w:styleId="TableofFigures">
    <w:name w:val="table of figures"/>
    <w:basedOn w:val="Normal"/>
    <w:next w:val="Normal"/>
    <w:uiPriority w:val="99"/>
    <w:unhideWhenUsed/>
    <w:rsid w:val="004B6F71"/>
    <w:pPr>
      <w:spacing w:after="0"/>
    </w:pPr>
  </w:style>
  <w:style w:type="character" w:styleId="UnresolvedMention">
    <w:name w:val="Unresolved Mention"/>
    <w:basedOn w:val="DefaultParagraphFont"/>
    <w:uiPriority w:val="99"/>
    <w:semiHidden/>
    <w:unhideWhenUsed/>
    <w:rsid w:val="000F053C"/>
    <w:rPr>
      <w:color w:val="605E5C"/>
      <w:shd w:val="clear" w:color="auto" w:fill="E1DFDD"/>
    </w:rPr>
  </w:style>
  <w:style w:type="character" w:customStyle="1" w:styleId="cf01">
    <w:name w:val="cf01"/>
    <w:basedOn w:val="DefaultParagraphFont"/>
    <w:rsid w:val="004D6C53"/>
    <w:rPr>
      <w:rFonts w:ascii="Segoe UI" w:hAnsi="Segoe UI" w:cs="Segoe UI" w:hint="default"/>
      <w:sz w:val="18"/>
      <w:szCs w:val="18"/>
    </w:rPr>
  </w:style>
  <w:style w:type="character" w:customStyle="1" w:styleId="NoSpacingChar">
    <w:name w:val="No Spacing Char"/>
    <w:aliases w:val="Paragragh text Char"/>
    <w:basedOn w:val="DefaultParagraphFont"/>
    <w:link w:val="NoSpacing"/>
    <w:uiPriority w:val="1"/>
    <w:rsid w:val="00D852E2"/>
    <w:rPr>
      <w:rFonts w:ascii="Calibri" w:hAnsi="Calibri"/>
      <w:sz w:val="22"/>
    </w:rPr>
  </w:style>
  <w:style w:type="paragraph" w:styleId="ListNumber2">
    <w:name w:val="List Number 2"/>
    <w:basedOn w:val="NoSpacing"/>
    <w:uiPriority w:val="99"/>
    <w:rsid w:val="00B27881"/>
    <w:pPr>
      <w:widowControl w:val="0"/>
      <w:numPr>
        <w:numId w:val="11"/>
      </w:numPr>
      <w:spacing w:after="80"/>
    </w:pPr>
    <w:rPr>
      <w:rFonts w:eastAsia="Times New Roman"/>
      <w:szCs w:val="22"/>
      <w:lang w:val="en-US" w:bidi="en-US"/>
    </w:rPr>
  </w:style>
  <w:style w:type="paragraph" w:customStyle="1" w:styleId="Normalbold1stline">
    <w:name w:val="Normal bold 1st line"/>
    <w:basedOn w:val="Normal"/>
    <w:rsid w:val="00F940AD"/>
    <w:pPr>
      <w:spacing w:before="60" w:line="23" w:lineRule="atLeast"/>
      <w:ind w:left="142"/>
      <w:textAlignment w:val="baseline"/>
    </w:pPr>
    <w:rPr>
      <w:rFonts w:eastAsia="Calibri"/>
      <w:b/>
      <w:color w:val="000000"/>
      <w:szCs w:val="22"/>
      <w:lang w:val="en-US"/>
    </w:rPr>
  </w:style>
  <w:style w:type="paragraph" w:customStyle="1" w:styleId="pf1">
    <w:name w:val="pf1"/>
    <w:basedOn w:val="Normal"/>
    <w:rsid w:val="00014867"/>
    <w:pPr>
      <w:spacing w:before="100" w:beforeAutospacing="1" w:after="100" w:afterAutospacing="1" w:line="240" w:lineRule="auto"/>
      <w:ind w:left="720"/>
    </w:pPr>
    <w:rPr>
      <w:rFonts w:ascii="Times New Roman" w:eastAsia="Times New Roman" w:hAnsi="Times New Roman"/>
      <w:sz w:val="24"/>
      <w:szCs w:val="24"/>
      <w:lang w:val="en-NZ" w:eastAsia="en-NZ"/>
      <w14:ligatures w14:val="standardContextual"/>
    </w:rPr>
  </w:style>
  <w:style w:type="paragraph" w:customStyle="1" w:styleId="pf0">
    <w:name w:val="pf0"/>
    <w:basedOn w:val="Normal"/>
    <w:rsid w:val="00014867"/>
    <w:pPr>
      <w:spacing w:before="100" w:beforeAutospacing="1" w:after="100" w:afterAutospacing="1" w:line="240" w:lineRule="auto"/>
    </w:pPr>
    <w:rPr>
      <w:rFonts w:ascii="Times New Roman" w:eastAsia="Times New Roman" w:hAnsi="Times New Roman"/>
      <w:sz w:val="24"/>
      <w:szCs w:val="24"/>
      <w:lang w:val="en-NZ" w:eastAsia="en-NZ"/>
      <w14:ligatures w14:val="standardContextual"/>
    </w:rPr>
  </w:style>
  <w:style w:type="character" w:customStyle="1" w:styleId="cf21">
    <w:name w:val="cf21"/>
    <w:basedOn w:val="DefaultParagraphFont"/>
    <w:rsid w:val="00014867"/>
    <w:rPr>
      <w:rFonts w:ascii="Segoe UI" w:hAnsi="Segoe UI" w:cs="Segoe UI" w:hint="default"/>
      <w:i/>
      <w:iCs/>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A58CD"/>
  </w:style>
  <w:style w:type="character" w:customStyle="1" w:styleId="eop">
    <w:name w:val="eop"/>
    <w:basedOn w:val="DefaultParagraphFont"/>
    <w:rsid w:val="009A58CD"/>
  </w:style>
  <w:style w:type="character" w:styleId="Emphasis">
    <w:name w:val="Emphasis"/>
    <w:basedOn w:val="DefaultParagraphFont"/>
    <w:uiPriority w:val="20"/>
    <w:qFormat/>
    <w:rsid w:val="00B6141F"/>
    <w:rPr>
      <w:i/>
      <w:iCs/>
    </w:rPr>
  </w:style>
  <w:style w:type="paragraph" w:customStyle="1" w:styleId="E3BodyText">
    <w:name w:val="E3 Body Text"/>
    <w:qFormat/>
    <w:rsid w:val="00351A55"/>
    <w:pPr>
      <w:autoSpaceDE w:val="0"/>
      <w:autoSpaceDN w:val="0"/>
      <w:adjustRightInd w:val="0"/>
      <w:spacing w:after="113" w:line="300" w:lineRule="auto"/>
    </w:pPr>
    <w:rPr>
      <w:rFonts w:ascii="Georgia" w:eastAsia="Calibri" w:hAnsi="Georgia" w:cs="Georgia"/>
      <w:color w:val="000000"/>
      <w:sz w:val="24"/>
      <w:szCs w:val="19"/>
    </w:rPr>
  </w:style>
  <w:style w:type="character" w:customStyle="1" w:styleId="Heading5Char">
    <w:name w:val="Heading 5 Char"/>
    <w:basedOn w:val="DefaultParagraphFont"/>
    <w:link w:val="Heading5"/>
    <w:uiPriority w:val="9"/>
    <w:semiHidden/>
    <w:rsid w:val="009A1625"/>
    <w:rPr>
      <w:rFonts w:ascii="Calibri" w:eastAsiaTheme="majorEastAsia" w:hAnsi="Calibri" w:cstheme="majorBidi"/>
      <w:color w:val="365F91" w:themeColor="accent1" w:themeShade="BF"/>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715">
      <w:bodyDiv w:val="1"/>
      <w:marLeft w:val="0"/>
      <w:marRight w:val="0"/>
      <w:marTop w:val="0"/>
      <w:marBottom w:val="0"/>
      <w:divBdr>
        <w:top w:val="none" w:sz="0" w:space="0" w:color="auto"/>
        <w:left w:val="none" w:sz="0" w:space="0" w:color="auto"/>
        <w:bottom w:val="none" w:sz="0" w:space="0" w:color="auto"/>
        <w:right w:val="none" w:sz="0" w:space="0" w:color="auto"/>
      </w:divBdr>
    </w:div>
    <w:div w:id="2779493">
      <w:bodyDiv w:val="1"/>
      <w:marLeft w:val="0"/>
      <w:marRight w:val="0"/>
      <w:marTop w:val="0"/>
      <w:marBottom w:val="0"/>
      <w:divBdr>
        <w:top w:val="none" w:sz="0" w:space="0" w:color="auto"/>
        <w:left w:val="none" w:sz="0" w:space="0" w:color="auto"/>
        <w:bottom w:val="none" w:sz="0" w:space="0" w:color="auto"/>
        <w:right w:val="none" w:sz="0" w:space="0" w:color="auto"/>
      </w:divBdr>
    </w:div>
    <w:div w:id="64378959">
      <w:bodyDiv w:val="1"/>
      <w:marLeft w:val="0"/>
      <w:marRight w:val="0"/>
      <w:marTop w:val="0"/>
      <w:marBottom w:val="0"/>
      <w:divBdr>
        <w:top w:val="none" w:sz="0" w:space="0" w:color="auto"/>
        <w:left w:val="none" w:sz="0" w:space="0" w:color="auto"/>
        <w:bottom w:val="none" w:sz="0" w:space="0" w:color="auto"/>
        <w:right w:val="none" w:sz="0" w:space="0" w:color="auto"/>
      </w:divBdr>
    </w:div>
    <w:div w:id="97340413">
      <w:bodyDiv w:val="1"/>
      <w:marLeft w:val="0"/>
      <w:marRight w:val="0"/>
      <w:marTop w:val="0"/>
      <w:marBottom w:val="0"/>
      <w:divBdr>
        <w:top w:val="none" w:sz="0" w:space="0" w:color="auto"/>
        <w:left w:val="none" w:sz="0" w:space="0" w:color="auto"/>
        <w:bottom w:val="none" w:sz="0" w:space="0" w:color="auto"/>
        <w:right w:val="none" w:sz="0" w:space="0" w:color="auto"/>
      </w:divBdr>
    </w:div>
    <w:div w:id="180242937">
      <w:bodyDiv w:val="1"/>
      <w:marLeft w:val="0"/>
      <w:marRight w:val="0"/>
      <w:marTop w:val="0"/>
      <w:marBottom w:val="0"/>
      <w:divBdr>
        <w:top w:val="none" w:sz="0" w:space="0" w:color="auto"/>
        <w:left w:val="none" w:sz="0" w:space="0" w:color="auto"/>
        <w:bottom w:val="none" w:sz="0" w:space="0" w:color="auto"/>
        <w:right w:val="none" w:sz="0" w:space="0" w:color="auto"/>
      </w:divBdr>
    </w:div>
    <w:div w:id="193467867">
      <w:bodyDiv w:val="1"/>
      <w:marLeft w:val="0"/>
      <w:marRight w:val="0"/>
      <w:marTop w:val="0"/>
      <w:marBottom w:val="0"/>
      <w:divBdr>
        <w:top w:val="none" w:sz="0" w:space="0" w:color="auto"/>
        <w:left w:val="none" w:sz="0" w:space="0" w:color="auto"/>
        <w:bottom w:val="none" w:sz="0" w:space="0" w:color="auto"/>
        <w:right w:val="none" w:sz="0" w:space="0" w:color="auto"/>
      </w:divBdr>
    </w:div>
    <w:div w:id="242951946">
      <w:bodyDiv w:val="1"/>
      <w:marLeft w:val="0"/>
      <w:marRight w:val="0"/>
      <w:marTop w:val="0"/>
      <w:marBottom w:val="0"/>
      <w:divBdr>
        <w:top w:val="none" w:sz="0" w:space="0" w:color="auto"/>
        <w:left w:val="none" w:sz="0" w:space="0" w:color="auto"/>
        <w:bottom w:val="none" w:sz="0" w:space="0" w:color="auto"/>
        <w:right w:val="none" w:sz="0" w:space="0" w:color="auto"/>
      </w:divBdr>
    </w:div>
    <w:div w:id="250892362">
      <w:bodyDiv w:val="1"/>
      <w:marLeft w:val="0"/>
      <w:marRight w:val="0"/>
      <w:marTop w:val="0"/>
      <w:marBottom w:val="0"/>
      <w:divBdr>
        <w:top w:val="none" w:sz="0" w:space="0" w:color="auto"/>
        <w:left w:val="none" w:sz="0" w:space="0" w:color="auto"/>
        <w:bottom w:val="none" w:sz="0" w:space="0" w:color="auto"/>
        <w:right w:val="none" w:sz="0" w:space="0" w:color="auto"/>
      </w:divBdr>
    </w:div>
    <w:div w:id="291326706">
      <w:bodyDiv w:val="1"/>
      <w:marLeft w:val="0"/>
      <w:marRight w:val="0"/>
      <w:marTop w:val="0"/>
      <w:marBottom w:val="0"/>
      <w:divBdr>
        <w:top w:val="none" w:sz="0" w:space="0" w:color="auto"/>
        <w:left w:val="none" w:sz="0" w:space="0" w:color="auto"/>
        <w:bottom w:val="none" w:sz="0" w:space="0" w:color="auto"/>
        <w:right w:val="none" w:sz="0" w:space="0" w:color="auto"/>
      </w:divBdr>
    </w:div>
    <w:div w:id="315259277">
      <w:bodyDiv w:val="1"/>
      <w:marLeft w:val="0"/>
      <w:marRight w:val="0"/>
      <w:marTop w:val="0"/>
      <w:marBottom w:val="0"/>
      <w:divBdr>
        <w:top w:val="none" w:sz="0" w:space="0" w:color="auto"/>
        <w:left w:val="none" w:sz="0" w:space="0" w:color="auto"/>
        <w:bottom w:val="none" w:sz="0" w:space="0" w:color="auto"/>
        <w:right w:val="none" w:sz="0" w:space="0" w:color="auto"/>
      </w:divBdr>
      <w:divsChild>
        <w:div w:id="770469102">
          <w:marLeft w:val="0"/>
          <w:marRight w:val="300"/>
          <w:marTop w:val="0"/>
          <w:marBottom w:val="0"/>
          <w:divBdr>
            <w:top w:val="none" w:sz="0" w:space="0" w:color="auto"/>
            <w:left w:val="none" w:sz="0" w:space="0" w:color="auto"/>
            <w:bottom w:val="none" w:sz="0" w:space="0" w:color="auto"/>
            <w:right w:val="dotted" w:sz="6" w:space="15" w:color="333333"/>
          </w:divBdr>
          <w:divsChild>
            <w:div w:id="14526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8253">
      <w:bodyDiv w:val="1"/>
      <w:marLeft w:val="0"/>
      <w:marRight w:val="0"/>
      <w:marTop w:val="0"/>
      <w:marBottom w:val="0"/>
      <w:divBdr>
        <w:top w:val="none" w:sz="0" w:space="0" w:color="auto"/>
        <w:left w:val="none" w:sz="0" w:space="0" w:color="auto"/>
        <w:bottom w:val="none" w:sz="0" w:space="0" w:color="auto"/>
        <w:right w:val="none" w:sz="0" w:space="0" w:color="auto"/>
      </w:divBdr>
    </w:div>
    <w:div w:id="370959779">
      <w:bodyDiv w:val="1"/>
      <w:marLeft w:val="0"/>
      <w:marRight w:val="0"/>
      <w:marTop w:val="0"/>
      <w:marBottom w:val="0"/>
      <w:divBdr>
        <w:top w:val="none" w:sz="0" w:space="0" w:color="auto"/>
        <w:left w:val="none" w:sz="0" w:space="0" w:color="auto"/>
        <w:bottom w:val="none" w:sz="0" w:space="0" w:color="auto"/>
        <w:right w:val="none" w:sz="0" w:space="0" w:color="auto"/>
      </w:divBdr>
    </w:div>
    <w:div w:id="409888126">
      <w:bodyDiv w:val="1"/>
      <w:marLeft w:val="0"/>
      <w:marRight w:val="0"/>
      <w:marTop w:val="0"/>
      <w:marBottom w:val="0"/>
      <w:divBdr>
        <w:top w:val="none" w:sz="0" w:space="0" w:color="auto"/>
        <w:left w:val="none" w:sz="0" w:space="0" w:color="auto"/>
        <w:bottom w:val="none" w:sz="0" w:space="0" w:color="auto"/>
        <w:right w:val="none" w:sz="0" w:space="0" w:color="auto"/>
      </w:divBdr>
    </w:div>
    <w:div w:id="426582782">
      <w:bodyDiv w:val="1"/>
      <w:marLeft w:val="0"/>
      <w:marRight w:val="0"/>
      <w:marTop w:val="0"/>
      <w:marBottom w:val="0"/>
      <w:divBdr>
        <w:top w:val="none" w:sz="0" w:space="0" w:color="auto"/>
        <w:left w:val="none" w:sz="0" w:space="0" w:color="auto"/>
        <w:bottom w:val="none" w:sz="0" w:space="0" w:color="auto"/>
        <w:right w:val="none" w:sz="0" w:space="0" w:color="auto"/>
      </w:divBdr>
    </w:div>
    <w:div w:id="441340515">
      <w:bodyDiv w:val="1"/>
      <w:marLeft w:val="0"/>
      <w:marRight w:val="0"/>
      <w:marTop w:val="0"/>
      <w:marBottom w:val="0"/>
      <w:divBdr>
        <w:top w:val="none" w:sz="0" w:space="0" w:color="auto"/>
        <w:left w:val="none" w:sz="0" w:space="0" w:color="auto"/>
        <w:bottom w:val="none" w:sz="0" w:space="0" w:color="auto"/>
        <w:right w:val="none" w:sz="0" w:space="0" w:color="auto"/>
      </w:divBdr>
    </w:div>
    <w:div w:id="454832733">
      <w:bodyDiv w:val="1"/>
      <w:marLeft w:val="0"/>
      <w:marRight w:val="0"/>
      <w:marTop w:val="0"/>
      <w:marBottom w:val="0"/>
      <w:divBdr>
        <w:top w:val="none" w:sz="0" w:space="0" w:color="auto"/>
        <w:left w:val="none" w:sz="0" w:space="0" w:color="auto"/>
        <w:bottom w:val="none" w:sz="0" w:space="0" w:color="auto"/>
        <w:right w:val="none" w:sz="0" w:space="0" w:color="auto"/>
      </w:divBdr>
    </w:div>
    <w:div w:id="575211320">
      <w:bodyDiv w:val="1"/>
      <w:marLeft w:val="0"/>
      <w:marRight w:val="0"/>
      <w:marTop w:val="0"/>
      <w:marBottom w:val="0"/>
      <w:divBdr>
        <w:top w:val="none" w:sz="0" w:space="0" w:color="auto"/>
        <w:left w:val="none" w:sz="0" w:space="0" w:color="auto"/>
        <w:bottom w:val="none" w:sz="0" w:space="0" w:color="auto"/>
        <w:right w:val="none" w:sz="0" w:space="0" w:color="auto"/>
      </w:divBdr>
    </w:div>
    <w:div w:id="627128865">
      <w:bodyDiv w:val="1"/>
      <w:marLeft w:val="0"/>
      <w:marRight w:val="0"/>
      <w:marTop w:val="0"/>
      <w:marBottom w:val="0"/>
      <w:divBdr>
        <w:top w:val="none" w:sz="0" w:space="0" w:color="auto"/>
        <w:left w:val="none" w:sz="0" w:space="0" w:color="auto"/>
        <w:bottom w:val="none" w:sz="0" w:space="0" w:color="auto"/>
        <w:right w:val="none" w:sz="0" w:space="0" w:color="auto"/>
      </w:divBdr>
    </w:div>
    <w:div w:id="669724378">
      <w:bodyDiv w:val="1"/>
      <w:marLeft w:val="0"/>
      <w:marRight w:val="0"/>
      <w:marTop w:val="0"/>
      <w:marBottom w:val="0"/>
      <w:divBdr>
        <w:top w:val="none" w:sz="0" w:space="0" w:color="auto"/>
        <w:left w:val="none" w:sz="0" w:space="0" w:color="auto"/>
        <w:bottom w:val="none" w:sz="0" w:space="0" w:color="auto"/>
        <w:right w:val="none" w:sz="0" w:space="0" w:color="auto"/>
      </w:divBdr>
    </w:div>
    <w:div w:id="688139071">
      <w:bodyDiv w:val="1"/>
      <w:marLeft w:val="0"/>
      <w:marRight w:val="0"/>
      <w:marTop w:val="0"/>
      <w:marBottom w:val="0"/>
      <w:divBdr>
        <w:top w:val="none" w:sz="0" w:space="0" w:color="auto"/>
        <w:left w:val="none" w:sz="0" w:space="0" w:color="auto"/>
        <w:bottom w:val="none" w:sz="0" w:space="0" w:color="auto"/>
        <w:right w:val="none" w:sz="0" w:space="0" w:color="auto"/>
      </w:divBdr>
    </w:div>
    <w:div w:id="782651387">
      <w:bodyDiv w:val="1"/>
      <w:marLeft w:val="0"/>
      <w:marRight w:val="0"/>
      <w:marTop w:val="0"/>
      <w:marBottom w:val="0"/>
      <w:divBdr>
        <w:top w:val="none" w:sz="0" w:space="0" w:color="auto"/>
        <w:left w:val="none" w:sz="0" w:space="0" w:color="auto"/>
        <w:bottom w:val="none" w:sz="0" w:space="0" w:color="auto"/>
        <w:right w:val="none" w:sz="0" w:space="0" w:color="auto"/>
      </w:divBdr>
    </w:div>
    <w:div w:id="794100724">
      <w:bodyDiv w:val="1"/>
      <w:marLeft w:val="0"/>
      <w:marRight w:val="0"/>
      <w:marTop w:val="0"/>
      <w:marBottom w:val="0"/>
      <w:divBdr>
        <w:top w:val="none" w:sz="0" w:space="0" w:color="auto"/>
        <w:left w:val="none" w:sz="0" w:space="0" w:color="auto"/>
        <w:bottom w:val="none" w:sz="0" w:space="0" w:color="auto"/>
        <w:right w:val="none" w:sz="0" w:space="0" w:color="auto"/>
      </w:divBdr>
    </w:div>
    <w:div w:id="802045240">
      <w:bodyDiv w:val="1"/>
      <w:marLeft w:val="0"/>
      <w:marRight w:val="0"/>
      <w:marTop w:val="0"/>
      <w:marBottom w:val="0"/>
      <w:divBdr>
        <w:top w:val="none" w:sz="0" w:space="0" w:color="auto"/>
        <w:left w:val="none" w:sz="0" w:space="0" w:color="auto"/>
        <w:bottom w:val="none" w:sz="0" w:space="0" w:color="auto"/>
        <w:right w:val="none" w:sz="0" w:space="0" w:color="auto"/>
      </w:divBdr>
    </w:div>
    <w:div w:id="888152687">
      <w:bodyDiv w:val="1"/>
      <w:marLeft w:val="0"/>
      <w:marRight w:val="0"/>
      <w:marTop w:val="0"/>
      <w:marBottom w:val="0"/>
      <w:divBdr>
        <w:top w:val="none" w:sz="0" w:space="0" w:color="auto"/>
        <w:left w:val="none" w:sz="0" w:space="0" w:color="auto"/>
        <w:bottom w:val="none" w:sz="0" w:space="0" w:color="auto"/>
        <w:right w:val="none" w:sz="0" w:space="0" w:color="auto"/>
      </w:divBdr>
    </w:div>
    <w:div w:id="953830335">
      <w:bodyDiv w:val="1"/>
      <w:marLeft w:val="0"/>
      <w:marRight w:val="0"/>
      <w:marTop w:val="0"/>
      <w:marBottom w:val="0"/>
      <w:divBdr>
        <w:top w:val="none" w:sz="0" w:space="0" w:color="auto"/>
        <w:left w:val="none" w:sz="0" w:space="0" w:color="auto"/>
        <w:bottom w:val="none" w:sz="0" w:space="0" w:color="auto"/>
        <w:right w:val="none" w:sz="0" w:space="0" w:color="auto"/>
      </w:divBdr>
    </w:div>
    <w:div w:id="954101330">
      <w:bodyDiv w:val="1"/>
      <w:marLeft w:val="0"/>
      <w:marRight w:val="0"/>
      <w:marTop w:val="0"/>
      <w:marBottom w:val="0"/>
      <w:divBdr>
        <w:top w:val="none" w:sz="0" w:space="0" w:color="auto"/>
        <w:left w:val="none" w:sz="0" w:space="0" w:color="auto"/>
        <w:bottom w:val="none" w:sz="0" w:space="0" w:color="auto"/>
        <w:right w:val="none" w:sz="0" w:space="0" w:color="auto"/>
      </w:divBdr>
    </w:div>
    <w:div w:id="986326753">
      <w:bodyDiv w:val="1"/>
      <w:marLeft w:val="0"/>
      <w:marRight w:val="0"/>
      <w:marTop w:val="0"/>
      <w:marBottom w:val="0"/>
      <w:divBdr>
        <w:top w:val="none" w:sz="0" w:space="0" w:color="auto"/>
        <w:left w:val="none" w:sz="0" w:space="0" w:color="auto"/>
        <w:bottom w:val="none" w:sz="0" w:space="0" w:color="auto"/>
        <w:right w:val="none" w:sz="0" w:space="0" w:color="auto"/>
      </w:divBdr>
    </w:div>
    <w:div w:id="1023704698">
      <w:bodyDiv w:val="1"/>
      <w:marLeft w:val="0"/>
      <w:marRight w:val="0"/>
      <w:marTop w:val="0"/>
      <w:marBottom w:val="0"/>
      <w:divBdr>
        <w:top w:val="none" w:sz="0" w:space="0" w:color="auto"/>
        <w:left w:val="none" w:sz="0" w:space="0" w:color="auto"/>
        <w:bottom w:val="none" w:sz="0" w:space="0" w:color="auto"/>
        <w:right w:val="none" w:sz="0" w:space="0" w:color="auto"/>
      </w:divBdr>
    </w:div>
    <w:div w:id="1060176345">
      <w:bodyDiv w:val="1"/>
      <w:marLeft w:val="0"/>
      <w:marRight w:val="0"/>
      <w:marTop w:val="0"/>
      <w:marBottom w:val="0"/>
      <w:divBdr>
        <w:top w:val="none" w:sz="0" w:space="0" w:color="auto"/>
        <w:left w:val="none" w:sz="0" w:space="0" w:color="auto"/>
        <w:bottom w:val="none" w:sz="0" w:space="0" w:color="auto"/>
        <w:right w:val="none" w:sz="0" w:space="0" w:color="auto"/>
      </w:divBdr>
    </w:div>
    <w:div w:id="1065760124">
      <w:bodyDiv w:val="1"/>
      <w:marLeft w:val="0"/>
      <w:marRight w:val="0"/>
      <w:marTop w:val="0"/>
      <w:marBottom w:val="0"/>
      <w:divBdr>
        <w:top w:val="none" w:sz="0" w:space="0" w:color="auto"/>
        <w:left w:val="none" w:sz="0" w:space="0" w:color="auto"/>
        <w:bottom w:val="none" w:sz="0" w:space="0" w:color="auto"/>
        <w:right w:val="none" w:sz="0" w:space="0" w:color="auto"/>
      </w:divBdr>
    </w:div>
    <w:div w:id="1088425219">
      <w:bodyDiv w:val="1"/>
      <w:marLeft w:val="0"/>
      <w:marRight w:val="0"/>
      <w:marTop w:val="0"/>
      <w:marBottom w:val="0"/>
      <w:divBdr>
        <w:top w:val="none" w:sz="0" w:space="0" w:color="auto"/>
        <w:left w:val="none" w:sz="0" w:space="0" w:color="auto"/>
        <w:bottom w:val="none" w:sz="0" w:space="0" w:color="auto"/>
        <w:right w:val="none" w:sz="0" w:space="0" w:color="auto"/>
      </w:divBdr>
    </w:div>
    <w:div w:id="1101026437">
      <w:bodyDiv w:val="1"/>
      <w:marLeft w:val="0"/>
      <w:marRight w:val="0"/>
      <w:marTop w:val="0"/>
      <w:marBottom w:val="0"/>
      <w:divBdr>
        <w:top w:val="none" w:sz="0" w:space="0" w:color="auto"/>
        <w:left w:val="none" w:sz="0" w:space="0" w:color="auto"/>
        <w:bottom w:val="none" w:sz="0" w:space="0" w:color="auto"/>
        <w:right w:val="none" w:sz="0" w:space="0" w:color="auto"/>
      </w:divBdr>
    </w:div>
    <w:div w:id="1172329223">
      <w:bodyDiv w:val="1"/>
      <w:marLeft w:val="0"/>
      <w:marRight w:val="0"/>
      <w:marTop w:val="0"/>
      <w:marBottom w:val="0"/>
      <w:divBdr>
        <w:top w:val="none" w:sz="0" w:space="0" w:color="auto"/>
        <w:left w:val="none" w:sz="0" w:space="0" w:color="auto"/>
        <w:bottom w:val="none" w:sz="0" w:space="0" w:color="auto"/>
        <w:right w:val="none" w:sz="0" w:space="0" w:color="auto"/>
      </w:divBdr>
    </w:div>
    <w:div w:id="1193155918">
      <w:bodyDiv w:val="1"/>
      <w:marLeft w:val="0"/>
      <w:marRight w:val="0"/>
      <w:marTop w:val="0"/>
      <w:marBottom w:val="0"/>
      <w:divBdr>
        <w:top w:val="none" w:sz="0" w:space="0" w:color="auto"/>
        <w:left w:val="none" w:sz="0" w:space="0" w:color="auto"/>
        <w:bottom w:val="none" w:sz="0" w:space="0" w:color="auto"/>
        <w:right w:val="none" w:sz="0" w:space="0" w:color="auto"/>
      </w:divBdr>
    </w:div>
    <w:div w:id="1195197179">
      <w:bodyDiv w:val="1"/>
      <w:marLeft w:val="0"/>
      <w:marRight w:val="0"/>
      <w:marTop w:val="0"/>
      <w:marBottom w:val="0"/>
      <w:divBdr>
        <w:top w:val="none" w:sz="0" w:space="0" w:color="auto"/>
        <w:left w:val="none" w:sz="0" w:space="0" w:color="auto"/>
        <w:bottom w:val="none" w:sz="0" w:space="0" w:color="auto"/>
        <w:right w:val="none" w:sz="0" w:space="0" w:color="auto"/>
      </w:divBdr>
    </w:div>
    <w:div w:id="1201750479">
      <w:bodyDiv w:val="1"/>
      <w:marLeft w:val="0"/>
      <w:marRight w:val="0"/>
      <w:marTop w:val="0"/>
      <w:marBottom w:val="0"/>
      <w:divBdr>
        <w:top w:val="none" w:sz="0" w:space="0" w:color="auto"/>
        <w:left w:val="none" w:sz="0" w:space="0" w:color="auto"/>
        <w:bottom w:val="none" w:sz="0" w:space="0" w:color="auto"/>
        <w:right w:val="none" w:sz="0" w:space="0" w:color="auto"/>
      </w:divBdr>
    </w:div>
    <w:div w:id="1284851561">
      <w:bodyDiv w:val="1"/>
      <w:marLeft w:val="0"/>
      <w:marRight w:val="0"/>
      <w:marTop w:val="0"/>
      <w:marBottom w:val="0"/>
      <w:divBdr>
        <w:top w:val="none" w:sz="0" w:space="0" w:color="auto"/>
        <w:left w:val="none" w:sz="0" w:space="0" w:color="auto"/>
        <w:bottom w:val="none" w:sz="0" w:space="0" w:color="auto"/>
        <w:right w:val="none" w:sz="0" w:space="0" w:color="auto"/>
      </w:divBdr>
    </w:div>
    <w:div w:id="1308046418">
      <w:bodyDiv w:val="1"/>
      <w:marLeft w:val="0"/>
      <w:marRight w:val="0"/>
      <w:marTop w:val="0"/>
      <w:marBottom w:val="0"/>
      <w:divBdr>
        <w:top w:val="none" w:sz="0" w:space="0" w:color="auto"/>
        <w:left w:val="none" w:sz="0" w:space="0" w:color="auto"/>
        <w:bottom w:val="none" w:sz="0" w:space="0" w:color="auto"/>
        <w:right w:val="none" w:sz="0" w:space="0" w:color="auto"/>
      </w:divBdr>
    </w:div>
    <w:div w:id="1320117660">
      <w:bodyDiv w:val="1"/>
      <w:marLeft w:val="0"/>
      <w:marRight w:val="0"/>
      <w:marTop w:val="0"/>
      <w:marBottom w:val="0"/>
      <w:divBdr>
        <w:top w:val="none" w:sz="0" w:space="0" w:color="auto"/>
        <w:left w:val="none" w:sz="0" w:space="0" w:color="auto"/>
        <w:bottom w:val="none" w:sz="0" w:space="0" w:color="auto"/>
        <w:right w:val="none" w:sz="0" w:space="0" w:color="auto"/>
      </w:divBdr>
    </w:div>
    <w:div w:id="1333607299">
      <w:bodyDiv w:val="1"/>
      <w:marLeft w:val="0"/>
      <w:marRight w:val="0"/>
      <w:marTop w:val="0"/>
      <w:marBottom w:val="0"/>
      <w:divBdr>
        <w:top w:val="none" w:sz="0" w:space="0" w:color="auto"/>
        <w:left w:val="none" w:sz="0" w:space="0" w:color="auto"/>
        <w:bottom w:val="none" w:sz="0" w:space="0" w:color="auto"/>
        <w:right w:val="none" w:sz="0" w:space="0" w:color="auto"/>
      </w:divBdr>
    </w:div>
    <w:div w:id="1334721825">
      <w:bodyDiv w:val="1"/>
      <w:marLeft w:val="0"/>
      <w:marRight w:val="0"/>
      <w:marTop w:val="0"/>
      <w:marBottom w:val="0"/>
      <w:divBdr>
        <w:top w:val="none" w:sz="0" w:space="0" w:color="auto"/>
        <w:left w:val="none" w:sz="0" w:space="0" w:color="auto"/>
        <w:bottom w:val="none" w:sz="0" w:space="0" w:color="auto"/>
        <w:right w:val="none" w:sz="0" w:space="0" w:color="auto"/>
      </w:divBdr>
    </w:div>
    <w:div w:id="1334990772">
      <w:bodyDiv w:val="1"/>
      <w:marLeft w:val="0"/>
      <w:marRight w:val="0"/>
      <w:marTop w:val="0"/>
      <w:marBottom w:val="0"/>
      <w:divBdr>
        <w:top w:val="none" w:sz="0" w:space="0" w:color="auto"/>
        <w:left w:val="none" w:sz="0" w:space="0" w:color="auto"/>
        <w:bottom w:val="none" w:sz="0" w:space="0" w:color="auto"/>
        <w:right w:val="none" w:sz="0" w:space="0" w:color="auto"/>
      </w:divBdr>
    </w:div>
    <w:div w:id="1340885347">
      <w:bodyDiv w:val="1"/>
      <w:marLeft w:val="0"/>
      <w:marRight w:val="0"/>
      <w:marTop w:val="0"/>
      <w:marBottom w:val="0"/>
      <w:divBdr>
        <w:top w:val="none" w:sz="0" w:space="0" w:color="auto"/>
        <w:left w:val="none" w:sz="0" w:space="0" w:color="auto"/>
        <w:bottom w:val="none" w:sz="0" w:space="0" w:color="auto"/>
        <w:right w:val="none" w:sz="0" w:space="0" w:color="auto"/>
      </w:divBdr>
    </w:div>
    <w:div w:id="1351446273">
      <w:bodyDiv w:val="1"/>
      <w:marLeft w:val="0"/>
      <w:marRight w:val="0"/>
      <w:marTop w:val="0"/>
      <w:marBottom w:val="0"/>
      <w:divBdr>
        <w:top w:val="none" w:sz="0" w:space="0" w:color="auto"/>
        <w:left w:val="none" w:sz="0" w:space="0" w:color="auto"/>
        <w:bottom w:val="none" w:sz="0" w:space="0" w:color="auto"/>
        <w:right w:val="none" w:sz="0" w:space="0" w:color="auto"/>
      </w:divBdr>
    </w:div>
    <w:div w:id="1389571652">
      <w:bodyDiv w:val="1"/>
      <w:marLeft w:val="0"/>
      <w:marRight w:val="0"/>
      <w:marTop w:val="0"/>
      <w:marBottom w:val="0"/>
      <w:divBdr>
        <w:top w:val="none" w:sz="0" w:space="0" w:color="auto"/>
        <w:left w:val="none" w:sz="0" w:space="0" w:color="auto"/>
        <w:bottom w:val="none" w:sz="0" w:space="0" w:color="auto"/>
        <w:right w:val="none" w:sz="0" w:space="0" w:color="auto"/>
      </w:divBdr>
    </w:div>
    <w:div w:id="1390494784">
      <w:bodyDiv w:val="1"/>
      <w:marLeft w:val="0"/>
      <w:marRight w:val="0"/>
      <w:marTop w:val="0"/>
      <w:marBottom w:val="0"/>
      <w:divBdr>
        <w:top w:val="none" w:sz="0" w:space="0" w:color="auto"/>
        <w:left w:val="none" w:sz="0" w:space="0" w:color="auto"/>
        <w:bottom w:val="none" w:sz="0" w:space="0" w:color="auto"/>
        <w:right w:val="none" w:sz="0" w:space="0" w:color="auto"/>
      </w:divBdr>
    </w:div>
    <w:div w:id="1398629861">
      <w:bodyDiv w:val="1"/>
      <w:marLeft w:val="0"/>
      <w:marRight w:val="0"/>
      <w:marTop w:val="0"/>
      <w:marBottom w:val="0"/>
      <w:divBdr>
        <w:top w:val="none" w:sz="0" w:space="0" w:color="auto"/>
        <w:left w:val="none" w:sz="0" w:space="0" w:color="auto"/>
        <w:bottom w:val="none" w:sz="0" w:space="0" w:color="auto"/>
        <w:right w:val="none" w:sz="0" w:space="0" w:color="auto"/>
      </w:divBdr>
    </w:div>
    <w:div w:id="1404718323">
      <w:bodyDiv w:val="1"/>
      <w:marLeft w:val="0"/>
      <w:marRight w:val="0"/>
      <w:marTop w:val="0"/>
      <w:marBottom w:val="0"/>
      <w:divBdr>
        <w:top w:val="none" w:sz="0" w:space="0" w:color="auto"/>
        <w:left w:val="none" w:sz="0" w:space="0" w:color="auto"/>
        <w:bottom w:val="none" w:sz="0" w:space="0" w:color="auto"/>
        <w:right w:val="none" w:sz="0" w:space="0" w:color="auto"/>
      </w:divBdr>
    </w:div>
    <w:div w:id="1520317097">
      <w:bodyDiv w:val="1"/>
      <w:marLeft w:val="0"/>
      <w:marRight w:val="0"/>
      <w:marTop w:val="0"/>
      <w:marBottom w:val="0"/>
      <w:divBdr>
        <w:top w:val="none" w:sz="0" w:space="0" w:color="auto"/>
        <w:left w:val="none" w:sz="0" w:space="0" w:color="auto"/>
        <w:bottom w:val="none" w:sz="0" w:space="0" w:color="auto"/>
        <w:right w:val="none" w:sz="0" w:space="0" w:color="auto"/>
      </w:divBdr>
    </w:div>
    <w:div w:id="1573657157">
      <w:bodyDiv w:val="1"/>
      <w:marLeft w:val="0"/>
      <w:marRight w:val="0"/>
      <w:marTop w:val="0"/>
      <w:marBottom w:val="0"/>
      <w:divBdr>
        <w:top w:val="none" w:sz="0" w:space="0" w:color="auto"/>
        <w:left w:val="none" w:sz="0" w:space="0" w:color="auto"/>
        <w:bottom w:val="none" w:sz="0" w:space="0" w:color="auto"/>
        <w:right w:val="none" w:sz="0" w:space="0" w:color="auto"/>
      </w:divBdr>
    </w:div>
    <w:div w:id="1642614259">
      <w:bodyDiv w:val="1"/>
      <w:marLeft w:val="0"/>
      <w:marRight w:val="0"/>
      <w:marTop w:val="0"/>
      <w:marBottom w:val="0"/>
      <w:divBdr>
        <w:top w:val="none" w:sz="0" w:space="0" w:color="auto"/>
        <w:left w:val="none" w:sz="0" w:space="0" w:color="auto"/>
        <w:bottom w:val="none" w:sz="0" w:space="0" w:color="auto"/>
        <w:right w:val="none" w:sz="0" w:space="0" w:color="auto"/>
      </w:divBdr>
    </w:div>
    <w:div w:id="1643193165">
      <w:bodyDiv w:val="1"/>
      <w:marLeft w:val="0"/>
      <w:marRight w:val="0"/>
      <w:marTop w:val="0"/>
      <w:marBottom w:val="0"/>
      <w:divBdr>
        <w:top w:val="none" w:sz="0" w:space="0" w:color="auto"/>
        <w:left w:val="none" w:sz="0" w:space="0" w:color="auto"/>
        <w:bottom w:val="none" w:sz="0" w:space="0" w:color="auto"/>
        <w:right w:val="none" w:sz="0" w:space="0" w:color="auto"/>
      </w:divBdr>
    </w:div>
    <w:div w:id="1644581777">
      <w:bodyDiv w:val="1"/>
      <w:marLeft w:val="0"/>
      <w:marRight w:val="0"/>
      <w:marTop w:val="0"/>
      <w:marBottom w:val="0"/>
      <w:divBdr>
        <w:top w:val="none" w:sz="0" w:space="0" w:color="auto"/>
        <w:left w:val="none" w:sz="0" w:space="0" w:color="auto"/>
        <w:bottom w:val="none" w:sz="0" w:space="0" w:color="auto"/>
        <w:right w:val="none" w:sz="0" w:space="0" w:color="auto"/>
      </w:divBdr>
    </w:div>
    <w:div w:id="1662611756">
      <w:bodyDiv w:val="1"/>
      <w:marLeft w:val="0"/>
      <w:marRight w:val="0"/>
      <w:marTop w:val="0"/>
      <w:marBottom w:val="0"/>
      <w:divBdr>
        <w:top w:val="none" w:sz="0" w:space="0" w:color="auto"/>
        <w:left w:val="none" w:sz="0" w:space="0" w:color="auto"/>
        <w:bottom w:val="none" w:sz="0" w:space="0" w:color="auto"/>
        <w:right w:val="none" w:sz="0" w:space="0" w:color="auto"/>
      </w:divBdr>
    </w:div>
    <w:div w:id="1663579530">
      <w:bodyDiv w:val="1"/>
      <w:marLeft w:val="0"/>
      <w:marRight w:val="0"/>
      <w:marTop w:val="0"/>
      <w:marBottom w:val="0"/>
      <w:divBdr>
        <w:top w:val="none" w:sz="0" w:space="0" w:color="auto"/>
        <w:left w:val="none" w:sz="0" w:space="0" w:color="auto"/>
        <w:bottom w:val="none" w:sz="0" w:space="0" w:color="auto"/>
        <w:right w:val="none" w:sz="0" w:space="0" w:color="auto"/>
      </w:divBdr>
    </w:div>
    <w:div w:id="1663658061">
      <w:bodyDiv w:val="1"/>
      <w:marLeft w:val="0"/>
      <w:marRight w:val="0"/>
      <w:marTop w:val="0"/>
      <w:marBottom w:val="0"/>
      <w:divBdr>
        <w:top w:val="none" w:sz="0" w:space="0" w:color="auto"/>
        <w:left w:val="none" w:sz="0" w:space="0" w:color="auto"/>
        <w:bottom w:val="none" w:sz="0" w:space="0" w:color="auto"/>
        <w:right w:val="none" w:sz="0" w:space="0" w:color="auto"/>
      </w:divBdr>
    </w:div>
    <w:div w:id="1666862169">
      <w:bodyDiv w:val="1"/>
      <w:marLeft w:val="0"/>
      <w:marRight w:val="0"/>
      <w:marTop w:val="0"/>
      <w:marBottom w:val="0"/>
      <w:divBdr>
        <w:top w:val="none" w:sz="0" w:space="0" w:color="auto"/>
        <w:left w:val="none" w:sz="0" w:space="0" w:color="auto"/>
        <w:bottom w:val="none" w:sz="0" w:space="0" w:color="auto"/>
        <w:right w:val="none" w:sz="0" w:space="0" w:color="auto"/>
      </w:divBdr>
    </w:div>
    <w:div w:id="1672294262">
      <w:bodyDiv w:val="1"/>
      <w:marLeft w:val="0"/>
      <w:marRight w:val="0"/>
      <w:marTop w:val="0"/>
      <w:marBottom w:val="0"/>
      <w:divBdr>
        <w:top w:val="none" w:sz="0" w:space="0" w:color="auto"/>
        <w:left w:val="none" w:sz="0" w:space="0" w:color="auto"/>
        <w:bottom w:val="none" w:sz="0" w:space="0" w:color="auto"/>
        <w:right w:val="none" w:sz="0" w:space="0" w:color="auto"/>
      </w:divBdr>
    </w:div>
    <w:div w:id="1674065252">
      <w:bodyDiv w:val="1"/>
      <w:marLeft w:val="0"/>
      <w:marRight w:val="0"/>
      <w:marTop w:val="0"/>
      <w:marBottom w:val="0"/>
      <w:divBdr>
        <w:top w:val="none" w:sz="0" w:space="0" w:color="auto"/>
        <w:left w:val="none" w:sz="0" w:space="0" w:color="auto"/>
        <w:bottom w:val="none" w:sz="0" w:space="0" w:color="auto"/>
        <w:right w:val="none" w:sz="0" w:space="0" w:color="auto"/>
      </w:divBdr>
    </w:div>
    <w:div w:id="1690177148">
      <w:bodyDiv w:val="1"/>
      <w:marLeft w:val="0"/>
      <w:marRight w:val="0"/>
      <w:marTop w:val="0"/>
      <w:marBottom w:val="0"/>
      <w:divBdr>
        <w:top w:val="none" w:sz="0" w:space="0" w:color="auto"/>
        <w:left w:val="none" w:sz="0" w:space="0" w:color="auto"/>
        <w:bottom w:val="none" w:sz="0" w:space="0" w:color="auto"/>
        <w:right w:val="none" w:sz="0" w:space="0" w:color="auto"/>
      </w:divBdr>
    </w:div>
    <w:div w:id="1736661804">
      <w:bodyDiv w:val="1"/>
      <w:marLeft w:val="0"/>
      <w:marRight w:val="0"/>
      <w:marTop w:val="0"/>
      <w:marBottom w:val="0"/>
      <w:divBdr>
        <w:top w:val="none" w:sz="0" w:space="0" w:color="auto"/>
        <w:left w:val="none" w:sz="0" w:space="0" w:color="auto"/>
        <w:bottom w:val="none" w:sz="0" w:space="0" w:color="auto"/>
        <w:right w:val="none" w:sz="0" w:space="0" w:color="auto"/>
      </w:divBdr>
    </w:div>
    <w:div w:id="1752465112">
      <w:bodyDiv w:val="1"/>
      <w:marLeft w:val="0"/>
      <w:marRight w:val="0"/>
      <w:marTop w:val="0"/>
      <w:marBottom w:val="0"/>
      <w:divBdr>
        <w:top w:val="none" w:sz="0" w:space="0" w:color="auto"/>
        <w:left w:val="none" w:sz="0" w:space="0" w:color="auto"/>
        <w:bottom w:val="none" w:sz="0" w:space="0" w:color="auto"/>
        <w:right w:val="none" w:sz="0" w:space="0" w:color="auto"/>
      </w:divBdr>
    </w:div>
    <w:div w:id="1786583181">
      <w:bodyDiv w:val="1"/>
      <w:marLeft w:val="0"/>
      <w:marRight w:val="0"/>
      <w:marTop w:val="0"/>
      <w:marBottom w:val="0"/>
      <w:divBdr>
        <w:top w:val="none" w:sz="0" w:space="0" w:color="auto"/>
        <w:left w:val="none" w:sz="0" w:space="0" w:color="auto"/>
        <w:bottom w:val="none" w:sz="0" w:space="0" w:color="auto"/>
        <w:right w:val="none" w:sz="0" w:space="0" w:color="auto"/>
      </w:divBdr>
    </w:div>
    <w:div w:id="1791510738">
      <w:bodyDiv w:val="1"/>
      <w:marLeft w:val="0"/>
      <w:marRight w:val="0"/>
      <w:marTop w:val="0"/>
      <w:marBottom w:val="0"/>
      <w:divBdr>
        <w:top w:val="none" w:sz="0" w:space="0" w:color="auto"/>
        <w:left w:val="none" w:sz="0" w:space="0" w:color="auto"/>
        <w:bottom w:val="none" w:sz="0" w:space="0" w:color="auto"/>
        <w:right w:val="none" w:sz="0" w:space="0" w:color="auto"/>
      </w:divBdr>
    </w:div>
    <w:div w:id="1795058794">
      <w:bodyDiv w:val="1"/>
      <w:marLeft w:val="0"/>
      <w:marRight w:val="0"/>
      <w:marTop w:val="0"/>
      <w:marBottom w:val="0"/>
      <w:divBdr>
        <w:top w:val="none" w:sz="0" w:space="0" w:color="auto"/>
        <w:left w:val="none" w:sz="0" w:space="0" w:color="auto"/>
        <w:bottom w:val="none" w:sz="0" w:space="0" w:color="auto"/>
        <w:right w:val="none" w:sz="0" w:space="0" w:color="auto"/>
      </w:divBdr>
    </w:div>
    <w:div w:id="1809976868">
      <w:bodyDiv w:val="1"/>
      <w:marLeft w:val="0"/>
      <w:marRight w:val="0"/>
      <w:marTop w:val="0"/>
      <w:marBottom w:val="0"/>
      <w:divBdr>
        <w:top w:val="none" w:sz="0" w:space="0" w:color="auto"/>
        <w:left w:val="none" w:sz="0" w:space="0" w:color="auto"/>
        <w:bottom w:val="none" w:sz="0" w:space="0" w:color="auto"/>
        <w:right w:val="none" w:sz="0" w:space="0" w:color="auto"/>
      </w:divBdr>
    </w:div>
    <w:div w:id="1851941741">
      <w:bodyDiv w:val="1"/>
      <w:marLeft w:val="0"/>
      <w:marRight w:val="0"/>
      <w:marTop w:val="0"/>
      <w:marBottom w:val="0"/>
      <w:divBdr>
        <w:top w:val="none" w:sz="0" w:space="0" w:color="auto"/>
        <w:left w:val="none" w:sz="0" w:space="0" w:color="auto"/>
        <w:bottom w:val="none" w:sz="0" w:space="0" w:color="auto"/>
        <w:right w:val="none" w:sz="0" w:space="0" w:color="auto"/>
      </w:divBdr>
    </w:div>
    <w:div w:id="1886596188">
      <w:bodyDiv w:val="1"/>
      <w:marLeft w:val="0"/>
      <w:marRight w:val="0"/>
      <w:marTop w:val="0"/>
      <w:marBottom w:val="0"/>
      <w:divBdr>
        <w:top w:val="none" w:sz="0" w:space="0" w:color="auto"/>
        <w:left w:val="none" w:sz="0" w:space="0" w:color="auto"/>
        <w:bottom w:val="none" w:sz="0" w:space="0" w:color="auto"/>
        <w:right w:val="none" w:sz="0" w:space="0" w:color="auto"/>
      </w:divBdr>
    </w:div>
    <w:div w:id="1952392586">
      <w:bodyDiv w:val="1"/>
      <w:marLeft w:val="0"/>
      <w:marRight w:val="0"/>
      <w:marTop w:val="0"/>
      <w:marBottom w:val="0"/>
      <w:divBdr>
        <w:top w:val="none" w:sz="0" w:space="0" w:color="auto"/>
        <w:left w:val="none" w:sz="0" w:space="0" w:color="auto"/>
        <w:bottom w:val="none" w:sz="0" w:space="0" w:color="auto"/>
        <w:right w:val="none" w:sz="0" w:space="0" w:color="auto"/>
      </w:divBdr>
    </w:div>
    <w:div w:id="1983150445">
      <w:bodyDiv w:val="1"/>
      <w:marLeft w:val="0"/>
      <w:marRight w:val="0"/>
      <w:marTop w:val="0"/>
      <w:marBottom w:val="0"/>
      <w:divBdr>
        <w:top w:val="none" w:sz="0" w:space="0" w:color="auto"/>
        <w:left w:val="none" w:sz="0" w:space="0" w:color="auto"/>
        <w:bottom w:val="none" w:sz="0" w:space="0" w:color="auto"/>
        <w:right w:val="none" w:sz="0" w:space="0" w:color="auto"/>
      </w:divBdr>
    </w:div>
    <w:div w:id="1996106168">
      <w:bodyDiv w:val="1"/>
      <w:marLeft w:val="0"/>
      <w:marRight w:val="0"/>
      <w:marTop w:val="0"/>
      <w:marBottom w:val="0"/>
      <w:divBdr>
        <w:top w:val="none" w:sz="0" w:space="0" w:color="auto"/>
        <w:left w:val="none" w:sz="0" w:space="0" w:color="auto"/>
        <w:bottom w:val="none" w:sz="0" w:space="0" w:color="auto"/>
        <w:right w:val="none" w:sz="0" w:space="0" w:color="auto"/>
      </w:divBdr>
      <w:divsChild>
        <w:div w:id="311643138">
          <w:marLeft w:val="0"/>
          <w:marRight w:val="0"/>
          <w:marTop w:val="0"/>
          <w:marBottom w:val="0"/>
          <w:divBdr>
            <w:top w:val="none" w:sz="0" w:space="0" w:color="auto"/>
            <w:left w:val="none" w:sz="0" w:space="0" w:color="auto"/>
            <w:bottom w:val="none" w:sz="0" w:space="0" w:color="auto"/>
            <w:right w:val="none" w:sz="0" w:space="0" w:color="auto"/>
          </w:divBdr>
        </w:div>
        <w:div w:id="2110202252">
          <w:marLeft w:val="0"/>
          <w:marRight w:val="0"/>
          <w:marTop w:val="0"/>
          <w:marBottom w:val="0"/>
          <w:divBdr>
            <w:top w:val="none" w:sz="0" w:space="0" w:color="auto"/>
            <w:left w:val="none" w:sz="0" w:space="0" w:color="auto"/>
            <w:bottom w:val="none" w:sz="0" w:space="0" w:color="auto"/>
            <w:right w:val="none" w:sz="0" w:space="0" w:color="auto"/>
          </w:divBdr>
        </w:div>
        <w:div w:id="2142992125">
          <w:marLeft w:val="0"/>
          <w:marRight w:val="0"/>
          <w:marTop w:val="0"/>
          <w:marBottom w:val="0"/>
          <w:divBdr>
            <w:top w:val="none" w:sz="0" w:space="0" w:color="auto"/>
            <w:left w:val="none" w:sz="0" w:space="0" w:color="auto"/>
            <w:bottom w:val="none" w:sz="0" w:space="0" w:color="auto"/>
            <w:right w:val="none" w:sz="0" w:space="0" w:color="auto"/>
          </w:divBdr>
        </w:div>
      </w:divsChild>
    </w:div>
    <w:div w:id="2017926782">
      <w:bodyDiv w:val="1"/>
      <w:marLeft w:val="0"/>
      <w:marRight w:val="0"/>
      <w:marTop w:val="0"/>
      <w:marBottom w:val="0"/>
      <w:divBdr>
        <w:top w:val="none" w:sz="0" w:space="0" w:color="auto"/>
        <w:left w:val="none" w:sz="0" w:space="0" w:color="auto"/>
        <w:bottom w:val="none" w:sz="0" w:space="0" w:color="auto"/>
        <w:right w:val="none" w:sz="0" w:space="0" w:color="auto"/>
      </w:divBdr>
    </w:div>
    <w:div w:id="2096587665">
      <w:bodyDiv w:val="1"/>
      <w:marLeft w:val="0"/>
      <w:marRight w:val="0"/>
      <w:marTop w:val="0"/>
      <w:marBottom w:val="0"/>
      <w:divBdr>
        <w:top w:val="none" w:sz="0" w:space="0" w:color="auto"/>
        <w:left w:val="none" w:sz="0" w:space="0" w:color="auto"/>
        <w:bottom w:val="none" w:sz="0" w:space="0" w:color="auto"/>
        <w:right w:val="none" w:sz="0" w:space="0" w:color="auto"/>
      </w:divBdr>
    </w:div>
    <w:div w:id="21279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copyright@dcceew.gov.au" TargetMode="External"/><Relationship Id="rId26" Type="http://schemas.openxmlformats.org/officeDocument/2006/relationships/header" Target="header5.xml"/><Relationship Id="rId39" Type="http://schemas.openxmlformats.org/officeDocument/2006/relationships/image" Target="media/image5.png"/><Relationship Id="rId21" Type="http://schemas.openxmlformats.org/officeDocument/2006/relationships/footer" Target="footer1.xml"/><Relationship Id="rId34" Type="http://schemas.openxmlformats.org/officeDocument/2006/relationships/hyperlink" Target="https://www.legislation.govt.nz/regulation/public/2002/0009/latest/versions.aspx"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eader" Target="header6.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s://www.legislation.govt.nz/regulation/public/2002/0009/latest/versions.aspx" TargetMode="External"/><Relationship Id="rId37" Type="http://schemas.openxmlformats.org/officeDocument/2006/relationships/hyperlink" Target="mailto:star@eeca.govt.nz" TargetMode="External"/><Relationship Id="rId40" Type="http://schemas.openxmlformats.org/officeDocument/2006/relationships/chart" Target="charts/chart1.xm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mailto:spaceheating@dcceew.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legislation.gov.au/Series/C2012A00132"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https://consult.dcceew.gov.au/space-heater-comparison-methodology" TargetMode="External"/><Relationship Id="rId43" Type="http://schemas.openxmlformats.org/officeDocument/2006/relationships/header" Target="header8.xml"/><Relationship Id="rId48" Type="http://schemas.openxmlformats.org/officeDocument/2006/relationships/hyperlink" Target="https://www.legislation.govt.nz/regulation/public/2002/0009/latest/version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hyperlink" Target="https://www.legislation.gov.au/Series/C2012A00132" TargetMode="External"/><Relationship Id="rId38" Type="http://schemas.openxmlformats.org/officeDocument/2006/relationships/hyperlink" Target="https://www.energyrating.gov.au/industry-information/publications/residential-space-heaters-australia-and-new-zealand" TargetMode="External"/><Relationship Id="rId46" Type="http://schemas.openxmlformats.org/officeDocument/2006/relationships/header" Target="header9.xml"/><Relationship Id="rId20" Type="http://schemas.openxmlformats.org/officeDocument/2006/relationships/header" Target="header2.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D:\Projects\EConsult\Dropbox\E3\E3%20Heating\Technical+Policy%20Package\Space%20Heater%20Load%20Capacity%20Figur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AU" sz="1800"/>
              <a:t>Normalised* Heating Capacity and Residential Load</a:t>
            </a:r>
          </a:p>
        </c:rich>
      </c:tx>
      <c:layout>
        <c:manualLayout>
          <c:xMode val="edge"/>
          <c:yMode val="edge"/>
          <c:x val="0.12859774820880246"/>
          <c:y val="2.6529108327192335E-2"/>
        </c:manualLayout>
      </c:layout>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30887579687136"/>
          <c:y val="0.13187555555555555"/>
          <c:w val="0.58500568186397384"/>
          <c:h val="0.6967528258967628"/>
        </c:manualLayout>
      </c:layout>
      <c:scatterChart>
        <c:scatterStyle val="lineMarker"/>
        <c:varyColors val="0"/>
        <c:ser>
          <c:idx val="0"/>
          <c:order val="0"/>
          <c:tx>
            <c:strRef>
              <c:f>'Capacity Loads Power'!$B$2</c:f>
              <c:strCache>
                <c:ptCount val="1"/>
                <c:pt idx="0">
                  <c:v>Weather Independent Heater - Full Capacity</c:v>
                </c:pt>
              </c:strCache>
            </c:strRef>
          </c:tx>
          <c:spPr>
            <a:ln w="19050" cap="rnd">
              <a:solidFill>
                <a:srgbClr val="7030A0"/>
              </a:solidFill>
              <a:round/>
            </a:ln>
            <a:effectLst/>
          </c:spPr>
          <c:marker>
            <c:symbol val="circle"/>
            <c:size val="5"/>
            <c:spPr>
              <a:solidFill>
                <a:srgbClr val="7030A0"/>
              </a:solidFill>
              <a:ln w="9525">
                <a:solidFill>
                  <a:srgbClr val="7030A0"/>
                </a:solidFill>
              </a:ln>
              <a:effectLst/>
            </c:spPr>
          </c:marker>
          <c:xVal>
            <c:numRef>
              <c:f>'Capacity Loads Power'!$A$3:$A$14</c:f>
              <c:numCache>
                <c:formatCode>General</c:formatCode>
                <c:ptCount val="12"/>
                <c:pt idx="0">
                  <c:v>-7</c:v>
                </c:pt>
                <c:pt idx="1">
                  <c:v>-6</c:v>
                </c:pt>
                <c:pt idx="2">
                  <c:v>-4</c:v>
                </c:pt>
                <c:pt idx="3">
                  <c:v>0</c:v>
                </c:pt>
                <c:pt idx="4">
                  <c:v>2</c:v>
                </c:pt>
                <c:pt idx="5">
                  <c:v>3</c:v>
                </c:pt>
                <c:pt idx="6">
                  <c:v>5.5</c:v>
                </c:pt>
                <c:pt idx="7">
                  <c:v>5.5000010000000001</c:v>
                </c:pt>
                <c:pt idx="8">
                  <c:v>7</c:v>
                </c:pt>
                <c:pt idx="9">
                  <c:v>15</c:v>
                </c:pt>
                <c:pt idx="10">
                  <c:v>17</c:v>
                </c:pt>
              </c:numCache>
            </c:numRef>
          </c:xVal>
          <c:yVal>
            <c:numRef>
              <c:f>'Capacity Loads Power'!$B$3:$B$14</c:f>
              <c:numCache>
                <c:formatCode>General</c:formatCode>
                <c:ptCount val="12"/>
                <c:pt idx="0">
                  <c:v>1</c:v>
                </c:pt>
                <c:pt idx="1">
                  <c:v>1</c:v>
                </c:pt>
                <c:pt idx="2">
                  <c:v>1</c:v>
                </c:pt>
                <c:pt idx="3">
                  <c:v>1</c:v>
                </c:pt>
                <c:pt idx="4">
                  <c:v>1</c:v>
                </c:pt>
                <c:pt idx="5">
                  <c:v>1</c:v>
                </c:pt>
                <c:pt idx="6">
                  <c:v>1</c:v>
                </c:pt>
                <c:pt idx="7">
                  <c:v>1</c:v>
                </c:pt>
                <c:pt idx="8">
                  <c:v>1</c:v>
                </c:pt>
                <c:pt idx="9">
                  <c:v>1</c:v>
                </c:pt>
                <c:pt idx="10">
                  <c:v>1</c:v>
                </c:pt>
              </c:numCache>
            </c:numRef>
          </c:yVal>
          <c:smooth val="0"/>
          <c:extLst>
            <c:ext xmlns:c16="http://schemas.microsoft.com/office/drawing/2014/chart" uri="{C3380CC4-5D6E-409C-BE32-E72D297353CC}">
              <c16:uniqueId val="{00000000-3408-40F5-B3EC-32C61B2ECC7A}"/>
            </c:ext>
          </c:extLst>
        </c:ser>
        <c:ser>
          <c:idx val="3"/>
          <c:order val="3"/>
          <c:tx>
            <c:strRef>
              <c:f>'Capacity Loads Power'!$H$2</c:f>
              <c:strCache>
                <c:ptCount val="1"/>
                <c:pt idx="0">
                  <c:v>Air Conditioner Full Capacity (Non-frosting)</c:v>
                </c:pt>
              </c:strCache>
            </c:strRef>
          </c:tx>
          <c:spPr>
            <a:ln w="19050" cap="rnd">
              <a:solidFill>
                <a:schemeClr val="accent4"/>
              </a:solidFill>
              <a:prstDash val="solid"/>
              <a:round/>
            </a:ln>
            <a:effectLst/>
          </c:spPr>
          <c:marker>
            <c:symbol val="triangle"/>
            <c:size val="5"/>
            <c:spPr>
              <a:solidFill>
                <a:schemeClr val="accent4"/>
              </a:solidFill>
              <a:ln w="9525">
                <a:solidFill>
                  <a:schemeClr val="accent4"/>
                </a:solidFill>
              </a:ln>
              <a:effectLst/>
            </c:spPr>
          </c:marker>
          <c:dPt>
            <c:idx val="1"/>
            <c:marker>
              <c:symbol val="triangle"/>
              <c:size val="5"/>
              <c:spPr>
                <a:solidFill>
                  <a:schemeClr val="accent4"/>
                </a:solidFill>
                <a:ln w="9525">
                  <a:solidFill>
                    <a:schemeClr val="accent4"/>
                  </a:solidFill>
                </a:ln>
                <a:effectLst/>
              </c:spPr>
            </c:marker>
            <c:bubble3D val="0"/>
            <c:spPr>
              <a:ln w="19050" cap="rnd">
                <a:solidFill>
                  <a:schemeClr val="accent4"/>
                </a:solidFill>
                <a:prstDash val="sysDash"/>
                <a:round/>
              </a:ln>
              <a:effectLst/>
            </c:spPr>
            <c:extLst>
              <c:ext xmlns:c16="http://schemas.microsoft.com/office/drawing/2014/chart" uri="{C3380CC4-5D6E-409C-BE32-E72D297353CC}">
                <c16:uniqueId val="{00000002-3408-40F5-B3EC-32C61B2ECC7A}"/>
              </c:ext>
            </c:extLst>
          </c:dPt>
          <c:dPt>
            <c:idx val="2"/>
            <c:marker>
              <c:symbol val="triangle"/>
              <c:size val="5"/>
              <c:spPr>
                <a:solidFill>
                  <a:schemeClr val="accent4"/>
                </a:solidFill>
                <a:ln w="9525">
                  <a:solidFill>
                    <a:schemeClr val="accent4"/>
                  </a:solidFill>
                </a:ln>
                <a:effectLst/>
              </c:spPr>
            </c:marker>
            <c:bubble3D val="0"/>
            <c:spPr>
              <a:ln w="19050" cap="rnd">
                <a:solidFill>
                  <a:schemeClr val="accent4"/>
                </a:solidFill>
                <a:prstDash val="sysDash"/>
                <a:round/>
              </a:ln>
              <a:effectLst/>
            </c:spPr>
            <c:extLst>
              <c:ext xmlns:c16="http://schemas.microsoft.com/office/drawing/2014/chart" uri="{C3380CC4-5D6E-409C-BE32-E72D297353CC}">
                <c16:uniqueId val="{00000004-3408-40F5-B3EC-32C61B2ECC7A}"/>
              </c:ext>
            </c:extLst>
          </c:dPt>
          <c:dPt>
            <c:idx val="3"/>
            <c:marker>
              <c:symbol val="triangle"/>
              <c:size val="5"/>
              <c:spPr>
                <a:solidFill>
                  <a:schemeClr val="accent4"/>
                </a:solidFill>
                <a:ln w="9525">
                  <a:solidFill>
                    <a:schemeClr val="accent4"/>
                  </a:solidFill>
                </a:ln>
                <a:effectLst/>
              </c:spPr>
            </c:marker>
            <c:bubble3D val="0"/>
            <c:spPr>
              <a:ln w="19050" cap="rnd">
                <a:solidFill>
                  <a:schemeClr val="accent4"/>
                </a:solidFill>
                <a:prstDash val="sysDash"/>
                <a:round/>
              </a:ln>
              <a:effectLst/>
            </c:spPr>
            <c:extLst>
              <c:ext xmlns:c16="http://schemas.microsoft.com/office/drawing/2014/chart" uri="{C3380CC4-5D6E-409C-BE32-E72D297353CC}">
                <c16:uniqueId val="{00000006-3408-40F5-B3EC-32C61B2ECC7A}"/>
              </c:ext>
            </c:extLst>
          </c:dPt>
          <c:dPt>
            <c:idx val="4"/>
            <c:marker>
              <c:symbol val="triangle"/>
              <c:size val="5"/>
              <c:spPr>
                <a:solidFill>
                  <a:schemeClr val="accent4"/>
                </a:solidFill>
                <a:ln w="9525">
                  <a:solidFill>
                    <a:schemeClr val="accent4"/>
                  </a:solidFill>
                </a:ln>
                <a:effectLst/>
              </c:spPr>
            </c:marker>
            <c:bubble3D val="0"/>
            <c:spPr>
              <a:ln w="19050" cap="rnd">
                <a:solidFill>
                  <a:schemeClr val="accent4"/>
                </a:solidFill>
                <a:prstDash val="sysDash"/>
                <a:round/>
              </a:ln>
              <a:effectLst/>
            </c:spPr>
            <c:extLst>
              <c:ext xmlns:c16="http://schemas.microsoft.com/office/drawing/2014/chart" uri="{C3380CC4-5D6E-409C-BE32-E72D297353CC}">
                <c16:uniqueId val="{00000008-3408-40F5-B3EC-32C61B2ECC7A}"/>
              </c:ext>
            </c:extLst>
          </c:dPt>
          <c:dPt>
            <c:idx val="5"/>
            <c:marker>
              <c:symbol val="triangle"/>
              <c:size val="5"/>
              <c:spPr>
                <a:solidFill>
                  <a:schemeClr val="accent4"/>
                </a:solidFill>
                <a:ln w="9525">
                  <a:solidFill>
                    <a:schemeClr val="accent4"/>
                  </a:solidFill>
                </a:ln>
                <a:effectLst/>
              </c:spPr>
            </c:marker>
            <c:bubble3D val="0"/>
            <c:spPr>
              <a:ln w="19050" cap="rnd">
                <a:solidFill>
                  <a:schemeClr val="accent4"/>
                </a:solidFill>
                <a:prstDash val="sysDash"/>
                <a:round/>
              </a:ln>
              <a:effectLst/>
            </c:spPr>
            <c:extLst>
              <c:ext xmlns:c16="http://schemas.microsoft.com/office/drawing/2014/chart" uri="{C3380CC4-5D6E-409C-BE32-E72D297353CC}">
                <c16:uniqueId val="{0000000A-3408-40F5-B3EC-32C61B2ECC7A}"/>
              </c:ext>
            </c:extLst>
          </c:dPt>
          <c:dPt>
            <c:idx val="6"/>
            <c:marker>
              <c:symbol val="triangle"/>
              <c:size val="5"/>
              <c:spPr>
                <a:solidFill>
                  <a:schemeClr val="accent4"/>
                </a:solidFill>
                <a:ln w="9525">
                  <a:solidFill>
                    <a:schemeClr val="accent4"/>
                  </a:solidFill>
                </a:ln>
                <a:effectLst/>
              </c:spPr>
            </c:marker>
            <c:bubble3D val="0"/>
            <c:spPr>
              <a:ln w="19050" cap="rnd">
                <a:solidFill>
                  <a:schemeClr val="accent4"/>
                </a:solidFill>
                <a:prstDash val="sysDash"/>
                <a:round/>
              </a:ln>
              <a:effectLst/>
            </c:spPr>
            <c:extLst>
              <c:ext xmlns:c16="http://schemas.microsoft.com/office/drawing/2014/chart" uri="{C3380CC4-5D6E-409C-BE32-E72D297353CC}">
                <c16:uniqueId val="{0000000C-3408-40F5-B3EC-32C61B2ECC7A}"/>
              </c:ext>
            </c:extLst>
          </c:dPt>
          <c:xVal>
            <c:numRef>
              <c:f>'Capacity Loads Power'!$A$3:$A$14</c:f>
              <c:numCache>
                <c:formatCode>General</c:formatCode>
                <c:ptCount val="12"/>
                <c:pt idx="0">
                  <c:v>-7</c:v>
                </c:pt>
                <c:pt idx="1">
                  <c:v>-6</c:v>
                </c:pt>
                <c:pt idx="2">
                  <c:v>-4</c:v>
                </c:pt>
                <c:pt idx="3">
                  <c:v>0</c:v>
                </c:pt>
                <c:pt idx="4">
                  <c:v>2</c:v>
                </c:pt>
                <c:pt idx="5">
                  <c:v>3</c:v>
                </c:pt>
                <c:pt idx="6">
                  <c:v>5.5</c:v>
                </c:pt>
                <c:pt idx="7">
                  <c:v>5.5000010000000001</c:v>
                </c:pt>
                <c:pt idx="8">
                  <c:v>7</c:v>
                </c:pt>
                <c:pt idx="9">
                  <c:v>15</c:v>
                </c:pt>
                <c:pt idx="10">
                  <c:v>17</c:v>
                </c:pt>
              </c:numCache>
            </c:numRef>
          </c:xVal>
          <c:yVal>
            <c:numRef>
              <c:f>'Capacity Loads Power'!$H$3:$H$14</c:f>
              <c:numCache>
                <c:formatCode>0.00</c:formatCode>
                <c:ptCount val="12"/>
                <c:pt idx="0" formatCode="General">
                  <c:v>0.64</c:v>
                </c:pt>
                <c:pt idx="1">
                  <c:v>0.6657142857142857</c:v>
                </c:pt>
                <c:pt idx="2">
                  <c:v>0.71714285714285719</c:v>
                </c:pt>
                <c:pt idx="3">
                  <c:v>0.82</c:v>
                </c:pt>
                <c:pt idx="4">
                  <c:v>0.87142857142857144</c:v>
                </c:pt>
                <c:pt idx="5">
                  <c:v>0.89714285714285713</c:v>
                </c:pt>
                <c:pt idx="6">
                  <c:v>0.96142857142857152</c:v>
                </c:pt>
                <c:pt idx="7">
                  <c:v>0.96142859714285711</c:v>
                </c:pt>
                <c:pt idx="8">
                  <c:v>1</c:v>
                </c:pt>
                <c:pt idx="9">
                  <c:v>1.2057142857142857</c:v>
                </c:pt>
                <c:pt idx="10">
                  <c:v>1.2571428571428571</c:v>
                </c:pt>
              </c:numCache>
            </c:numRef>
          </c:yVal>
          <c:smooth val="0"/>
          <c:extLst>
            <c:ext xmlns:c16="http://schemas.microsoft.com/office/drawing/2014/chart" uri="{C3380CC4-5D6E-409C-BE32-E72D297353CC}">
              <c16:uniqueId val="{0000000D-3408-40F5-B3EC-32C61B2ECC7A}"/>
            </c:ext>
          </c:extLst>
        </c:ser>
        <c:ser>
          <c:idx val="4"/>
          <c:order val="4"/>
          <c:tx>
            <c:strRef>
              <c:f>'Capacity Loads Power'!$I$2</c:f>
              <c:strCache>
                <c:ptCount val="1"/>
                <c:pt idx="0">
                  <c:v>Air Conditioner Full Capacity (Frosting)</c:v>
                </c:pt>
              </c:strCache>
            </c:strRef>
          </c:tx>
          <c:spPr>
            <a:ln w="19050" cap="rnd">
              <a:solidFill>
                <a:schemeClr val="accent4">
                  <a:lumMod val="60000"/>
                  <a:lumOff val="40000"/>
                </a:schemeClr>
              </a:solidFill>
              <a:round/>
            </a:ln>
            <a:effectLst/>
          </c:spPr>
          <c:marker>
            <c:symbol val="triangle"/>
            <c:size val="5"/>
            <c:spPr>
              <a:solidFill>
                <a:schemeClr val="accent4">
                  <a:lumMod val="40000"/>
                  <a:lumOff val="60000"/>
                </a:schemeClr>
              </a:solidFill>
              <a:ln w="9525">
                <a:solidFill>
                  <a:schemeClr val="accent4">
                    <a:lumMod val="40000"/>
                    <a:lumOff val="60000"/>
                  </a:schemeClr>
                </a:solidFill>
              </a:ln>
              <a:effectLst/>
            </c:spPr>
          </c:marker>
          <c:dPt>
            <c:idx val="7"/>
            <c:marker>
              <c:symbol val="triangle"/>
              <c:size val="5"/>
              <c:spPr>
                <a:solidFill>
                  <a:schemeClr val="accent4">
                    <a:lumMod val="40000"/>
                    <a:lumOff val="60000"/>
                  </a:schemeClr>
                </a:solidFill>
                <a:ln w="9525">
                  <a:solidFill>
                    <a:schemeClr val="accent4">
                      <a:lumMod val="40000"/>
                      <a:lumOff val="60000"/>
                    </a:schemeClr>
                  </a:solidFill>
                </a:ln>
                <a:effectLst/>
              </c:spPr>
            </c:marker>
            <c:bubble3D val="0"/>
            <c:spPr>
              <a:ln w="19050" cap="rnd">
                <a:solidFill>
                  <a:schemeClr val="accent4">
                    <a:lumMod val="60000"/>
                    <a:lumOff val="40000"/>
                  </a:schemeClr>
                </a:solidFill>
                <a:prstDash val="sysDash"/>
                <a:round/>
              </a:ln>
              <a:effectLst/>
            </c:spPr>
            <c:extLst>
              <c:ext xmlns:c16="http://schemas.microsoft.com/office/drawing/2014/chart" uri="{C3380CC4-5D6E-409C-BE32-E72D297353CC}">
                <c16:uniqueId val="{0000000F-3408-40F5-B3EC-32C61B2ECC7A}"/>
              </c:ext>
            </c:extLst>
          </c:dPt>
          <c:xVal>
            <c:numRef>
              <c:f>'Capacity Loads Power'!$A$3:$A$14</c:f>
              <c:numCache>
                <c:formatCode>General</c:formatCode>
                <c:ptCount val="12"/>
                <c:pt idx="0">
                  <c:v>-7</c:v>
                </c:pt>
                <c:pt idx="1">
                  <c:v>-6</c:v>
                </c:pt>
                <c:pt idx="2">
                  <c:v>-4</c:v>
                </c:pt>
                <c:pt idx="3">
                  <c:v>0</c:v>
                </c:pt>
                <c:pt idx="4">
                  <c:v>2</c:v>
                </c:pt>
                <c:pt idx="5">
                  <c:v>3</c:v>
                </c:pt>
                <c:pt idx="6">
                  <c:v>5.5</c:v>
                </c:pt>
                <c:pt idx="7">
                  <c:v>5.5000010000000001</c:v>
                </c:pt>
                <c:pt idx="8">
                  <c:v>7</c:v>
                </c:pt>
                <c:pt idx="9">
                  <c:v>15</c:v>
                </c:pt>
                <c:pt idx="10">
                  <c:v>17</c:v>
                </c:pt>
              </c:numCache>
            </c:numRef>
          </c:xVal>
          <c:yVal>
            <c:numRef>
              <c:f>'Capacity Loads Power'!$I$3:$I$14</c:f>
              <c:numCache>
                <c:formatCode>0.00</c:formatCode>
                <c:ptCount val="12"/>
                <c:pt idx="0">
                  <c:v>0.64</c:v>
                </c:pt>
                <c:pt idx="1">
                  <c:v>0.65534013605442176</c:v>
                </c:pt>
                <c:pt idx="2">
                  <c:v>0.68602040816326526</c:v>
                </c:pt>
                <c:pt idx="3">
                  <c:v>0.74738095238095237</c:v>
                </c:pt>
                <c:pt idx="4">
                  <c:v>0.77806122448979587</c:v>
                </c:pt>
                <c:pt idx="5">
                  <c:v>0.79340136054421762</c:v>
                </c:pt>
                <c:pt idx="6">
                  <c:v>0.83175170068027204</c:v>
                </c:pt>
                <c:pt idx="7">
                  <c:v>0.96142859714285711</c:v>
                </c:pt>
              </c:numCache>
            </c:numRef>
          </c:yVal>
          <c:smooth val="0"/>
          <c:extLst>
            <c:ext xmlns:c16="http://schemas.microsoft.com/office/drawing/2014/chart" uri="{C3380CC4-5D6E-409C-BE32-E72D297353CC}">
              <c16:uniqueId val="{00000010-3408-40F5-B3EC-32C61B2ECC7A}"/>
            </c:ext>
          </c:extLst>
        </c:ser>
        <c:ser>
          <c:idx val="1"/>
          <c:order val="5"/>
          <c:tx>
            <c:strRef>
              <c:f>'Capacity Loads Power'!$G$2</c:f>
              <c:strCache>
                <c:ptCount val="1"/>
                <c:pt idx="0">
                  <c:v>Residential Load</c:v>
                </c:pt>
              </c:strCache>
            </c:strRef>
          </c:tx>
          <c:spPr>
            <a:ln w="19050" cap="rnd">
              <a:solidFill>
                <a:srgbClr val="00B050"/>
              </a:solidFill>
              <a:round/>
            </a:ln>
            <a:effectLst/>
          </c:spPr>
          <c:marker>
            <c:symbol val="diamond"/>
            <c:size val="5"/>
            <c:spPr>
              <a:solidFill>
                <a:srgbClr val="00B050"/>
              </a:solidFill>
              <a:ln w="9525">
                <a:solidFill>
                  <a:srgbClr val="00B050"/>
                </a:solidFill>
              </a:ln>
              <a:effectLst/>
            </c:spPr>
          </c:marker>
          <c:xVal>
            <c:numRef>
              <c:f>'Capacity Loads Power'!$A$3:$A$13</c:f>
              <c:numCache>
                <c:formatCode>General</c:formatCode>
                <c:ptCount val="11"/>
                <c:pt idx="0">
                  <c:v>-7</c:v>
                </c:pt>
                <c:pt idx="1">
                  <c:v>-6</c:v>
                </c:pt>
                <c:pt idx="2">
                  <c:v>-4</c:v>
                </c:pt>
                <c:pt idx="3">
                  <c:v>0</c:v>
                </c:pt>
                <c:pt idx="4">
                  <c:v>2</c:v>
                </c:pt>
                <c:pt idx="5">
                  <c:v>3</c:v>
                </c:pt>
                <c:pt idx="6">
                  <c:v>5.5</c:v>
                </c:pt>
                <c:pt idx="7">
                  <c:v>5.5000010000000001</c:v>
                </c:pt>
                <c:pt idx="8">
                  <c:v>7</c:v>
                </c:pt>
                <c:pt idx="9">
                  <c:v>15</c:v>
                </c:pt>
                <c:pt idx="10">
                  <c:v>17</c:v>
                </c:pt>
              </c:numCache>
            </c:numRef>
          </c:xVal>
          <c:yVal>
            <c:numRef>
              <c:f>'Capacity Loads Power'!$G$3:$G$13</c:f>
              <c:numCache>
                <c:formatCode>0.00</c:formatCode>
                <c:ptCount val="11"/>
                <c:pt idx="0">
                  <c:v>1.2026666666666666</c:v>
                </c:pt>
                <c:pt idx="1">
                  <c:v>1.1479999999999999</c:v>
                </c:pt>
                <c:pt idx="2">
                  <c:v>1.0386666666666666</c:v>
                </c:pt>
                <c:pt idx="3" formatCode="General">
                  <c:v>0.82</c:v>
                </c:pt>
                <c:pt idx="4">
                  <c:v>0.71066666666666667</c:v>
                </c:pt>
                <c:pt idx="5">
                  <c:v>0.65600000000000003</c:v>
                </c:pt>
                <c:pt idx="6">
                  <c:v>0.51933333333333331</c:v>
                </c:pt>
                <c:pt idx="7">
                  <c:v>0.51933327866666656</c:v>
                </c:pt>
                <c:pt idx="8">
                  <c:v>0.4373333333333333</c:v>
                </c:pt>
                <c:pt idx="9" formatCode="General">
                  <c:v>0</c:v>
                </c:pt>
                <c:pt idx="10">
                  <c:v>0</c:v>
                </c:pt>
              </c:numCache>
            </c:numRef>
          </c:yVal>
          <c:smooth val="0"/>
          <c:extLst>
            <c:ext xmlns:c16="http://schemas.microsoft.com/office/drawing/2014/chart" uri="{C3380CC4-5D6E-409C-BE32-E72D297353CC}">
              <c16:uniqueId val="{00000011-3408-40F5-B3EC-32C61B2ECC7A}"/>
            </c:ext>
          </c:extLst>
        </c:ser>
        <c:dLbls>
          <c:showLegendKey val="0"/>
          <c:showVal val="0"/>
          <c:showCatName val="0"/>
          <c:showSerName val="0"/>
          <c:showPercent val="0"/>
          <c:showBubbleSize val="0"/>
        </c:dLbls>
        <c:axId val="2072147615"/>
        <c:axId val="2072914479"/>
        <c:extLst>
          <c:ext xmlns:c15="http://schemas.microsoft.com/office/drawing/2012/chart" uri="{02D57815-91ED-43cb-92C2-25804820EDAC}">
            <c15:filteredScatterSeries>
              <c15:ser>
                <c:idx val="5"/>
                <c:order val="1"/>
                <c:tx>
                  <c:strRef>
                    <c:extLst>
                      <c:ext uri="{02D57815-91ED-43cb-92C2-25804820EDAC}">
                        <c15:formulaRef>
                          <c15:sqref>'Capacity Loads Power'!$J$2</c15:sqref>
                        </c15:formulaRef>
                      </c:ext>
                    </c:extLst>
                    <c:strCache>
                      <c:ptCount val="1"/>
                      <c:pt idx="0">
                        <c:v>Air Conditioner Extended Capacity (Non-frosting)</c:v>
                      </c:pt>
                    </c:strCache>
                  </c:strRef>
                </c:tx>
                <c:spPr>
                  <a:ln w="19050" cap="rnd">
                    <a:solidFill>
                      <a:schemeClr val="accent2">
                        <a:lumMod val="75000"/>
                      </a:schemeClr>
                    </a:solidFill>
                    <a:round/>
                  </a:ln>
                  <a:effectLst/>
                </c:spPr>
                <c:marker>
                  <c:symbol val="triangle"/>
                  <c:size val="5"/>
                  <c:spPr>
                    <a:noFill/>
                    <a:ln w="9525">
                      <a:solidFill>
                        <a:schemeClr val="accent2">
                          <a:lumMod val="75000"/>
                        </a:schemeClr>
                      </a:solidFill>
                    </a:ln>
                    <a:effectLst/>
                  </c:spPr>
                </c:marker>
                <c:dPt>
                  <c:idx val="1"/>
                  <c:marker>
                    <c:symbol val="triangle"/>
                    <c:size val="5"/>
                    <c:spPr>
                      <a:noFill/>
                      <a:ln w="9525">
                        <a:solidFill>
                          <a:schemeClr val="accent2">
                            <a:lumMod val="75000"/>
                          </a:schemeClr>
                        </a:solidFill>
                      </a:ln>
                      <a:effectLst/>
                    </c:spPr>
                  </c:marker>
                  <c:bubble3D val="0"/>
                  <c:spPr>
                    <a:ln w="19050" cap="rnd">
                      <a:solidFill>
                        <a:schemeClr val="accent2">
                          <a:lumMod val="75000"/>
                        </a:schemeClr>
                      </a:solidFill>
                      <a:prstDash val="dash"/>
                      <a:round/>
                    </a:ln>
                    <a:effectLst/>
                  </c:spPr>
                  <c:extLst>
                    <c:ext xmlns:c16="http://schemas.microsoft.com/office/drawing/2014/chart" uri="{C3380CC4-5D6E-409C-BE32-E72D297353CC}">
                      <c16:uniqueId val="{00000013-3408-40F5-B3EC-32C61B2ECC7A}"/>
                    </c:ext>
                  </c:extLst>
                </c:dPt>
                <c:dPt>
                  <c:idx val="2"/>
                  <c:marker>
                    <c:symbol val="triangle"/>
                    <c:size val="5"/>
                    <c:spPr>
                      <a:noFill/>
                      <a:ln w="9525">
                        <a:solidFill>
                          <a:schemeClr val="accent2">
                            <a:lumMod val="75000"/>
                          </a:schemeClr>
                        </a:solidFill>
                      </a:ln>
                      <a:effectLst/>
                    </c:spPr>
                  </c:marker>
                  <c:bubble3D val="0"/>
                  <c:spPr>
                    <a:ln w="19050" cap="rnd">
                      <a:solidFill>
                        <a:schemeClr val="accent2">
                          <a:lumMod val="75000"/>
                        </a:schemeClr>
                      </a:solidFill>
                      <a:prstDash val="dash"/>
                      <a:round/>
                    </a:ln>
                    <a:effectLst/>
                  </c:spPr>
                  <c:extLst>
                    <c:ext xmlns:c16="http://schemas.microsoft.com/office/drawing/2014/chart" uri="{C3380CC4-5D6E-409C-BE32-E72D297353CC}">
                      <c16:uniqueId val="{00000015-3408-40F5-B3EC-32C61B2ECC7A}"/>
                    </c:ext>
                  </c:extLst>
                </c:dPt>
                <c:dPt>
                  <c:idx val="3"/>
                  <c:marker>
                    <c:symbol val="triangle"/>
                    <c:size val="5"/>
                    <c:spPr>
                      <a:noFill/>
                      <a:ln w="9525">
                        <a:solidFill>
                          <a:schemeClr val="accent2">
                            <a:lumMod val="75000"/>
                          </a:schemeClr>
                        </a:solidFill>
                      </a:ln>
                      <a:effectLst/>
                    </c:spPr>
                  </c:marker>
                  <c:bubble3D val="0"/>
                  <c:spPr>
                    <a:ln w="19050" cap="rnd">
                      <a:solidFill>
                        <a:schemeClr val="accent2">
                          <a:lumMod val="75000"/>
                        </a:schemeClr>
                      </a:solidFill>
                      <a:prstDash val="dash"/>
                      <a:round/>
                    </a:ln>
                    <a:effectLst/>
                  </c:spPr>
                  <c:extLst>
                    <c:ext xmlns:c16="http://schemas.microsoft.com/office/drawing/2014/chart" uri="{C3380CC4-5D6E-409C-BE32-E72D297353CC}">
                      <c16:uniqueId val="{00000017-3408-40F5-B3EC-32C61B2ECC7A}"/>
                    </c:ext>
                  </c:extLst>
                </c:dPt>
                <c:dPt>
                  <c:idx val="4"/>
                  <c:marker>
                    <c:symbol val="triangle"/>
                    <c:size val="5"/>
                    <c:spPr>
                      <a:noFill/>
                      <a:ln w="9525">
                        <a:solidFill>
                          <a:schemeClr val="accent2">
                            <a:lumMod val="75000"/>
                          </a:schemeClr>
                        </a:solidFill>
                      </a:ln>
                      <a:effectLst/>
                    </c:spPr>
                  </c:marker>
                  <c:bubble3D val="0"/>
                  <c:spPr>
                    <a:ln w="19050" cap="rnd">
                      <a:solidFill>
                        <a:schemeClr val="accent2">
                          <a:lumMod val="75000"/>
                        </a:schemeClr>
                      </a:solidFill>
                      <a:prstDash val="dash"/>
                      <a:round/>
                    </a:ln>
                    <a:effectLst/>
                  </c:spPr>
                  <c:extLst>
                    <c:ext xmlns:c16="http://schemas.microsoft.com/office/drawing/2014/chart" uri="{C3380CC4-5D6E-409C-BE32-E72D297353CC}">
                      <c16:uniqueId val="{00000019-3408-40F5-B3EC-32C61B2ECC7A}"/>
                    </c:ext>
                  </c:extLst>
                </c:dPt>
                <c:dPt>
                  <c:idx val="5"/>
                  <c:marker>
                    <c:symbol val="triangle"/>
                    <c:size val="5"/>
                    <c:spPr>
                      <a:noFill/>
                      <a:ln w="9525">
                        <a:solidFill>
                          <a:schemeClr val="accent2">
                            <a:lumMod val="75000"/>
                          </a:schemeClr>
                        </a:solidFill>
                      </a:ln>
                      <a:effectLst/>
                    </c:spPr>
                  </c:marker>
                  <c:bubble3D val="0"/>
                  <c:spPr>
                    <a:ln w="19050" cap="rnd">
                      <a:solidFill>
                        <a:schemeClr val="accent2">
                          <a:lumMod val="75000"/>
                        </a:schemeClr>
                      </a:solidFill>
                      <a:prstDash val="dash"/>
                      <a:round/>
                    </a:ln>
                    <a:effectLst/>
                  </c:spPr>
                  <c:extLst>
                    <c:ext xmlns:c16="http://schemas.microsoft.com/office/drawing/2014/chart" uri="{C3380CC4-5D6E-409C-BE32-E72D297353CC}">
                      <c16:uniqueId val="{0000001B-3408-40F5-B3EC-32C61B2ECC7A}"/>
                    </c:ext>
                  </c:extLst>
                </c:dPt>
                <c:dPt>
                  <c:idx val="6"/>
                  <c:marker>
                    <c:symbol val="triangle"/>
                    <c:size val="5"/>
                    <c:spPr>
                      <a:noFill/>
                      <a:ln w="9525">
                        <a:solidFill>
                          <a:schemeClr val="accent2">
                            <a:lumMod val="75000"/>
                          </a:schemeClr>
                        </a:solidFill>
                      </a:ln>
                      <a:effectLst/>
                    </c:spPr>
                  </c:marker>
                  <c:bubble3D val="0"/>
                  <c:spPr>
                    <a:ln w="19050" cap="rnd">
                      <a:solidFill>
                        <a:schemeClr val="accent2">
                          <a:lumMod val="75000"/>
                        </a:schemeClr>
                      </a:solidFill>
                      <a:prstDash val="dash"/>
                      <a:round/>
                    </a:ln>
                    <a:effectLst/>
                  </c:spPr>
                  <c:extLst>
                    <c:ext xmlns:c16="http://schemas.microsoft.com/office/drawing/2014/chart" uri="{C3380CC4-5D6E-409C-BE32-E72D297353CC}">
                      <c16:uniqueId val="{0000001D-3408-40F5-B3EC-32C61B2ECC7A}"/>
                    </c:ext>
                  </c:extLst>
                </c:dPt>
                <c:xVal>
                  <c:numRef>
                    <c:extLst>
                      <c:ext uri="{02D57815-91ED-43cb-92C2-25804820EDAC}">
                        <c15:formulaRef>
                          <c15:sqref>'Capacity Loads Power'!$A$3:$A$13</c15:sqref>
                        </c15:formulaRef>
                      </c:ext>
                    </c:extLst>
                    <c:numCache>
                      <c:formatCode>General</c:formatCode>
                      <c:ptCount val="11"/>
                      <c:pt idx="0">
                        <c:v>-7</c:v>
                      </c:pt>
                      <c:pt idx="1">
                        <c:v>-6</c:v>
                      </c:pt>
                      <c:pt idx="2">
                        <c:v>-4</c:v>
                      </c:pt>
                      <c:pt idx="3">
                        <c:v>0</c:v>
                      </c:pt>
                      <c:pt idx="4">
                        <c:v>2</c:v>
                      </c:pt>
                      <c:pt idx="5">
                        <c:v>3</c:v>
                      </c:pt>
                      <c:pt idx="6">
                        <c:v>5.5</c:v>
                      </c:pt>
                      <c:pt idx="7">
                        <c:v>5.5000010000000001</c:v>
                      </c:pt>
                      <c:pt idx="8">
                        <c:v>7</c:v>
                      </c:pt>
                      <c:pt idx="9">
                        <c:v>15</c:v>
                      </c:pt>
                      <c:pt idx="10">
                        <c:v>17</c:v>
                      </c:pt>
                    </c:numCache>
                  </c:numRef>
                </c:xVal>
                <c:yVal>
                  <c:numRef>
                    <c:extLst>
                      <c:ext uri="{02D57815-91ED-43cb-92C2-25804820EDAC}">
                        <c15:formulaRef>
                          <c15:sqref>'Capacity Loads Power'!$J$3:$J$13</c15:sqref>
                        </c15:formulaRef>
                      </c:ext>
                    </c:extLst>
                    <c:numCache>
                      <c:formatCode>0.00</c:formatCode>
                      <c:ptCount val="11"/>
                      <c:pt idx="0" formatCode="General">
                        <c:v>0.89599999999999991</c:v>
                      </c:pt>
                      <c:pt idx="1">
                        <c:v>0.93199999999999994</c:v>
                      </c:pt>
                      <c:pt idx="2">
                        <c:v>1.004</c:v>
                      </c:pt>
                      <c:pt idx="3">
                        <c:v>1.1479999999999999</c:v>
                      </c:pt>
                      <c:pt idx="4">
                        <c:v>1.2199999999999998</c:v>
                      </c:pt>
                      <c:pt idx="5">
                        <c:v>1.2559999999999998</c:v>
                      </c:pt>
                      <c:pt idx="6">
                        <c:v>1.3459999999999999</c:v>
                      </c:pt>
                      <c:pt idx="7">
                        <c:v>1.346000036</c:v>
                      </c:pt>
                      <c:pt idx="8">
                        <c:v>1.4</c:v>
                      </c:pt>
                      <c:pt idx="9">
                        <c:v>1.6879999999999999</c:v>
                      </c:pt>
                      <c:pt idx="10">
                        <c:v>1.7599999999999998</c:v>
                      </c:pt>
                    </c:numCache>
                  </c:numRef>
                </c:yVal>
                <c:smooth val="0"/>
                <c:extLst>
                  <c:ext xmlns:c16="http://schemas.microsoft.com/office/drawing/2014/chart" uri="{C3380CC4-5D6E-409C-BE32-E72D297353CC}">
                    <c16:uniqueId val="{0000001E-3408-40F5-B3EC-32C61B2ECC7A}"/>
                  </c:ext>
                </c:extLst>
              </c15:ser>
            </c15:filteredScatterSeries>
            <c15:filteredScatterSeries>
              <c15:ser>
                <c:idx val="6"/>
                <c:order val="2"/>
                <c:tx>
                  <c:strRef>
                    <c:extLst xmlns:c15="http://schemas.microsoft.com/office/drawing/2012/chart">
                      <c:ext xmlns:c15="http://schemas.microsoft.com/office/drawing/2012/chart" uri="{02D57815-91ED-43cb-92C2-25804820EDAC}">
                        <c15:formulaRef>
                          <c15:sqref>'Capacity Loads Power'!$K$2</c15:sqref>
                        </c15:formulaRef>
                      </c:ext>
                    </c:extLst>
                    <c:strCache>
                      <c:ptCount val="1"/>
                      <c:pt idx="0">
                        <c:v>Air Conditioner Extended Capacity (Frosting)</c:v>
                      </c:pt>
                    </c:strCache>
                  </c:strRef>
                </c:tx>
                <c:spPr>
                  <a:ln w="19050" cap="rnd">
                    <a:solidFill>
                      <a:schemeClr val="accent2">
                        <a:lumMod val="40000"/>
                        <a:lumOff val="60000"/>
                      </a:schemeClr>
                    </a:solidFill>
                    <a:round/>
                  </a:ln>
                  <a:effectLst/>
                </c:spPr>
                <c:marker>
                  <c:symbol val="triangle"/>
                  <c:size val="5"/>
                  <c:spPr>
                    <a:noFill/>
                    <a:ln w="9525">
                      <a:solidFill>
                        <a:schemeClr val="accent2">
                          <a:lumMod val="40000"/>
                          <a:lumOff val="60000"/>
                        </a:schemeClr>
                      </a:solidFill>
                    </a:ln>
                    <a:effectLst/>
                  </c:spPr>
                </c:marker>
                <c:dPt>
                  <c:idx val="7"/>
                  <c:marker>
                    <c:symbol val="triangle"/>
                    <c:size val="5"/>
                    <c:spPr>
                      <a:noFill/>
                      <a:ln w="9525">
                        <a:solidFill>
                          <a:schemeClr val="accent2">
                            <a:lumMod val="40000"/>
                            <a:lumOff val="60000"/>
                          </a:schemeClr>
                        </a:solidFill>
                      </a:ln>
                      <a:effectLst/>
                    </c:spPr>
                  </c:marker>
                  <c:bubble3D val="0"/>
                  <c:spPr>
                    <a:ln w="19050" cap="rnd">
                      <a:solidFill>
                        <a:schemeClr val="accent2">
                          <a:lumMod val="40000"/>
                          <a:lumOff val="60000"/>
                        </a:schemeClr>
                      </a:solidFill>
                      <a:prstDash val="dash"/>
                      <a:round/>
                    </a:ln>
                    <a:effectLst/>
                  </c:spPr>
                  <c:extLst xmlns:c15="http://schemas.microsoft.com/office/drawing/2012/chart">
                    <c:ext xmlns:c16="http://schemas.microsoft.com/office/drawing/2014/chart" uri="{C3380CC4-5D6E-409C-BE32-E72D297353CC}">
                      <c16:uniqueId val="{00000020-3408-40F5-B3EC-32C61B2ECC7A}"/>
                    </c:ext>
                  </c:extLst>
                </c:dPt>
                <c:xVal>
                  <c:numRef>
                    <c:extLst xmlns:c15="http://schemas.microsoft.com/office/drawing/2012/chart">
                      <c:ext xmlns:c15="http://schemas.microsoft.com/office/drawing/2012/chart" uri="{02D57815-91ED-43cb-92C2-25804820EDAC}">
                        <c15:formulaRef>
                          <c15:sqref>'Capacity Loads Power'!$A$3:$A$13</c15:sqref>
                        </c15:formulaRef>
                      </c:ext>
                    </c:extLst>
                    <c:numCache>
                      <c:formatCode>General</c:formatCode>
                      <c:ptCount val="11"/>
                      <c:pt idx="0">
                        <c:v>-7</c:v>
                      </c:pt>
                      <c:pt idx="1">
                        <c:v>-6</c:v>
                      </c:pt>
                      <c:pt idx="2">
                        <c:v>-4</c:v>
                      </c:pt>
                      <c:pt idx="3">
                        <c:v>0</c:v>
                      </c:pt>
                      <c:pt idx="4">
                        <c:v>2</c:v>
                      </c:pt>
                      <c:pt idx="5">
                        <c:v>3</c:v>
                      </c:pt>
                      <c:pt idx="6">
                        <c:v>5.5</c:v>
                      </c:pt>
                      <c:pt idx="7">
                        <c:v>5.5000010000000001</c:v>
                      </c:pt>
                      <c:pt idx="8">
                        <c:v>7</c:v>
                      </c:pt>
                      <c:pt idx="9">
                        <c:v>15</c:v>
                      </c:pt>
                      <c:pt idx="10">
                        <c:v>17</c:v>
                      </c:pt>
                    </c:numCache>
                  </c:numRef>
                </c:xVal>
                <c:yVal>
                  <c:numRef>
                    <c:extLst xmlns:c15="http://schemas.microsoft.com/office/drawing/2012/chart">
                      <c:ext xmlns:c15="http://schemas.microsoft.com/office/drawing/2012/chart" uri="{02D57815-91ED-43cb-92C2-25804820EDAC}">
                        <c15:formulaRef>
                          <c15:sqref>'Capacity Loads Power'!$K$3:$K$10</c15:sqref>
                        </c15:formulaRef>
                      </c:ext>
                    </c:extLst>
                    <c:numCache>
                      <c:formatCode>0.00</c:formatCode>
                      <c:ptCount val="8"/>
                      <c:pt idx="0">
                        <c:v>0.89599999999999991</c:v>
                      </c:pt>
                      <c:pt idx="1">
                        <c:v>0.91747619047619033</c:v>
                      </c:pt>
                      <c:pt idx="2">
                        <c:v>0.9604285714285713</c:v>
                      </c:pt>
                      <c:pt idx="3">
                        <c:v>1.0463333333333331</c:v>
                      </c:pt>
                      <c:pt idx="4">
                        <c:v>1.0892857142857142</c:v>
                      </c:pt>
                      <c:pt idx="5">
                        <c:v>1.1107619047619046</c:v>
                      </c:pt>
                      <c:pt idx="6">
                        <c:v>1.1644523809523808</c:v>
                      </c:pt>
                      <c:pt idx="7">
                        <c:v>1.346000036</c:v>
                      </c:pt>
                    </c:numCache>
                  </c:numRef>
                </c:yVal>
                <c:smooth val="0"/>
                <c:extLst xmlns:c15="http://schemas.microsoft.com/office/drawing/2012/chart">
                  <c:ext xmlns:c16="http://schemas.microsoft.com/office/drawing/2014/chart" uri="{C3380CC4-5D6E-409C-BE32-E72D297353CC}">
                    <c16:uniqueId val="{00000021-3408-40F5-B3EC-32C61B2ECC7A}"/>
                  </c:ext>
                </c:extLst>
              </c15:ser>
            </c15:filteredScatterSeries>
            <c15:filteredScatterSeries>
              <c15:ser>
                <c:idx val="2"/>
                <c:order val="6"/>
                <c:tx>
                  <c:strRef>
                    <c:extLst xmlns:c15="http://schemas.microsoft.com/office/drawing/2012/chart">
                      <c:ext xmlns:c15="http://schemas.microsoft.com/office/drawing/2012/chart" uri="{02D57815-91ED-43cb-92C2-25804820EDAC}">
                        <c15:formulaRef>
                          <c15:sqref>'Capacity Loads Power'!$C$2</c15:sqref>
                        </c15:formulaRef>
                      </c:ext>
                    </c:extLst>
                    <c:strCache>
                      <c:ptCount val="1"/>
                      <c:pt idx="0">
                        <c:v>Ducted Gas Heater Option 2</c:v>
                      </c:pt>
                    </c:strCache>
                  </c:strRef>
                </c:tx>
                <c:spPr>
                  <a:ln w="19050" cap="rnd">
                    <a:solidFill>
                      <a:srgbClr val="CC00CC"/>
                    </a:solidFill>
                    <a:round/>
                  </a:ln>
                  <a:effectLst/>
                </c:spPr>
                <c:marker>
                  <c:symbol val="square"/>
                  <c:size val="5"/>
                  <c:spPr>
                    <a:solidFill>
                      <a:srgbClr val="CC00CC"/>
                    </a:solidFill>
                    <a:ln w="9525">
                      <a:solidFill>
                        <a:srgbClr val="CC00CC"/>
                      </a:solidFill>
                    </a:ln>
                    <a:effectLst/>
                  </c:spPr>
                </c:marker>
                <c:xVal>
                  <c:numRef>
                    <c:extLst xmlns:c15="http://schemas.microsoft.com/office/drawing/2012/chart">
                      <c:ext xmlns:c15="http://schemas.microsoft.com/office/drawing/2012/chart" uri="{02D57815-91ED-43cb-92C2-25804820EDAC}">
                        <c15:formulaRef>
                          <c15:sqref>'Capacity Loads Power'!$A$3:$A$13</c15:sqref>
                        </c15:formulaRef>
                      </c:ext>
                    </c:extLst>
                    <c:numCache>
                      <c:formatCode>General</c:formatCode>
                      <c:ptCount val="11"/>
                      <c:pt idx="0">
                        <c:v>-7</c:v>
                      </c:pt>
                      <c:pt idx="1">
                        <c:v>-6</c:v>
                      </c:pt>
                      <c:pt idx="2">
                        <c:v>-4</c:v>
                      </c:pt>
                      <c:pt idx="3">
                        <c:v>0</c:v>
                      </c:pt>
                      <c:pt idx="4">
                        <c:v>2</c:v>
                      </c:pt>
                      <c:pt idx="5">
                        <c:v>3</c:v>
                      </c:pt>
                      <c:pt idx="6">
                        <c:v>5.5</c:v>
                      </c:pt>
                      <c:pt idx="7">
                        <c:v>5.5000010000000001</c:v>
                      </c:pt>
                      <c:pt idx="8">
                        <c:v>7</c:v>
                      </c:pt>
                      <c:pt idx="9">
                        <c:v>15</c:v>
                      </c:pt>
                      <c:pt idx="10">
                        <c:v>17</c:v>
                      </c:pt>
                    </c:numCache>
                  </c:numRef>
                </c:xVal>
                <c:yVal>
                  <c:numRef>
                    <c:extLst xmlns:c15="http://schemas.microsoft.com/office/drawing/2012/chart">
                      <c:ext xmlns:c15="http://schemas.microsoft.com/office/drawing/2012/chart" uri="{02D57815-91ED-43cb-92C2-25804820EDAC}">
                        <c15:formulaRef>
                          <c15:sqref>'Capacity Loads Power'!$C$3:$C$13</c15:sqref>
                        </c15:formulaRef>
                      </c:ext>
                    </c:extLst>
                    <c:numCache>
                      <c:formatCode>General</c:formatCode>
                      <c:ptCount val="11"/>
                      <c:pt idx="0">
                        <c:v>0.78</c:v>
                      </c:pt>
                      <c:pt idx="1">
                        <c:v>0.78</c:v>
                      </c:pt>
                      <c:pt idx="2">
                        <c:v>0.78</c:v>
                      </c:pt>
                      <c:pt idx="3">
                        <c:v>0.78</c:v>
                      </c:pt>
                      <c:pt idx="4">
                        <c:v>0.78</c:v>
                      </c:pt>
                      <c:pt idx="5">
                        <c:v>0.78</c:v>
                      </c:pt>
                      <c:pt idx="6">
                        <c:v>0.78</c:v>
                      </c:pt>
                      <c:pt idx="7">
                        <c:v>0.78</c:v>
                      </c:pt>
                      <c:pt idx="8">
                        <c:v>0.78</c:v>
                      </c:pt>
                      <c:pt idx="9">
                        <c:v>0.78</c:v>
                      </c:pt>
                      <c:pt idx="10">
                        <c:v>0.78</c:v>
                      </c:pt>
                    </c:numCache>
                  </c:numRef>
                </c:yVal>
                <c:smooth val="0"/>
                <c:extLst xmlns:c15="http://schemas.microsoft.com/office/drawing/2012/chart">
                  <c:ext xmlns:c16="http://schemas.microsoft.com/office/drawing/2014/chart" uri="{C3380CC4-5D6E-409C-BE32-E72D297353CC}">
                    <c16:uniqueId val="{00000022-3408-40F5-B3EC-32C61B2ECC7A}"/>
                  </c:ext>
                </c:extLst>
              </c15:ser>
            </c15:filteredScatterSeries>
            <c15:filteredScatterSeries>
              <c15:ser>
                <c:idx val="7"/>
                <c:order val="7"/>
                <c:tx>
                  <c:strRef>
                    <c:extLst xmlns:c15="http://schemas.microsoft.com/office/drawing/2012/chart">
                      <c:ext xmlns:c15="http://schemas.microsoft.com/office/drawing/2012/chart" uri="{02D57815-91ED-43cb-92C2-25804820EDAC}">
                        <c15:formulaRef>
                          <c15:sqref>'Capacity Loads Power'!$D$2</c15:sqref>
                        </c15:formulaRef>
                      </c:ext>
                    </c:extLst>
                    <c:strCache>
                      <c:ptCount val="1"/>
                      <c:pt idx="0">
                        <c:v>Ducted Gas Option 3</c:v>
                      </c:pt>
                    </c:strCache>
                  </c:strRef>
                </c:tx>
                <c:spPr>
                  <a:ln w="19050" cap="rnd">
                    <a:solidFill>
                      <a:srgbClr val="CCCCFF"/>
                    </a:solidFill>
                    <a:round/>
                  </a:ln>
                  <a:effectLst/>
                </c:spPr>
                <c:marker>
                  <c:symbol val="circle"/>
                  <c:size val="5"/>
                  <c:spPr>
                    <a:noFill/>
                    <a:ln w="9525">
                      <a:solidFill>
                        <a:srgbClr val="CCCCFF"/>
                      </a:solidFill>
                    </a:ln>
                    <a:effectLst/>
                  </c:spPr>
                </c:marker>
                <c:xVal>
                  <c:numRef>
                    <c:extLst xmlns:c15="http://schemas.microsoft.com/office/drawing/2012/chart">
                      <c:ext xmlns:c15="http://schemas.microsoft.com/office/drawing/2012/chart" uri="{02D57815-91ED-43cb-92C2-25804820EDAC}">
                        <c15:formulaRef>
                          <c15:sqref>'Capacity Loads Power'!$A$3:$A$13</c15:sqref>
                        </c15:formulaRef>
                      </c:ext>
                    </c:extLst>
                    <c:numCache>
                      <c:formatCode>General</c:formatCode>
                      <c:ptCount val="11"/>
                      <c:pt idx="0">
                        <c:v>-7</c:v>
                      </c:pt>
                      <c:pt idx="1">
                        <c:v>-6</c:v>
                      </c:pt>
                      <c:pt idx="2">
                        <c:v>-4</c:v>
                      </c:pt>
                      <c:pt idx="3">
                        <c:v>0</c:v>
                      </c:pt>
                      <c:pt idx="4">
                        <c:v>2</c:v>
                      </c:pt>
                      <c:pt idx="5">
                        <c:v>3</c:v>
                      </c:pt>
                      <c:pt idx="6">
                        <c:v>5.5</c:v>
                      </c:pt>
                      <c:pt idx="7">
                        <c:v>5.5000010000000001</c:v>
                      </c:pt>
                      <c:pt idx="8">
                        <c:v>7</c:v>
                      </c:pt>
                      <c:pt idx="9">
                        <c:v>15</c:v>
                      </c:pt>
                      <c:pt idx="10">
                        <c:v>17</c:v>
                      </c:pt>
                    </c:numCache>
                  </c:numRef>
                </c:xVal>
                <c:yVal>
                  <c:numRef>
                    <c:extLst xmlns:c15="http://schemas.microsoft.com/office/drawing/2012/chart">
                      <c:ext xmlns:c15="http://schemas.microsoft.com/office/drawing/2012/chart" uri="{02D57815-91ED-43cb-92C2-25804820EDAC}">
                        <c15:formulaRef>
                          <c15:sqref>'Capacity Loads Power'!$D$3:$D$13</c15:sqref>
                        </c15:formulaRef>
                      </c:ext>
                    </c:extLst>
                    <c:numCache>
                      <c:formatCode>0.00</c:formatCode>
                      <c:ptCount val="11"/>
                      <c:pt idx="0">
                        <c:v>1.0900000000000001</c:v>
                      </c:pt>
                      <c:pt idx="1">
                        <c:v>1.0900000000000001</c:v>
                      </c:pt>
                      <c:pt idx="2">
                        <c:v>1.0900000000000001</c:v>
                      </c:pt>
                      <c:pt idx="3">
                        <c:v>1.0900000000000001</c:v>
                      </c:pt>
                      <c:pt idx="4">
                        <c:v>1.0900000000000001</c:v>
                      </c:pt>
                      <c:pt idx="5">
                        <c:v>1.0900000000000001</c:v>
                      </c:pt>
                      <c:pt idx="6">
                        <c:v>1.0900000000000001</c:v>
                      </c:pt>
                      <c:pt idx="7">
                        <c:v>1.0900000000000001</c:v>
                      </c:pt>
                      <c:pt idx="8">
                        <c:v>1.0900000000000001</c:v>
                      </c:pt>
                      <c:pt idx="9">
                        <c:v>1.0900000000000001</c:v>
                      </c:pt>
                      <c:pt idx="10">
                        <c:v>1.0900000000000001</c:v>
                      </c:pt>
                    </c:numCache>
                  </c:numRef>
                </c:yVal>
                <c:smooth val="0"/>
                <c:extLst xmlns:c15="http://schemas.microsoft.com/office/drawing/2012/chart">
                  <c:ext xmlns:c16="http://schemas.microsoft.com/office/drawing/2014/chart" uri="{C3380CC4-5D6E-409C-BE32-E72D297353CC}">
                    <c16:uniqueId val="{00000023-3408-40F5-B3EC-32C61B2ECC7A}"/>
                  </c:ext>
                </c:extLst>
              </c15:ser>
            </c15:filteredScatterSeries>
          </c:ext>
        </c:extLst>
      </c:scatterChart>
      <c:valAx>
        <c:axId val="20721476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AU" sz="1400"/>
                  <a:t>Outdoor Temperature (degC)</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072914479"/>
        <c:crosses val="autoZero"/>
        <c:crossBetween val="midCat"/>
        <c:majorUnit val="5"/>
        <c:minorUnit val="1"/>
      </c:valAx>
      <c:valAx>
        <c:axId val="2072914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AU" sz="1400"/>
                  <a:t>Normalised* Heating Capacity or Load</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072147615"/>
        <c:crossesAt val="-10"/>
        <c:crossBetween val="midCat"/>
      </c:valAx>
      <c:spPr>
        <a:noFill/>
        <a:ln>
          <a:noFill/>
        </a:ln>
        <a:effectLst/>
      </c:spPr>
    </c:plotArea>
    <c:legend>
      <c:legendPos val="r"/>
      <c:layout>
        <c:manualLayout>
          <c:xMode val="edge"/>
          <c:yMode val="edge"/>
          <c:x val="0.72584321279185038"/>
          <c:y val="0.16253306689141347"/>
          <c:w val="0.27415678720814962"/>
          <c:h val="0.7081715995857071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6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2ADB7F-3A10-4C21-9FB4-5C33872C8A93}">
  <we:reference id="wa104380118" version="1.1.0.4" store="en-US" storeType="OMEX"/>
  <we:alternateReferences>
    <we:reference id="WA104380118" version="1.1.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2d5a604d-cf3e-4f51-ae06-ce5f7b4b904f">FINAL published version</Status>
    <lcf76f155ced4ddcb4097134ff3c332f xmlns="48d9e47e-32db-43c4-9293-80ac5949bf17">
      <Terms xmlns="http://schemas.microsoft.com/office/infopath/2007/PartnerControls"/>
    </lcf76f155ced4ddcb4097134ff3c332f>
    <_ip_UnifiedCompliancePolicyProperties xmlns="http://schemas.microsoft.com/sharepoint/v3" xsi:nil="true"/>
    <Classification xmlns="2d5a604d-cf3e-4f51-ae06-ce5f7b4b904f">Official</Classification>
    <TaxCatchAll xmlns="e069ed18-643f-4fa2-8f24-2a187e93ad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78BEC5E59CBA4882B22C22E16C5641" ma:contentTypeVersion="7" ma:contentTypeDescription="Create a new document." ma:contentTypeScope="" ma:versionID="05d4d9ca83a7a5098a95002be58149b3">
  <xsd:schema xmlns:xsd="http://www.w3.org/2001/XMLSchema" xmlns:xs="http://www.w3.org/2001/XMLSchema" xmlns:p="http://schemas.microsoft.com/office/2006/metadata/properties" xmlns:ns1="http://schemas.microsoft.com/sharepoint/v3" xmlns:ns2="2d5a604d-cf3e-4f51-ae06-ce5f7b4b904f" xmlns:ns3="4c70a926-dbaa-45f1-afc0-26a9639aec76" xmlns:ns4="48d9e47e-32db-43c4-9293-80ac5949bf17" xmlns:ns5="e069ed18-643f-4fa2-8f24-2a187e93ad6d" targetNamespace="http://schemas.microsoft.com/office/2006/metadata/properties" ma:root="true" ma:fieldsID="d461e9c1d150930b3cbd872cfc90970c" ns1:_="" ns2:_="" ns3:_="" ns4:_="" ns5:_="">
    <xsd:import namespace="http://schemas.microsoft.com/sharepoint/v3"/>
    <xsd:import namespace="2d5a604d-cf3e-4f51-ae06-ce5f7b4b904f"/>
    <xsd:import namespace="4c70a926-dbaa-45f1-afc0-26a9639aec76"/>
    <xsd:import namespace="48d9e47e-32db-43c4-9293-80ac5949bf17"/>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1:_ip_UnifiedCompliancePolicyProperties" minOccurs="0"/>
                <xsd:element ref="ns1:_ip_UnifiedCompliancePolicyUIAction" minOccurs="0"/>
                <xsd:element ref="ns4:lcf76f155ced4ddcb4097134ff3c332f" minOccurs="0"/>
                <xsd:element ref="ns5: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a604d-cf3e-4f51-ae06-ce5f7b4b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default="Official" ma:description="Security classification of the document" ma:format="Dropdown" ma:internalName="Classification">
      <xsd:simpleType>
        <xsd:restriction base="dms:Text">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Status" ma:index="24"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9e47e-32db-43c4-9293-80ac5949bf1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27EC-88E3-4798-8951-D5A15818F18C}">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sharepoint/v3"/>
    <ds:schemaRef ds:uri="http://schemas.microsoft.com/office/infopath/2007/PartnerControls"/>
    <ds:schemaRef ds:uri="48d9e47e-32db-43c4-9293-80ac5949bf17"/>
    <ds:schemaRef ds:uri="e069ed18-643f-4fa2-8f24-2a187e93ad6d"/>
    <ds:schemaRef ds:uri="4c70a926-dbaa-45f1-afc0-26a9639aec76"/>
    <ds:schemaRef ds:uri="2d5a604d-cf3e-4f51-ae06-ce5f7b4b904f"/>
  </ds:schemaRefs>
</ds:datastoreItem>
</file>

<file path=customXml/itemProps2.xml><?xml version="1.0" encoding="utf-8"?>
<ds:datastoreItem xmlns:ds="http://schemas.openxmlformats.org/officeDocument/2006/customXml" ds:itemID="{257D49E5-94BF-411C-B731-C33812B01479}">
  <ds:schemaRefs>
    <ds:schemaRef ds:uri="http://schemas.microsoft.com/sharepoint/v3/contenttype/forms"/>
  </ds:schemaRefs>
</ds:datastoreItem>
</file>

<file path=customXml/itemProps3.xml><?xml version="1.0" encoding="utf-8"?>
<ds:datastoreItem xmlns:ds="http://schemas.openxmlformats.org/officeDocument/2006/customXml" ds:itemID="{6B0F6E76-613B-4811-9069-184F2B241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a604d-cf3e-4f51-ae06-ce5f7b4b904f"/>
    <ds:schemaRef ds:uri="4c70a926-dbaa-45f1-afc0-26a9639aec76"/>
    <ds:schemaRef ds:uri="48d9e47e-32db-43c4-9293-80ac5949bf1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CBCA7-784A-4ACF-9BC4-29C9FFF810B8}">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17553</Words>
  <Characters>103084</Characters>
  <Application>Microsoft Office Word</Application>
  <DocSecurity>0</DocSecurity>
  <Lines>859</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Renee STEPHENS</cp:lastModifiedBy>
  <cp:revision>2</cp:revision>
  <dcterms:created xsi:type="dcterms:W3CDTF">2024-08-23T04:02:00Z</dcterms:created>
  <dcterms:modified xsi:type="dcterms:W3CDTF">2024-08-26T00:45:00Z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0x0101003578BEC5E59CBA4882B22C22E16C5641</vt:lpwstr>
  </property>
  <property fmtid="{D5CDD505-2E9C-101B-9397-08002B2CF9AE}" pid="3" name="MediaServiceImageTags">
    <vt:lpwstr/>
  </property>
</Properties>
</file>