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34BFF4" w14:textId="000D6A13" w:rsidR="00475275" w:rsidRPr="004E70CE" w:rsidRDefault="004535E5" w:rsidP="00D72D94">
      <w:pPr>
        <w:pStyle w:val="Heading1"/>
        <w:spacing w:before="1300"/>
      </w:pPr>
      <w:r w:rsidRPr="004E70CE">
        <w:rPr>
          <w:noProof/>
          <w:lang w:val="en-US"/>
        </w:rPr>
        <w:drawing>
          <wp:anchor distT="0" distB="0" distL="114300" distR="114300" simplePos="0" relativeHeight="251658240" behindDoc="1" locked="0" layoutInCell="1" allowOverlap="1" wp14:anchorId="5382D1CB" wp14:editId="5CB7392D">
            <wp:simplePos x="0" y="0"/>
            <wp:positionH relativeFrom="page">
              <wp:posOffset>-3175</wp:posOffset>
            </wp:positionH>
            <wp:positionV relativeFrom="paragraph">
              <wp:posOffset>-328930</wp:posOffset>
            </wp:positionV>
            <wp:extent cx="7559610" cy="10693190"/>
            <wp:effectExtent l="0" t="0" r="381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10" cy="10693190"/>
                    </a:xfrm>
                    <a:prstGeom prst="rect">
                      <a:avLst/>
                    </a:prstGeom>
                  </pic:spPr>
                </pic:pic>
              </a:graphicData>
            </a:graphic>
            <wp14:sizeRelH relativeFrom="margin">
              <wp14:pctWidth>0</wp14:pctWidth>
            </wp14:sizeRelH>
            <wp14:sizeRelV relativeFrom="margin">
              <wp14:pctHeight>0</wp14:pctHeight>
            </wp14:sizeRelV>
          </wp:anchor>
        </w:drawing>
      </w:r>
    </w:p>
    <w:p w14:paraId="49B4DB91" w14:textId="77777777" w:rsidR="00764D6A" w:rsidRPr="004E70CE" w:rsidRDefault="00BF664E" w:rsidP="00A4349F">
      <w:pPr>
        <w:pStyle w:val="Heading1"/>
        <w:spacing w:before="1300"/>
      </w:pPr>
      <w:r w:rsidRPr="004E70CE">
        <w:t>Carbon Leakage Review</w:t>
      </w:r>
    </w:p>
    <w:p w14:paraId="3A58211E" w14:textId="77777777" w:rsidR="00563A53" w:rsidRPr="00C7090B" w:rsidRDefault="00563A53" w:rsidP="004375B9">
      <w:pPr>
        <w:jc w:val="center"/>
        <w:rPr>
          <w:b/>
          <w:bCs/>
          <w:sz w:val="40"/>
          <w:szCs w:val="40"/>
        </w:rPr>
      </w:pPr>
    </w:p>
    <w:p w14:paraId="61FB54C3" w14:textId="77777777" w:rsidR="00764D6A" w:rsidRPr="004E70CE" w:rsidRDefault="00BF664E" w:rsidP="00D1394B">
      <w:pPr>
        <w:pStyle w:val="Subtitle"/>
        <w:spacing w:before="240"/>
        <w:rPr>
          <w:b/>
          <w:bCs w:val="0"/>
          <w:color w:val="197C7D" w:themeColor="accent1"/>
          <w:sz w:val="50"/>
          <w:szCs w:val="50"/>
        </w:rPr>
      </w:pPr>
      <w:r w:rsidRPr="004E70CE">
        <w:rPr>
          <w:b/>
          <w:bCs w:val="0"/>
          <w:color w:val="197C7D" w:themeColor="accent1"/>
          <w:sz w:val="48"/>
          <w:szCs w:val="48"/>
        </w:rPr>
        <w:t>Consultation Paper</w:t>
      </w:r>
      <w:r w:rsidR="006D5F4A" w:rsidRPr="004E70CE">
        <w:rPr>
          <w:b/>
          <w:bCs w:val="0"/>
          <w:color w:val="197C7D" w:themeColor="accent1"/>
          <w:sz w:val="48"/>
          <w:szCs w:val="48"/>
        </w:rPr>
        <w:t xml:space="preserve"> 2</w:t>
      </w:r>
      <w:r w:rsidR="004637DD" w:rsidRPr="004E70CE">
        <w:rPr>
          <w:b/>
          <w:bCs w:val="0"/>
          <w:color w:val="197C7D" w:themeColor="accent1"/>
          <w:sz w:val="48"/>
          <w:szCs w:val="48"/>
        </w:rPr>
        <w:t xml:space="preserve"> </w:t>
      </w:r>
    </w:p>
    <w:p w14:paraId="01EFA704" w14:textId="584EB029" w:rsidR="00D1394B" w:rsidRPr="004E70CE" w:rsidRDefault="00171521" w:rsidP="00D1394B">
      <w:pPr>
        <w:pStyle w:val="Author"/>
        <w:spacing w:before="240"/>
        <w:rPr>
          <w:b w:val="0"/>
          <w:bCs/>
          <w:color w:val="197C7D" w:themeColor="accent1"/>
          <w:sz w:val="40"/>
          <w:szCs w:val="40"/>
        </w:rPr>
      </w:pPr>
      <w:r>
        <w:rPr>
          <w:b w:val="0"/>
          <w:bCs/>
          <w:color w:val="197C7D" w:themeColor="accent1"/>
          <w:sz w:val="40"/>
          <w:szCs w:val="40"/>
        </w:rPr>
        <w:t>November</w:t>
      </w:r>
      <w:r w:rsidR="00AA1905" w:rsidRPr="004E70CE">
        <w:rPr>
          <w:b w:val="0"/>
          <w:bCs/>
          <w:color w:val="197C7D" w:themeColor="accent1"/>
          <w:sz w:val="40"/>
          <w:szCs w:val="40"/>
        </w:rPr>
        <w:t xml:space="preserve"> </w:t>
      </w:r>
      <w:r w:rsidR="00D1394B" w:rsidRPr="004E70CE">
        <w:rPr>
          <w:b w:val="0"/>
          <w:bCs/>
          <w:color w:val="197C7D" w:themeColor="accent1"/>
          <w:sz w:val="40"/>
          <w:szCs w:val="40"/>
        </w:rPr>
        <w:t>2024</w:t>
      </w:r>
    </w:p>
    <w:p w14:paraId="61E706B0" w14:textId="77777777" w:rsidR="00D1394B" w:rsidRPr="004E70CE" w:rsidRDefault="00D1394B" w:rsidP="00D1394B"/>
    <w:p w14:paraId="76F87DA8" w14:textId="77777777" w:rsidR="00764D6A" w:rsidRPr="004E70CE" w:rsidRDefault="00764D6A" w:rsidP="00D100F7">
      <w:pPr>
        <w:pStyle w:val="AuthorOrganisationAffiliation"/>
        <w:tabs>
          <w:tab w:val="left" w:pos="7995"/>
        </w:tabs>
        <w:spacing w:after="500"/>
      </w:pPr>
    </w:p>
    <w:p w14:paraId="35F98035" w14:textId="77777777" w:rsidR="00764D6A" w:rsidRPr="004E70CE" w:rsidRDefault="00764D6A" w:rsidP="005D3790"/>
    <w:p w14:paraId="3FB83391" w14:textId="77777777" w:rsidR="00764D6A" w:rsidRPr="004E70CE" w:rsidRDefault="00E91D72">
      <w:pPr>
        <w:pStyle w:val="Normalsmall"/>
      </w:pPr>
      <w:r w:rsidRPr="004E70CE">
        <w:br w:type="page"/>
      </w:r>
      <w:r w:rsidRPr="004E70CE">
        <w:lastRenderedPageBreak/>
        <w:t xml:space="preserve">© Commonwealth of Australia </w:t>
      </w:r>
      <w:r w:rsidR="00B97E61" w:rsidRPr="004E70CE">
        <w:t>202</w:t>
      </w:r>
      <w:r w:rsidR="006A45A1" w:rsidRPr="004E70CE">
        <w:t>4</w:t>
      </w:r>
    </w:p>
    <w:p w14:paraId="189F1200" w14:textId="77777777" w:rsidR="00764D6A" w:rsidRPr="004E70CE" w:rsidRDefault="00E91D72">
      <w:pPr>
        <w:pStyle w:val="Normalsmall"/>
        <w:rPr>
          <w:rStyle w:val="Strong"/>
        </w:rPr>
      </w:pPr>
      <w:r w:rsidRPr="004E70CE">
        <w:rPr>
          <w:rStyle w:val="Strong"/>
        </w:rPr>
        <w:t>Ownership of intellectual property rights</w:t>
      </w:r>
    </w:p>
    <w:p w14:paraId="2982590D" w14:textId="77777777" w:rsidR="00764D6A" w:rsidRPr="004E70CE" w:rsidRDefault="00E91D72">
      <w:pPr>
        <w:pStyle w:val="Normalsmall"/>
      </w:pPr>
      <w:r w:rsidRPr="004E70CE">
        <w:t>Unless otherwise noted, copyright (and any other intellectual property rights) in this publication is owned by the Commonwealth of Australia (referred to as the Commonwealth).</w:t>
      </w:r>
    </w:p>
    <w:p w14:paraId="089F1367" w14:textId="77777777" w:rsidR="00764D6A" w:rsidRPr="004E70CE" w:rsidRDefault="00E91D72">
      <w:pPr>
        <w:pStyle w:val="Normalsmall"/>
        <w:rPr>
          <w:rStyle w:val="Strong"/>
        </w:rPr>
      </w:pPr>
      <w:r w:rsidRPr="004E70CE">
        <w:rPr>
          <w:rStyle w:val="Strong"/>
        </w:rPr>
        <w:t>Creative Commons licence</w:t>
      </w:r>
    </w:p>
    <w:p w14:paraId="59B81B6D" w14:textId="77777777" w:rsidR="00764D6A" w:rsidRPr="004E70CE" w:rsidRDefault="00E91D72">
      <w:pPr>
        <w:pStyle w:val="Normalsmall"/>
      </w:pPr>
      <w:r w:rsidRPr="004E70CE">
        <w:t xml:space="preserve">All material in this publication is licensed under a </w:t>
      </w:r>
      <w:hyperlink r:id="rId12" w:history="1">
        <w:r w:rsidRPr="004E70CE">
          <w:rPr>
            <w:rStyle w:val="Hyperlink"/>
          </w:rPr>
          <w:t>Creative Commons Attribution 4.0 International Licence</w:t>
        </w:r>
      </w:hyperlink>
      <w:r w:rsidRPr="004E70CE">
        <w:t xml:space="preserve"> except content supplied by third parties, logos and the Commonwealth Coat of Arms.</w:t>
      </w:r>
    </w:p>
    <w:p w14:paraId="0701099B" w14:textId="77777777" w:rsidR="00764D6A" w:rsidRPr="004E70CE" w:rsidRDefault="00E91D72">
      <w:pPr>
        <w:pStyle w:val="Normalsmall"/>
      </w:pPr>
      <w:r w:rsidRPr="004E70CE">
        <w:t xml:space="preserve">Inquiries about the licence and any use of this document should be emailed to </w:t>
      </w:r>
      <w:hyperlink r:id="rId13" w:history="1">
        <w:r w:rsidR="00D86640" w:rsidRPr="004E70CE">
          <w:rPr>
            <w:rStyle w:val="Hyperlink"/>
          </w:rPr>
          <w:t>copyright@dcceew.gov.au</w:t>
        </w:r>
      </w:hyperlink>
      <w:r w:rsidRPr="004E70CE">
        <w:t>.</w:t>
      </w:r>
    </w:p>
    <w:p w14:paraId="4DDA2D17" w14:textId="77777777" w:rsidR="00764D6A" w:rsidRPr="004E70CE" w:rsidRDefault="00E91D72">
      <w:pPr>
        <w:pStyle w:val="Normalsmall"/>
      </w:pPr>
      <w:r w:rsidRPr="004E70CE">
        <w:rPr>
          <w:noProof/>
          <w:lang w:val="en-US"/>
        </w:rPr>
        <w:drawing>
          <wp:inline distT="0" distB="0" distL="0" distR="0" wp14:anchorId="7C196AC8" wp14:editId="76226906">
            <wp:extent cx="724535" cy="25527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600A485" w14:textId="77777777" w:rsidR="00764D6A" w:rsidRPr="004E70CE" w:rsidRDefault="00E91D72">
      <w:pPr>
        <w:pStyle w:val="Normalsmall"/>
        <w:rPr>
          <w:rStyle w:val="Strong"/>
        </w:rPr>
      </w:pPr>
      <w:r w:rsidRPr="004E70CE">
        <w:rPr>
          <w:rStyle w:val="Strong"/>
        </w:rPr>
        <w:t>Cataloguing data</w:t>
      </w:r>
    </w:p>
    <w:p w14:paraId="21B46201" w14:textId="091AF912" w:rsidR="00764D6A" w:rsidRPr="004E70CE" w:rsidRDefault="00E91D72">
      <w:pPr>
        <w:pStyle w:val="Normalsmall"/>
      </w:pPr>
      <w:r w:rsidRPr="004E70CE">
        <w:t xml:space="preserve">This publication (and any material sourced from it) should be attributed as: </w:t>
      </w:r>
      <w:r w:rsidR="009D5007" w:rsidRPr="004E70CE">
        <w:t>D</w:t>
      </w:r>
      <w:r w:rsidR="000F2194" w:rsidRPr="004E70CE">
        <w:t>CCEEW</w:t>
      </w:r>
      <w:r w:rsidR="00B97E61" w:rsidRPr="004E70CE">
        <w:t xml:space="preserve"> 202</w:t>
      </w:r>
      <w:r w:rsidR="00E6319E" w:rsidRPr="004E70CE">
        <w:t>4</w:t>
      </w:r>
      <w:r w:rsidRPr="004E70CE">
        <w:t xml:space="preserve">, </w:t>
      </w:r>
      <w:r w:rsidR="00E6319E" w:rsidRPr="004E70CE">
        <w:rPr>
          <w:i/>
        </w:rPr>
        <w:t>Carbon Leakage Review –</w:t>
      </w:r>
      <w:r w:rsidR="00E6319E" w:rsidRPr="004E70CE">
        <w:rPr>
          <w:i/>
          <w:iCs/>
        </w:rPr>
        <w:t>Consult</w:t>
      </w:r>
      <w:r w:rsidR="40453C6E" w:rsidRPr="004E70CE">
        <w:rPr>
          <w:i/>
          <w:iCs/>
        </w:rPr>
        <w:t>ation</w:t>
      </w:r>
      <w:r w:rsidR="00E6319E" w:rsidRPr="004E70CE">
        <w:rPr>
          <w:i/>
        </w:rPr>
        <w:t xml:space="preserve"> Paper</w:t>
      </w:r>
      <w:r w:rsidR="00196AD6" w:rsidRPr="004E70CE">
        <w:rPr>
          <w:i/>
        </w:rPr>
        <w:t xml:space="preserve"> 2</w:t>
      </w:r>
      <w:r w:rsidRPr="004E70CE">
        <w:t xml:space="preserve">, </w:t>
      </w:r>
      <w:r w:rsidR="006F065B" w:rsidRPr="004E70CE">
        <w:t>Department of Climate Change, Energy, the Environment and Water</w:t>
      </w:r>
      <w:r w:rsidRPr="004E70CE">
        <w:t xml:space="preserve">, Canberra, </w:t>
      </w:r>
      <w:r w:rsidR="00171521">
        <w:t xml:space="preserve">November </w:t>
      </w:r>
      <w:r w:rsidR="00196AD6" w:rsidRPr="004E70CE">
        <w:t>2024</w:t>
      </w:r>
      <w:r w:rsidRPr="004E70CE">
        <w:t>. CC BY 4.0.</w:t>
      </w:r>
    </w:p>
    <w:p w14:paraId="2020721E" w14:textId="77777777" w:rsidR="00764D6A" w:rsidRPr="004E70CE" w:rsidRDefault="00E91D72">
      <w:pPr>
        <w:pStyle w:val="Normalsmall"/>
      </w:pPr>
      <w:r w:rsidRPr="004E70CE">
        <w:t xml:space="preserve">This publication is available at </w:t>
      </w:r>
      <w:hyperlink r:id="rId15" w:history="1">
        <w:r w:rsidR="00D86640" w:rsidRPr="004E70CE">
          <w:rPr>
            <w:rStyle w:val="Hyperlink"/>
          </w:rPr>
          <w:t>dcceew.gov.au/publications</w:t>
        </w:r>
      </w:hyperlink>
      <w:r w:rsidRPr="004E70CE">
        <w:t>.</w:t>
      </w:r>
    </w:p>
    <w:p w14:paraId="17C6B3C1" w14:textId="77777777" w:rsidR="00DE0AAE" w:rsidRPr="004E70CE" w:rsidRDefault="00D86640">
      <w:pPr>
        <w:pStyle w:val="Normalsmall"/>
        <w:spacing w:after="0"/>
      </w:pPr>
      <w:r w:rsidRPr="004E70CE">
        <w:t>Department of Climate Change, Energy, the Environment and Water</w:t>
      </w:r>
    </w:p>
    <w:p w14:paraId="3CEAB833" w14:textId="77777777" w:rsidR="00764D6A" w:rsidRPr="004E70CE" w:rsidRDefault="00E91D72">
      <w:pPr>
        <w:pStyle w:val="Normalsmall"/>
        <w:spacing w:after="0"/>
      </w:pPr>
      <w:r w:rsidRPr="004E70CE">
        <w:t xml:space="preserve">GPO Box </w:t>
      </w:r>
      <w:r w:rsidR="008E2377" w:rsidRPr="004E70CE">
        <w:t>3090</w:t>
      </w:r>
      <w:r w:rsidRPr="004E70CE">
        <w:t xml:space="preserve"> Canberra ACT 2601</w:t>
      </w:r>
    </w:p>
    <w:p w14:paraId="13A94224" w14:textId="77777777" w:rsidR="00764D6A" w:rsidRPr="004E70CE" w:rsidRDefault="00E91D72">
      <w:pPr>
        <w:pStyle w:val="Normalsmall"/>
        <w:spacing w:after="0"/>
      </w:pPr>
      <w:r w:rsidRPr="004E70CE">
        <w:t>Telephone 1800 900 090</w:t>
      </w:r>
    </w:p>
    <w:p w14:paraId="5F5B08BD" w14:textId="77777777" w:rsidR="00764D6A" w:rsidRPr="004E70CE" w:rsidRDefault="00E91D72">
      <w:pPr>
        <w:pStyle w:val="Normalsmall"/>
      </w:pPr>
      <w:bookmarkStart w:id="0" w:name="_Hlk108621036"/>
      <w:r w:rsidRPr="004E70CE">
        <w:t xml:space="preserve">Web </w:t>
      </w:r>
      <w:hyperlink r:id="rId16" w:history="1">
        <w:r w:rsidR="00D86640" w:rsidRPr="004E70CE">
          <w:rPr>
            <w:rStyle w:val="Hyperlink"/>
          </w:rPr>
          <w:t>dcceew.gov.au</w:t>
        </w:r>
      </w:hyperlink>
    </w:p>
    <w:bookmarkEnd w:id="0"/>
    <w:p w14:paraId="426B1433" w14:textId="77777777" w:rsidR="007C358A" w:rsidRPr="004E70CE" w:rsidRDefault="007C358A">
      <w:pPr>
        <w:pStyle w:val="Normalsmall"/>
      </w:pPr>
      <w:r w:rsidRPr="004E70CE">
        <w:rPr>
          <w:rStyle w:val="Strong"/>
        </w:rPr>
        <w:t>Disclaimer</w:t>
      </w:r>
    </w:p>
    <w:p w14:paraId="20F2C4B1" w14:textId="77777777" w:rsidR="00764D6A" w:rsidRPr="004E70CE" w:rsidRDefault="00E91D72">
      <w:pPr>
        <w:pStyle w:val="Normalsmall"/>
      </w:pPr>
      <w:r w:rsidRPr="004E70CE">
        <w:t xml:space="preserve">The Australian Government acting through the </w:t>
      </w:r>
      <w:r w:rsidR="00D86640" w:rsidRPr="004E70CE">
        <w:t>Department of Climate Change, Energy, the Environment and Water</w:t>
      </w:r>
      <w:r w:rsidRPr="004E70CE">
        <w:t xml:space="preserve"> has exercised due care and skill in preparing and compiling the information and data in this publication. Notwithstanding, the </w:t>
      </w:r>
      <w:r w:rsidR="00D86640" w:rsidRPr="004E70CE">
        <w:t>Department of Climate Change, Energy, the Environment and Water</w:t>
      </w:r>
      <w:r w:rsidRPr="004E70CE">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C707DD0" w14:textId="77777777" w:rsidR="00B02B9B" w:rsidRPr="004E70CE" w:rsidRDefault="00B02B9B" w:rsidP="00B02B9B">
      <w:pPr>
        <w:pStyle w:val="Normalsmall"/>
      </w:pPr>
      <w:r w:rsidRPr="004E70CE">
        <w:rPr>
          <w:rStyle w:val="Strong"/>
        </w:rPr>
        <w:t>Acknowledgement of Country</w:t>
      </w:r>
    </w:p>
    <w:p w14:paraId="2297614B" w14:textId="77777777" w:rsidR="00FC0B39" w:rsidRPr="004E70CE" w:rsidRDefault="00FC0B39" w:rsidP="00F448C4">
      <w:pPr>
        <w:pStyle w:val="Normalsmall"/>
      </w:pPr>
      <w:r w:rsidRPr="004E70CE">
        <w:t xml:space="preserve">Our department recognises the First Peoples of this nation and their ongoing connection to culture and country. We acknowledge Aboriginal and Torres Strait Islander Peoples as the Traditional Owners, Custodians and Lore Keepers of the world's oldest living culture and pay respects to their Elders past, </w:t>
      </w:r>
      <w:r w:rsidR="006A3182" w:rsidRPr="004E70CE">
        <w:t>and present</w:t>
      </w:r>
      <w:r w:rsidRPr="004E70CE">
        <w:t>.</w:t>
      </w:r>
    </w:p>
    <w:p w14:paraId="247C2DB9" w14:textId="77777777" w:rsidR="00764D6A" w:rsidRPr="004E70CE" w:rsidRDefault="00E91D72">
      <w:pPr>
        <w:spacing w:after="0" w:line="240" w:lineRule="auto"/>
      </w:pPr>
      <w:r w:rsidRPr="004E70CE">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rFonts w:asciiTheme="minorHAnsi" w:hAnsiTheme="minorHAnsi"/>
          <w:b/>
        </w:rPr>
      </w:sdtEndPr>
      <w:sdtContent>
        <w:p w14:paraId="4AF2E3E1" w14:textId="77777777" w:rsidR="00764D6A" w:rsidRPr="004E70CE" w:rsidRDefault="00E91D72">
          <w:pPr>
            <w:pStyle w:val="TOCHeading"/>
          </w:pPr>
          <w:r w:rsidRPr="004E70CE">
            <w:t xml:space="preserve">Contents </w:t>
          </w:r>
        </w:p>
        <w:p w14:paraId="56FC9FFC" w14:textId="40FBD44F" w:rsidR="00B65F9E" w:rsidRDefault="00E91D72">
          <w:pPr>
            <w:pStyle w:val="TOC1"/>
            <w:rPr>
              <w:rFonts w:eastAsiaTheme="minorEastAsia"/>
              <w:b w:val="0"/>
              <w:lang w:eastAsia="en-AU"/>
            </w:rPr>
          </w:pPr>
          <w:r w:rsidRPr="004E70CE">
            <w:rPr>
              <w:b w:val="0"/>
            </w:rPr>
            <w:fldChar w:fldCharType="begin"/>
          </w:r>
          <w:r w:rsidRPr="004E70CE">
            <w:rPr>
              <w:b w:val="0"/>
            </w:rPr>
            <w:instrText xml:space="preserve"> TOC \h \z \u \t "Heading 2,1,Heading 3,2,Style1,2,TOA Heading,1" </w:instrText>
          </w:r>
          <w:r w:rsidRPr="004E70CE">
            <w:rPr>
              <w:b w:val="0"/>
            </w:rPr>
            <w:fldChar w:fldCharType="separate"/>
          </w:r>
          <w:hyperlink w:anchor="_Toc173997649" w:history="1">
            <w:r w:rsidR="00B65F9E" w:rsidRPr="00EC1884">
              <w:rPr>
                <w:rStyle w:val="Hyperlink"/>
              </w:rPr>
              <w:t>Executive Summary</w:t>
            </w:r>
            <w:r w:rsidR="00B65F9E">
              <w:rPr>
                <w:webHidden/>
              </w:rPr>
              <w:tab/>
            </w:r>
            <w:r w:rsidR="00B65F9E">
              <w:rPr>
                <w:webHidden/>
              </w:rPr>
              <w:fldChar w:fldCharType="begin"/>
            </w:r>
            <w:r w:rsidR="00B65F9E">
              <w:rPr>
                <w:webHidden/>
              </w:rPr>
              <w:instrText xml:space="preserve"> PAGEREF _Toc173997649 \h </w:instrText>
            </w:r>
            <w:r w:rsidR="00B65F9E">
              <w:rPr>
                <w:webHidden/>
              </w:rPr>
            </w:r>
            <w:r w:rsidR="00B65F9E">
              <w:rPr>
                <w:webHidden/>
              </w:rPr>
              <w:fldChar w:fldCharType="separate"/>
            </w:r>
            <w:r w:rsidR="00155E96">
              <w:rPr>
                <w:webHidden/>
              </w:rPr>
              <w:t>5</w:t>
            </w:r>
            <w:r w:rsidR="00B65F9E">
              <w:rPr>
                <w:webHidden/>
              </w:rPr>
              <w:fldChar w:fldCharType="end"/>
            </w:r>
          </w:hyperlink>
        </w:p>
        <w:p w14:paraId="34927C8F" w14:textId="3CB830B8" w:rsidR="00B65F9E" w:rsidRDefault="00171521">
          <w:pPr>
            <w:pStyle w:val="TOC1"/>
            <w:rPr>
              <w:rFonts w:eastAsiaTheme="minorEastAsia"/>
              <w:b w:val="0"/>
              <w:lang w:eastAsia="en-AU"/>
            </w:rPr>
          </w:pPr>
          <w:hyperlink w:anchor="_Toc173997650" w:history="1">
            <w:r w:rsidR="00B65F9E" w:rsidRPr="00EC1884">
              <w:rPr>
                <w:rStyle w:val="Hyperlink"/>
              </w:rPr>
              <w:t>1</w:t>
            </w:r>
            <w:r w:rsidR="00B65F9E">
              <w:rPr>
                <w:rFonts w:eastAsiaTheme="minorEastAsia"/>
                <w:b w:val="0"/>
                <w:lang w:eastAsia="en-AU"/>
              </w:rPr>
              <w:tab/>
            </w:r>
            <w:r w:rsidR="00B65F9E" w:rsidRPr="00EC1884">
              <w:rPr>
                <w:rStyle w:val="Hyperlink"/>
              </w:rPr>
              <w:t>Introduction</w:t>
            </w:r>
            <w:r w:rsidR="00B65F9E">
              <w:rPr>
                <w:webHidden/>
              </w:rPr>
              <w:tab/>
            </w:r>
            <w:r w:rsidR="00B65F9E">
              <w:rPr>
                <w:webHidden/>
              </w:rPr>
              <w:fldChar w:fldCharType="begin"/>
            </w:r>
            <w:r w:rsidR="00B65F9E">
              <w:rPr>
                <w:webHidden/>
              </w:rPr>
              <w:instrText xml:space="preserve"> PAGEREF _Toc173997650 \h </w:instrText>
            </w:r>
            <w:r w:rsidR="00B65F9E">
              <w:rPr>
                <w:webHidden/>
              </w:rPr>
            </w:r>
            <w:r w:rsidR="00B65F9E">
              <w:rPr>
                <w:webHidden/>
              </w:rPr>
              <w:fldChar w:fldCharType="separate"/>
            </w:r>
            <w:r w:rsidR="00155E96">
              <w:rPr>
                <w:webHidden/>
              </w:rPr>
              <w:t>17</w:t>
            </w:r>
            <w:r w:rsidR="00B65F9E">
              <w:rPr>
                <w:webHidden/>
              </w:rPr>
              <w:fldChar w:fldCharType="end"/>
            </w:r>
          </w:hyperlink>
        </w:p>
        <w:p w14:paraId="72C15702" w14:textId="707BDC4A" w:rsidR="00B65F9E" w:rsidRDefault="00171521">
          <w:pPr>
            <w:pStyle w:val="TOC2"/>
            <w:tabs>
              <w:tab w:val="left" w:pos="1100"/>
            </w:tabs>
            <w:rPr>
              <w:rFonts w:eastAsiaTheme="minorEastAsia"/>
              <w:lang w:eastAsia="en-AU"/>
            </w:rPr>
          </w:pPr>
          <w:hyperlink w:anchor="_Toc173997651" w:history="1">
            <w:r w:rsidR="00B65F9E" w:rsidRPr="00EC1884">
              <w:rPr>
                <w:rStyle w:val="Hyperlink"/>
                <w:lang w:val="en-GB"/>
              </w:rPr>
              <w:t>1.1</w:t>
            </w:r>
            <w:r w:rsidR="00B65F9E">
              <w:rPr>
                <w:rFonts w:eastAsiaTheme="minorEastAsia"/>
                <w:lang w:eastAsia="en-AU"/>
              </w:rPr>
              <w:tab/>
            </w:r>
            <w:r w:rsidR="00B65F9E" w:rsidRPr="00EC1884">
              <w:rPr>
                <w:rStyle w:val="Hyperlink"/>
                <w:lang w:val="en-GB"/>
              </w:rPr>
              <w:t>Carbon leakage in the context of the net zero transition</w:t>
            </w:r>
            <w:r w:rsidR="00B65F9E">
              <w:rPr>
                <w:webHidden/>
              </w:rPr>
              <w:tab/>
            </w:r>
            <w:r w:rsidR="00B65F9E">
              <w:rPr>
                <w:webHidden/>
              </w:rPr>
              <w:fldChar w:fldCharType="begin"/>
            </w:r>
            <w:r w:rsidR="00B65F9E">
              <w:rPr>
                <w:webHidden/>
              </w:rPr>
              <w:instrText xml:space="preserve"> PAGEREF _Toc173997651 \h </w:instrText>
            </w:r>
            <w:r w:rsidR="00B65F9E">
              <w:rPr>
                <w:webHidden/>
              </w:rPr>
            </w:r>
            <w:r w:rsidR="00B65F9E">
              <w:rPr>
                <w:webHidden/>
              </w:rPr>
              <w:fldChar w:fldCharType="separate"/>
            </w:r>
            <w:r w:rsidR="00155E96">
              <w:rPr>
                <w:webHidden/>
              </w:rPr>
              <w:t>17</w:t>
            </w:r>
            <w:r w:rsidR="00B65F9E">
              <w:rPr>
                <w:webHidden/>
              </w:rPr>
              <w:fldChar w:fldCharType="end"/>
            </w:r>
          </w:hyperlink>
        </w:p>
        <w:p w14:paraId="7E33D87D" w14:textId="682C16A6" w:rsidR="00B65F9E" w:rsidRDefault="00171521">
          <w:pPr>
            <w:pStyle w:val="TOC2"/>
            <w:tabs>
              <w:tab w:val="left" w:pos="1100"/>
            </w:tabs>
            <w:rPr>
              <w:rFonts w:eastAsiaTheme="minorEastAsia"/>
              <w:lang w:eastAsia="en-AU"/>
            </w:rPr>
          </w:pPr>
          <w:hyperlink w:anchor="_Toc173997652" w:history="1">
            <w:r w:rsidR="00B65F9E" w:rsidRPr="00EC1884">
              <w:rPr>
                <w:rStyle w:val="Hyperlink"/>
                <w:lang w:eastAsia="ja-JP"/>
              </w:rPr>
              <w:t>1.2</w:t>
            </w:r>
            <w:r w:rsidR="00B65F9E">
              <w:rPr>
                <w:rFonts w:eastAsiaTheme="minorEastAsia"/>
                <w:lang w:eastAsia="en-AU"/>
              </w:rPr>
              <w:tab/>
            </w:r>
            <w:r w:rsidR="00B65F9E" w:rsidRPr="00EC1884">
              <w:rPr>
                <w:rStyle w:val="Hyperlink"/>
                <w:lang w:eastAsia="ja-JP"/>
              </w:rPr>
              <w:t>What is carbon leakage?</w:t>
            </w:r>
            <w:r w:rsidR="00B65F9E">
              <w:rPr>
                <w:webHidden/>
              </w:rPr>
              <w:tab/>
            </w:r>
            <w:r w:rsidR="00B65F9E">
              <w:rPr>
                <w:webHidden/>
              </w:rPr>
              <w:fldChar w:fldCharType="begin"/>
            </w:r>
            <w:r w:rsidR="00B65F9E">
              <w:rPr>
                <w:webHidden/>
              </w:rPr>
              <w:instrText xml:space="preserve"> PAGEREF _Toc173997652 \h </w:instrText>
            </w:r>
            <w:r w:rsidR="00B65F9E">
              <w:rPr>
                <w:webHidden/>
              </w:rPr>
            </w:r>
            <w:r w:rsidR="00B65F9E">
              <w:rPr>
                <w:webHidden/>
              </w:rPr>
              <w:fldChar w:fldCharType="separate"/>
            </w:r>
            <w:r w:rsidR="00155E96">
              <w:rPr>
                <w:webHidden/>
              </w:rPr>
              <w:t>18</w:t>
            </w:r>
            <w:r w:rsidR="00B65F9E">
              <w:rPr>
                <w:webHidden/>
              </w:rPr>
              <w:fldChar w:fldCharType="end"/>
            </w:r>
          </w:hyperlink>
        </w:p>
        <w:p w14:paraId="260541DA" w14:textId="534F48D4" w:rsidR="00B65F9E" w:rsidRDefault="00171521">
          <w:pPr>
            <w:pStyle w:val="TOC2"/>
            <w:tabs>
              <w:tab w:val="left" w:pos="1100"/>
            </w:tabs>
            <w:rPr>
              <w:rFonts w:eastAsiaTheme="minorEastAsia"/>
              <w:lang w:eastAsia="en-AU"/>
            </w:rPr>
          </w:pPr>
          <w:hyperlink w:anchor="_Toc173997653" w:history="1">
            <w:r w:rsidR="00B65F9E" w:rsidRPr="00EC1884">
              <w:rPr>
                <w:rStyle w:val="Hyperlink"/>
                <w:lang w:eastAsia="ja-JP"/>
              </w:rPr>
              <w:t>1.3</w:t>
            </w:r>
            <w:r w:rsidR="00B65F9E">
              <w:rPr>
                <w:rFonts w:eastAsiaTheme="minorEastAsia"/>
                <w:lang w:eastAsia="en-AU"/>
              </w:rPr>
              <w:tab/>
            </w:r>
            <w:r w:rsidR="00B65F9E" w:rsidRPr="00EC1884">
              <w:rPr>
                <w:rStyle w:val="Hyperlink"/>
                <w:lang w:eastAsia="ja-JP"/>
              </w:rPr>
              <w:t>About the Review</w:t>
            </w:r>
            <w:r w:rsidR="00B65F9E">
              <w:rPr>
                <w:webHidden/>
              </w:rPr>
              <w:tab/>
            </w:r>
            <w:r w:rsidR="00B65F9E">
              <w:rPr>
                <w:webHidden/>
              </w:rPr>
              <w:fldChar w:fldCharType="begin"/>
            </w:r>
            <w:r w:rsidR="00B65F9E">
              <w:rPr>
                <w:webHidden/>
              </w:rPr>
              <w:instrText xml:space="preserve"> PAGEREF _Toc173997653 \h </w:instrText>
            </w:r>
            <w:r w:rsidR="00B65F9E">
              <w:rPr>
                <w:webHidden/>
              </w:rPr>
            </w:r>
            <w:r w:rsidR="00B65F9E">
              <w:rPr>
                <w:webHidden/>
              </w:rPr>
              <w:fldChar w:fldCharType="separate"/>
            </w:r>
            <w:r w:rsidR="00155E96">
              <w:rPr>
                <w:webHidden/>
              </w:rPr>
              <w:t>19</w:t>
            </w:r>
            <w:r w:rsidR="00B65F9E">
              <w:rPr>
                <w:webHidden/>
              </w:rPr>
              <w:fldChar w:fldCharType="end"/>
            </w:r>
          </w:hyperlink>
        </w:p>
        <w:p w14:paraId="32BC0736" w14:textId="42025F75" w:rsidR="00B65F9E" w:rsidRDefault="00171521">
          <w:pPr>
            <w:pStyle w:val="TOC2"/>
            <w:tabs>
              <w:tab w:val="left" w:pos="1100"/>
            </w:tabs>
            <w:rPr>
              <w:rFonts w:eastAsiaTheme="minorEastAsia"/>
              <w:lang w:eastAsia="en-AU"/>
            </w:rPr>
          </w:pPr>
          <w:hyperlink w:anchor="_Toc173997654" w:history="1">
            <w:r w:rsidR="00B65F9E" w:rsidRPr="00EC1884">
              <w:rPr>
                <w:rStyle w:val="Hyperlink"/>
                <w:lang w:eastAsia="ja-JP"/>
              </w:rPr>
              <w:t>1.4</w:t>
            </w:r>
            <w:r w:rsidR="00B65F9E">
              <w:rPr>
                <w:rFonts w:eastAsiaTheme="minorEastAsia"/>
                <w:lang w:eastAsia="en-AU"/>
              </w:rPr>
              <w:tab/>
            </w:r>
            <w:r w:rsidR="00B65F9E" w:rsidRPr="00EC1884">
              <w:rPr>
                <w:rStyle w:val="Hyperlink"/>
                <w:lang w:eastAsia="ja-JP"/>
              </w:rPr>
              <w:t>Engagement to date</w:t>
            </w:r>
            <w:r w:rsidR="00B65F9E">
              <w:rPr>
                <w:webHidden/>
              </w:rPr>
              <w:tab/>
            </w:r>
            <w:r w:rsidR="00B65F9E">
              <w:rPr>
                <w:webHidden/>
              </w:rPr>
              <w:fldChar w:fldCharType="begin"/>
            </w:r>
            <w:r w:rsidR="00B65F9E">
              <w:rPr>
                <w:webHidden/>
              </w:rPr>
              <w:instrText xml:space="preserve"> PAGEREF _Toc173997654 \h </w:instrText>
            </w:r>
            <w:r w:rsidR="00B65F9E">
              <w:rPr>
                <w:webHidden/>
              </w:rPr>
            </w:r>
            <w:r w:rsidR="00B65F9E">
              <w:rPr>
                <w:webHidden/>
              </w:rPr>
              <w:fldChar w:fldCharType="separate"/>
            </w:r>
            <w:r w:rsidR="00155E96">
              <w:rPr>
                <w:webHidden/>
              </w:rPr>
              <w:t>20</w:t>
            </w:r>
            <w:r w:rsidR="00B65F9E">
              <w:rPr>
                <w:webHidden/>
              </w:rPr>
              <w:fldChar w:fldCharType="end"/>
            </w:r>
          </w:hyperlink>
        </w:p>
        <w:p w14:paraId="726D733D" w14:textId="6B8FBF92" w:rsidR="00B65F9E" w:rsidRDefault="00171521">
          <w:pPr>
            <w:pStyle w:val="TOC1"/>
            <w:rPr>
              <w:rFonts w:eastAsiaTheme="minorEastAsia"/>
              <w:b w:val="0"/>
              <w:lang w:eastAsia="en-AU"/>
            </w:rPr>
          </w:pPr>
          <w:hyperlink w:anchor="_Toc173997655" w:history="1">
            <w:r w:rsidR="00B65F9E" w:rsidRPr="00EC1884">
              <w:rPr>
                <w:rStyle w:val="Hyperlink"/>
              </w:rPr>
              <w:t>2</w:t>
            </w:r>
            <w:r w:rsidR="00B65F9E">
              <w:rPr>
                <w:rFonts w:eastAsiaTheme="minorEastAsia"/>
                <w:b w:val="0"/>
                <w:lang w:eastAsia="en-AU"/>
              </w:rPr>
              <w:tab/>
            </w:r>
            <w:r w:rsidR="00B65F9E" w:rsidRPr="00EC1884">
              <w:rPr>
                <w:rStyle w:val="Hyperlink"/>
              </w:rPr>
              <w:t>Leakage under existing policies</w:t>
            </w:r>
            <w:r w:rsidR="00B65F9E">
              <w:rPr>
                <w:webHidden/>
              </w:rPr>
              <w:tab/>
            </w:r>
            <w:r w:rsidR="00B65F9E">
              <w:rPr>
                <w:webHidden/>
              </w:rPr>
              <w:fldChar w:fldCharType="begin"/>
            </w:r>
            <w:r w:rsidR="00B65F9E">
              <w:rPr>
                <w:webHidden/>
              </w:rPr>
              <w:instrText xml:space="preserve"> PAGEREF _Toc173997655 \h </w:instrText>
            </w:r>
            <w:r w:rsidR="00B65F9E">
              <w:rPr>
                <w:webHidden/>
              </w:rPr>
            </w:r>
            <w:r w:rsidR="00B65F9E">
              <w:rPr>
                <w:webHidden/>
              </w:rPr>
              <w:fldChar w:fldCharType="separate"/>
            </w:r>
            <w:r w:rsidR="00155E96">
              <w:rPr>
                <w:webHidden/>
              </w:rPr>
              <w:t>21</w:t>
            </w:r>
            <w:r w:rsidR="00B65F9E">
              <w:rPr>
                <w:webHidden/>
              </w:rPr>
              <w:fldChar w:fldCharType="end"/>
            </w:r>
          </w:hyperlink>
        </w:p>
        <w:p w14:paraId="6BEAD615" w14:textId="3780E1DC" w:rsidR="00B65F9E" w:rsidRDefault="00171521">
          <w:pPr>
            <w:pStyle w:val="TOC2"/>
            <w:tabs>
              <w:tab w:val="left" w:pos="1100"/>
            </w:tabs>
            <w:rPr>
              <w:rFonts w:eastAsiaTheme="minorEastAsia"/>
              <w:lang w:eastAsia="en-AU"/>
            </w:rPr>
          </w:pPr>
          <w:hyperlink w:anchor="_Toc173997656" w:history="1">
            <w:r w:rsidR="00B65F9E" w:rsidRPr="00EC1884">
              <w:rPr>
                <w:rStyle w:val="Hyperlink"/>
              </w:rPr>
              <w:t>2.1</w:t>
            </w:r>
            <w:r w:rsidR="00B65F9E">
              <w:rPr>
                <w:rFonts w:eastAsiaTheme="minorEastAsia"/>
                <w:lang w:eastAsia="en-AU"/>
              </w:rPr>
              <w:tab/>
            </w:r>
            <w:r w:rsidR="00B65F9E" w:rsidRPr="00EC1884">
              <w:rPr>
                <w:rStyle w:val="Hyperlink"/>
              </w:rPr>
              <w:t>The Safeguard Mechanism</w:t>
            </w:r>
            <w:r w:rsidR="00B65F9E">
              <w:rPr>
                <w:webHidden/>
              </w:rPr>
              <w:tab/>
            </w:r>
            <w:r w:rsidR="00B65F9E">
              <w:rPr>
                <w:webHidden/>
              </w:rPr>
              <w:fldChar w:fldCharType="begin"/>
            </w:r>
            <w:r w:rsidR="00B65F9E">
              <w:rPr>
                <w:webHidden/>
              </w:rPr>
              <w:instrText xml:space="preserve"> PAGEREF _Toc173997656 \h </w:instrText>
            </w:r>
            <w:r w:rsidR="00B65F9E">
              <w:rPr>
                <w:webHidden/>
              </w:rPr>
            </w:r>
            <w:r w:rsidR="00B65F9E">
              <w:rPr>
                <w:webHidden/>
              </w:rPr>
              <w:fldChar w:fldCharType="separate"/>
            </w:r>
            <w:r w:rsidR="00155E96">
              <w:rPr>
                <w:webHidden/>
              </w:rPr>
              <w:t>21</w:t>
            </w:r>
            <w:r w:rsidR="00B65F9E">
              <w:rPr>
                <w:webHidden/>
              </w:rPr>
              <w:fldChar w:fldCharType="end"/>
            </w:r>
          </w:hyperlink>
        </w:p>
        <w:p w14:paraId="2B23C543" w14:textId="5FDDCF20" w:rsidR="00B65F9E" w:rsidRDefault="00171521">
          <w:pPr>
            <w:pStyle w:val="TOC2"/>
            <w:tabs>
              <w:tab w:val="left" w:pos="1100"/>
            </w:tabs>
            <w:rPr>
              <w:rFonts w:eastAsiaTheme="minorEastAsia"/>
              <w:lang w:eastAsia="en-AU"/>
            </w:rPr>
          </w:pPr>
          <w:hyperlink w:anchor="_Toc173997657" w:history="1">
            <w:r w:rsidR="00B65F9E" w:rsidRPr="00EC1884">
              <w:rPr>
                <w:rStyle w:val="Hyperlink"/>
              </w:rPr>
              <w:t>2.2</w:t>
            </w:r>
            <w:r w:rsidR="00B65F9E">
              <w:rPr>
                <w:rFonts w:eastAsiaTheme="minorEastAsia"/>
                <w:lang w:eastAsia="en-AU"/>
              </w:rPr>
              <w:tab/>
            </w:r>
            <w:r w:rsidR="00B65F9E" w:rsidRPr="00EC1884">
              <w:rPr>
                <w:rStyle w:val="Hyperlink"/>
              </w:rPr>
              <w:t>Public investment</w:t>
            </w:r>
            <w:r w:rsidR="00B65F9E">
              <w:rPr>
                <w:webHidden/>
              </w:rPr>
              <w:tab/>
            </w:r>
            <w:r w:rsidR="00B65F9E">
              <w:rPr>
                <w:webHidden/>
              </w:rPr>
              <w:fldChar w:fldCharType="begin"/>
            </w:r>
            <w:r w:rsidR="00B65F9E">
              <w:rPr>
                <w:webHidden/>
              </w:rPr>
              <w:instrText xml:space="preserve"> PAGEREF _Toc173997657 \h </w:instrText>
            </w:r>
            <w:r w:rsidR="00B65F9E">
              <w:rPr>
                <w:webHidden/>
              </w:rPr>
            </w:r>
            <w:r w:rsidR="00B65F9E">
              <w:rPr>
                <w:webHidden/>
              </w:rPr>
              <w:fldChar w:fldCharType="separate"/>
            </w:r>
            <w:r w:rsidR="00155E96">
              <w:rPr>
                <w:webHidden/>
              </w:rPr>
              <w:t>23</w:t>
            </w:r>
            <w:r w:rsidR="00B65F9E">
              <w:rPr>
                <w:webHidden/>
              </w:rPr>
              <w:fldChar w:fldCharType="end"/>
            </w:r>
          </w:hyperlink>
        </w:p>
        <w:p w14:paraId="165368E5" w14:textId="07BAF680" w:rsidR="00B65F9E" w:rsidRDefault="00171521">
          <w:pPr>
            <w:pStyle w:val="TOC2"/>
            <w:tabs>
              <w:tab w:val="left" w:pos="1100"/>
            </w:tabs>
            <w:rPr>
              <w:rFonts w:eastAsiaTheme="minorEastAsia"/>
              <w:lang w:eastAsia="en-AU"/>
            </w:rPr>
          </w:pPr>
          <w:hyperlink w:anchor="_Toc173997658" w:history="1">
            <w:r w:rsidR="00B65F9E" w:rsidRPr="00EC1884">
              <w:rPr>
                <w:rStyle w:val="Hyperlink"/>
              </w:rPr>
              <w:t>2.3</w:t>
            </w:r>
            <w:r w:rsidR="00B65F9E">
              <w:rPr>
                <w:rFonts w:eastAsiaTheme="minorEastAsia"/>
                <w:lang w:eastAsia="en-AU"/>
              </w:rPr>
              <w:tab/>
            </w:r>
            <w:r w:rsidR="00B65F9E" w:rsidRPr="00EC1884">
              <w:rPr>
                <w:rStyle w:val="Hyperlink"/>
              </w:rPr>
              <w:t>Assessing carbon leakage risks</w:t>
            </w:r>
            <w:r w:rsidR="00B65F9E">
              <w:rPr>
                <w:webHidden/>
              </w:rPr>
              <w:tab/>
            </w:r>
            <w:r w:rsidR="00B65F9E">
              <w:rPr>
                <w:webHidden/>
              </w:rPr>
              <w:fldChar w:fldCharType="begin"/>
            </w:r>
            <w:r w:rsidR="00B65F9E">
              <w:rPr>
                <w:webHidden/>
              </w:rPr>
              <w:instrText xml:space="preserve"> PAGEREF _Toc173997658 \h </w:instrText>
            </w:r>
            <w:r w:rsidR="00B65F9E">
              <w:rPr>
                <w:webHidden/>
              </w:rPr>
            </w:r>
            <w:r w:rsidR="00B65F9E">
              <w:rPr>
                <w:webHidden/>
              </w:rPr>
              <w:fldChar w:fldCharType="separate"/>
            </w:r>
            <w:r w:rsidR="00155E96">
              <w:rPr>
                <w:webHidden/>
              </w:rPr>
              <w:t>26</w:t>
            </w:r>
            <w:r w:rsidR="00B65F9E">
              <w:rPr>
                <w:webHidden/>
              </w:rPr>
              <w:fldChar w:fldCharType="end"/>
            </w:r>
          </w:hyperlink>
        </w:p>
        <w:p w14:paraId="18EBCC98" w14:textId="549ECB1A" w:rsidR="00B65F9E" w:rsidRDefault="00171521">
          <w:pPr>
            <w:pStyle w:val="TOC2"/>
            <w:tabs>
              <w:tab w:val="left" w:pos="1100"/>
            </w:tabs>
            <w:rPr>
              <w:rFonts w:eastAsiaTheme="minorEastAsia"/>
              <w:lang w:eastAsia="en-AU"/>
            </w:rPr>
          </w:pPr>
          <w:hyperlink w:anchor="_Toc173997659" w:history="1">
            <w:r w:rsidR="00B65F9E" w:rsidRPr="00EC1884">
              <w:rPr>
                <w:rStyle w:val="Hyperlink"/>
              </w:rPr>
              <w:t>2.4</w:t>
            </w:r>
            <w:r w:rsidR="00B65F9E">
              <w:rPr>
                <w:rFonts w:eastAsiaTheme="minorEastAsia"/>
                <w:lang w:eastAsia="en-AU"/>
              </w:rPr>
              <w:tab/>
            </w:r>
            <w:r w:rsidR="00B65F9E" w:rsidRPr="00EC1884">
              <w:rPr>
                <w:rStyle w:val="Hyperlink"/>
              </w:rPr>
              <w:t>Assessing trade leakage risk</w:t>
            </w:r>
            <w:r w:rsidR="00B65F9E">
              <w:rPr>
                <w:webHidden/>
              </w:rPr>
              <w:tab/>
            </w:r>
            <w:r w:rsidR="00B65F9E">
              <w:rPr>
                <w:webHidden/>
              </w:rPr>
              <w:fldChar w:fldCharType="begin"/>
            </w:r>
            <w:r w:rsidR="00B65F9E">
              <w:rPr>
                <w:webHidden/>
              </w:rPr>
              <w:instrText xml:space="preserve"> PAGEREF _Toc173997659 \h </w:instrText>
            </w:r>
            <w:r w:rsidR="00B65F9E">
              <w:rPr>
                <w:webHidden/>
              </w:rPr>
            </w:r>
            <w:r w:rsidR="00B65F9E">
              <w:rPr>
                <w:webHidden/>
              </w:rPr>
              <w:fldChar w:fldCharType="separate"/>
            </w:r>
            <w:r w:rsidR="00155E96">
              <w:rPr>
                <w:webHidden/>
              </w:rPr>
              <w:t>29</w:t>
            </w:r>
            <w:r w:rsidR="00B65F9E">
              <w:rPr>
                <w:webHidden/>
              </w:rPr>
              <w:fldChar w:fldCharType="end"/>
            </w:r>
          </w:hyperlink>
        </w:p>
        <w:p w14:paraId="2914ADED" w14:textId="11E7BC18" w:rsidR="00B65F9E" w:rsidRDefault="00171521">
          <w:pPr>
            <w:pStyle w:val="TOC2"/>
            <w:tabs>
              <w:tab w:val="left" w:pos="1100"/>
            </w:tabs>
            <w:rPr>
              <w:rFonts w:eastAsiaTheme="minorEastAsia"/>
              <w:lang w:eastAsia="en-AU"/>
            </w:rPr>
          </w:pPr>
          <w:hyperlink w:anchor="_Toc173997660" w:history="1">
            <w:r w:rsidR="00B65F9E" w:rsidRPr="00EC1884">
              <w:rPr>
                <w:rStyle w:val="Hyperlink"/>
              </w:rPr>
              <w:t>2.5</w:t>
            </w:r>
            <w:r w:rsidR="00B65F9E">
              <w:rPr>
                <w:rFonts w:eastAsiaTheme="minorEastAsia"/>
                <w:lang w:eastAsia="en-AU"/>
              </w:rPr>
              <w:tab/>
            </w:r>
            <w:r w:rsidR="00B65F9E" w:rsidRPr="00EC1884">
              <w:rPr>
                <w:rStyle w:val="Hyperlink"/>
              </w:rPr>
              <w:t>Assessing investment leakage risk</w:t>
            </w:r>
            <w:r w:rsidR="00B65F9E">
              <w:rPr>
                <w:webHidden/>
              </w:rPr>
              <w:tab/>
            </w:r>
            <w:r w:rsidR="00B65F9E">
              <w:rPr>
                <w:webHidden/>
              </w:rPr>
              <w:fldChar w:fldCharType="begin"/>
            </w:r>
            <w:r w:rsidR="00B65F9E">
              <w:rPr>
                <w:webHidden/>
              </w:rPr>
              <w:instrText xml:space="preserve"> PAGEREF _Toc173997660 \h </w:instrText>
            </w:r>
            <w:r w:rsidR="00B65F9E">
              <w:rPr>
                <w:webHidden/>
              </w:rPr>
            </w:r>
            <w:r w:rsidR="00B65F9E">
              <w:rPr>
                <w:webHidden/>
              </w:rPr>
              <w:fldChar w:fldCharType="separate"/>
            </w:r>
            <w:r w:rsidR="00155E96">
              <w:rPr>
                <w:webHidden/>
              </w:rPr>
              <w:t>37</w:t>
            </w:r>
            <w:r w:rsidR="00B65F9E">
              <w:rPr>
                <w:webHidden/>
              </w:rPr>
              <w:fldChar w:fldCharType="end"/>
            </w:r>
          </w:hyperlink>
        </w:p>
        <w:p w14:paraId="1961143F" w14:textId="4617700A" w:rsidR="00B65F9E" w:rsidRDefault="00171521">
          <w:pPr>
            <w:pStyle w:val="TOC2"/>
            <w:tabs>
              <w:tab w:val="left" w:pos="1100"/>
            </w:tabs>
            <w:rPr>
              <w:rFonts w:eastAsiaTheme="minorEastAsia"/>
              <w:lang w:eastAsia="en-AU"/>
            </w:rPr>
          </w:pPr>
          <w:hyperlink w:anchor="_Toc173997661" w:history="1">
            <w:r w:rsidR="00B65F9E" w:rsidRPr="00EC1884">
              <w:rPr>
                <w:rStyle w:val="Hyperlink"/>
              </w:rPr>
              <w:t>2.6</w:t>
            </w:r>
            <w:r w:rsidR="00B65F9E">
              <w:rPr>
                <w:rFonts w:eastAsiaTheme="minorEastAsia"/>
                <w:lang w:eastAsia="en-AU"/>
              </w:rPr>
              <w:tab/>
            </w:r>
            <w:r w:rsidR="00B65F9E" w:rsidRPr="00EC1884">
              <w:rPr>
                <w:rStyle w:val="Hyperlink"/>
              </w:rPr>
              <w:t>Findings of leakage by commodity</w:t>
            </w:r>
            <w:r w:rsidR="00B65F9E">
              <w:rPr>
                <w:webHidden/>
              </w:rPr>
              <w:tab/>
            </w:r>
            <w:r w:rsidR="00B65F9E">
              <w:rPr>
                <w:webHidden/>
              </w:rPr>
              <w:fldChar w:fldCharType="begin"/>
            </w:r>
            <w:r w:rsidR="00B65F9E">
              <w:rPr>
                <w:webHidden/>
              </w:rPr>
              <w:instrText xml:space="preserve"> PAGEREF _Toc173997661 \h </w:instrText>
            </w:r>
            <w:r w:rsidR="00B65F9E">
              <w:rPr>
                <w:webHidden/>
              </w:rPr>
            </w:r>
            <w:r w:rsidR="00B65F9E">
              <w:rPr>
                <w:webHidden/>
              </w:rPr>
              <w:fldChar w:fldCharType="separate"/>
            </w:r>
            <w:r w:rsidR="00155E96">
              <w:rPr>
                <w:webHidden/>
              </w:rPr>
              <w:t>39</w:t>
            </w:r>
            <w:r w:rsidR="00B65F9E">
              <w:rPr>
                <w:webHidden/>
              </w:rPr>
              <w:fldChar w:fldCharType="end"/>
            </w:r>
          </w:hyperlink>
        </w:p>
        <w:p w14:paraId="3C5282BD" w14:textId="77EA00E3" w:rsidR="00B65F9E" w:rsidRDefault="00171521">
          <w:pPr>
            <w:pStyle w:val="TOC1"/>
            <w:rPr>
              <w:rFonts w:eastAsiaTheme="minorEastAsia"/>
              <w:b w:val="0"/>
              <w:lang w:eastAsia="en-AU"/>
            </w:rPr>
          </w:pPr>
          <w:hyperlink w:anchor="_Toc173997662" w:history="1">
            <w:r w:rsidR="00B65F9E" w:rsidRPr="00EC1884">
              <w:rPr>
                <w:rStyle w:val="Hyperlink"/>
              </w:rPr>
              <w:t>3</w:t>
            </w:r>
            <w:r w:rsidR="00B65F9E">
              <w:rPr>
                <w:rFonts w:eastAsiaTheme="minorEastAsia"/>
                <w:b w:val="0"/>
                <w:lang w:eastAsia="en-AU"/>
              </w:rPr>
              <w:tab/>
            </w:r>
            <w:r w:rsidR="00B65F9E" w:rsidRPr="00EC1884">
              <w:rPr>
                <w:rStyle w:val="Hyperlink"/>
              </w:rPr>
              <w:t>Border carbon adjustment</w:t>
            </w:r>
            <w:r w:rsidR="00B65F9E">
              <w:rPr>
                <w:webHidden/>
              </w:rPr>
              <w:tab/>
            </w:r>
            <w:r w:rsidR="00B65F9E">
              <w:rPr>
                <w:webHidden/>
              </w:rPr>
              <w:fldChar w:fldCharType="begin"/>
            </w:r>
            <w:r w:rsidR="00B65F9E">
              <w:rPr>
                <w:webHidden/>
              </w:rPr>
              <w:instrText xml:space="preserve"> PAGEREF _Toc173997662 \h </w:instrText>
            </w:r>
            <w:r w:rsidR="00B65F9E">
              <w:rPr>
                <w:webHidden/>
              </w:rPr>
            </w:r>
            <w:r w:rsidR="00B65F9E">
              <w:rPr>
                <w:webHidden/>
              </w:rPr>
              <w:fldChar w:fldCharType="separate"/>
            </w:r>
            <w:r w:rsidR="00155E96">
              <w:rPr>
                <w:webHidden/>
              </w:rPr>
              <w:t>57</w:t>
            </w:r>
            <w:r w:rsidR="00B65F9E">
              <w:rPr>
                <w:webHidden/>
              </w:rPr>
              <w:fldChar w:fldCharType="end"/>
            </w:r>
          </w:hyperlink>
        </w:p>
        <w:p w14:paraId="446E5BEF" w14:textId="5BB5A6A9" w:rsidR="00B65F9E" w:rsidRDefault="00171521">
          <w:pPr>
            <w:pStyle w:val="TOC2"/>
            <w:tabs>
              <w:tab w:val="left" w:pos="1100"/>
            </w:tabs>
            <w:rPr>
              <w:rFonts w:eastAsiaTheme="minorEastAsia"/>
              <w:lang w:eastAsia="en-AU"/>
            </w:rPr>
          </w:pPr>
          <w:hyperlink w:anchor="_Toc173997663" w:history="1">
            <w:r w:rsidR="00B65F9E" w:rsidRPr="00EC1884">
              <w:rPr>
                <w:rStyle w:val="Hyperlink"/>
              </w:rPr>
              <w:t>3.1</w:t>
            </w:r>
            <w:r w:rsidR="00B65F9E">
              <w:rPr>
                <w:rFonts w:eastAsiaTheme="minorEastAsia"/>
                <w:lang w:eastAsia="en-AU"/>
              </w:rPr>
              <w:tab/>
            </w:r>
            <w:r w:rsidR="00B65F9E" w:rsidRPr="00EC1884">
              <w:rPr>
                <w:rStyle w:val="Hyperlink"/>
              </w:rPr>
              <w:t>Principles and objectives</w:t>
            </w:r>
            <w:r w:rsidR="00B65F9E">
              <w:rPr>
                <w:webHidden/>
              </w:rPr>
              <w:tab/>
            </w:r>
            <w:r w:rsidR="00B65F9E">
              <w:rPr>
                <w:webHidden/>
              </w:rPr>
              <w:fldChar w:fldCharType="begin"/>
            </w:r>
            <w:r w:rsidR="00B65F9E">
              <w:rPr>
                <w:webHidden/>
              </w:rPr>
              <w:instrText xml:space="preserve"> PAGEREF _Toc173997663 \h </w:instrText>
            </w:r>
            <w:r w:rsidR="00B65F9E">
              <w:rPr>
                <w:webHidden/>
              </w:rPr>
            </w:r>
            <w:r w:rsidR="00B65F9E">
              <w:rPr>
                <w:webHidden/>
              </w:rPr>
              <w:fldChar w:fldCharType="separate"/>
            </w:r>
            <w:r w:rsidR="00155E96">
              <w:rPr>
                <w:webHidden/>
              </w:rPr>
              <w:t>57</w:t>
            </w:r>
            <w:r w:rsidR="00B65F9E">
              <w:rPr>
                <w:webHidden/>
              </w:rPr>
              <w:fldChar w:fldCharType="end"/>
            </w:r>
          </w:hyperlink>
        </w:p>
        <w:p w14:paraId="58C9C068" w14:textId="1CDA7B6D" w:rsidR="00B65F9E" w:rsidRDefault="00171521">
          <w:pPr>
            <w:pStyle w:val="TOC2"/>
            <w:tabs>
              <w:tab w:val="left" w:pos="1100"/>
            </w:tabs>
            <w:rPr>
              <w:rFonts w:eastAsiaTheme="minorEastAsia"/>
              <w:lang w:eastAsia="en-AU"/>
            </w:rPr>
          </w:pPr>
          <w:hyperlink w:anchor="_Toc173997664" w:history="1">
            <w:r w:rsidR="00B65F9E" w:rsidRPr="00EC1884">
              <w:rPr>
                <w:rStyle w:val="Hyperlink"/>
              </w:rPr>
              <w:t>3.2</w:t>
            </w:r>
            <w:r w:rsidR="00B65F9E">
              <w:rPr>
                <w:rFonts w:eastAsiaTheme="minorEastAsia"/>
                <w:lang w:eastAsia="en-AU"/>
              </w:rPr>
              <w:tab/>
            </w:r>
            <w:r w:rsidR="00B65F9E" w:rsidRPr="00EC1884">
              <w:rPr>
                <w:rStyle w:val="Hyperlink"/>
              </w:rPr>
              <w:t>Export border carbon adjustment</w:t>
            </w:r>
            <w:r w:rsidR="00B65F9E">
              <w:rPr>
                <w:webHidden/>
              </w:rPr>
              <w:tab/>
            </w:r>
            <w:r w:rsidR="00B65F9E">
              <w:rPr>
                <w:webHidden/>
              </w:rPr>
              <w:fldChar w:fldCharType="begin"/>
            </w:r>
            <w:r w:rsidR="00B65F9E">
              <w:rPr>
                <w:webHidden/>
              </w:rPr>
              <w:instrText xml:space="preserve"> PAGEREF _Toc173997664 \h </w:instrText>
            </w:r>
            <w:r w:rsidR="00B65F9E">
              <w:rPr>
                <w:webHidden/>
              </w:rPr>
            </w:r>
            <w:r w:rsidR="00B65F9E">
              <w:rPr>
                <w:webHidden/>
              </w:rPr>
              <w:fldChar w:fldCharType="separate"/>
            </w:r>
            <w:r w:rsidR="00155E96">
              <w:rPr>
                <w:webHidden/>
              </w:rPr>
              <w:t>59</w:t>
            </w:r>
            <w:r w:rsidR="00B65F9E">
              <w:rPr>
                <w:webHidden/>
              </w:rPr>
              <w:fldChar w:fldCharType="end"/>
            </w:r>
          </w:hyperlink>
        </w:p>
        <w:p w14:paraId="4EE734CA" w14:textId="7C966AB8" w:rsidR="00B65F9E" w:rsidRDefault="00171521">
          <w:pPr>
            <w:pStyle w:val="TOC2"/>
            <w:tabs>
              <w:tab w:val="left" w:pos="1100"/>
            </w:tabs>
            <w:rPr>
              <w:rFonts w:eastAsiaTheme="minorEastAsia"/>
              <w:lang w:eastAsia="en-AU"/>
            </w:rPr>
          </w:pPr>
          <w:hyperlink w:anchor="_Toc173997665" w:history="1">
            <w:r w:rsidR="00B65F9E" w:rsidRPr="00EC1884">
              <w:rPr>
                <w:rStyle w:val="Hyperlink"/>
              </w:rPr>
              <w:t>3.3</w:t>
            </w:r>
            <w:r w:rsidR="00B65F9E">
              <w:rPr>
                <w:rFonts w:eastAsiaTheme="minorEastAsia"/>
                <w:lang w:eastAsia="en-AU"/>
              </w:rPr>
              <w:tab/>
            </w:r>
            <w:r w:rsidR="00B65F9E" w:rsidRPr="00EC1884">
              <w:rPr>
                <w:rStyle w:val="Hyperlink"/>
              </w:rPr>
              <w:t>Economic effects of a border carbon adjustment</w:t>
            </w:r>
            <w:r w:rsidR="00B65F9E">
              <w:rPr>
                <w:webHidden/>
              </w:rPr>
              <w:tab/>
            </w:r>
            <w:r w:rsidR="00B65F9E">
              <w:rPr>
                <w:webHidden/>
              </w:rPr>
              <w:fldChar w:fldCharType="begin"/>
            </w:r>
            <w:r w:rsidR="00B65F9E">
              <w:rPr>
                <w:webHidden/>
              </w:rPr>
              <w:instrText xml:space="preserve"> PAGEREF _Toc173997665 \h </w:instrText>
            </w:r>
            <w:r w:rsidR="00B65F9E">
              <w:rPr>
                <w:webHidden/>
              </w:rPr>
            </w:r>
            <w:r w:rsidR="00B65F9E">
              <w:rPr>
                <w:webHidden/>
              </w:rPr>
              <w:fldChar w:fldCharType="separate"/>
            </w:r>
            <w:r w:rsidR="00155E96">
              <w:rPr>
                <w:webHidden/>
              </w:rPr>
              <w:t>61</w:t>
            </w:r>
            <w:r w:rsidR="00B65F9E">
              <w:rPr>
                <w:webHidden/>
              </w:rPr>
              <w:fldChar w:fldCharType="end"/>
            </w:r>
          </w:hyperlink>
        </w:p>
        <w:p w14:paraId="16E10F83" w14:textId="7191EF58" w:rsidR="00B65F9E" w:rsidRDefault="00171521">
          <w:pPr>
            <w:pStyle w:val="TOC2"/>
            <w:tabs>
              <w:tab w:val="left" w:pos="1100"/>
            </w:tabs>
            <w:rPr>
              <w:rFonts w:eastAsiaTheme="minorEastAsia"/>
              <w:lang w:eastAsia="en-AU"/>
            </w:rPr>
          </w:pPr>
          <w:hyperlink w:anchor="_Toc173997666" w:history="1">
            <w:r w:rsidR="00B65F9E" w:rsidRPr="00EC1884">
              <w:rPr>
                <w:rStyle w:val="Hyperlink"/>
              </w:rPr>
              <w:t>3.4</w:t>
            </w:r>
            <w:r w:rsidR="00B65F9E">
              <w:rPr>
                <w:rFonts w:eastAsiaTheme="minorEastAsia"/>
                <w:lang w:eastAsia="en-AU"/>
              </w:rPr>
              <w:tab/>
            </w:r>
            <w:r w:rsidR="00B65F9E" w:rsidRPr="00EC1884">
              <w:rPr>
                <w:rStyle w:val="Hyperlink"/>
              </w:rPr>
              <w:t>Sectoral application</w:t>
            </w:r>
            <w:r w:rsidR="00B65F9E">
              <w:rPr>
                <w:webHidden/>
              </w:rPr>
              <w:tab/>
            </w:r>
            <w:r w:rsidR="00B65F9E">
              <w:rPr>
                <w:webHidden/>
              </w:rPr>
              <w:fldChar w:fldCharType="begin"/>
            </w:r>
            <w:r w:rsidR="00B65F9E">
              <w:rPr>
                <w:webHidden/>
              </w:rPr>
              <w:instrText xml:space="preserve"> PAGEREF _Toc173997666 \h </w:instrText>
            </w:r>
            <w:r w:rsidR="00B65F9E">
              <w:rPr>
                <w:webHidden/>
              </w:rPr>
            </w:r>
            <w:r w:rsidR="00B65F9E">
              <w:rPr>
                <w:webHidden/>
              </w:rPr>
              <w:fldChar w:fldCharType="separate"/>
            </w:r>
            <w:r w:rsidR="00155E96">
              <w:rPr>
                <w:webHidden/>
              </w:rPr>
              <w:t>63</w:t>
            </w:r>
            <w:r w:rsidR="00B65F9E">
              <w:rPr>
                <w:webHidden/>
              </w:rPr>
              <w:fldChar w:fldCharType="end"/>
            </w:r>
          </w:hyperlink>
        </w:p>
        <w:p w14:paraId="531CDE2B" w14:textId="0F79AF6C" w:rsidR="00B65F9E" w:rsidRDefault="00171521">
          <w:pPr>
            <w:pStyle w:val="TOC2"/>
            <w:tabs>
              <w:tab w:val="left" w:pos="1100"/>
            </w:tabs>
            <w:rPr>
              <w:rFonts w:eastAsiaTheme="minorEastAsia"/>
              <w:lang w:eastAsia="en-AU"/>
            </w:rPr>
          </w:pPr>
          <w:hyperlink w:anchor="_Toc173997667" w:history="1">
            <w:r w:rsidR="00B65F9E" w:rsidRPr="00EC1884">
              <w:rPr>
                <w:rStyle w:val="Hyperlink"/>
              </w:rPr>
              <w:t>3.5</w:t>
            </w:r>
            <w:r w:rsidR="00B65F9E">
              <w:rPr>
                <w:rFonts w:eastAsiaTheme="minorEastAsia"/>
                <w:lang w:eastAsia="en-AU"/>
              </w:rPr>
              <w:tab/>
            </w:r>
            <w:r w:rsidR="00B65F9E" w:rsidRPr="00EC1884">
              <w:rPr>
                <w:rStyle w:val="Hyperlink"/>
              </w:rPr>
              <w:t>Design considerations</w:t>
            </w:r>
            <w:r w:rsidR="00B65F9E">
              <w:rPr>
                <w:webHidden/>
              </w:rPr>
              <w:tab/>
            </w:r>
            <w:r w:rsidR="00B65F9E">
              <w:rPr>
                <w:webHidden/>
              </w:rPr>
              <w:fldChar w:fldCharType="begin"/>
            </w:r>
            <w:r w:rsidR="00B65F9E">
              <w:rPr>
                <w:webHidden/>
              </w:rPr>
              <w:instrText xml:space="preserve"> PAGEREF _Toc173997667 \h </w:instrText>
            </w:r>
            <w:r w:rsidR="00B65F9E">
              <w:rPr>
                <w:webHidden/>
              </w:rPr>
            </w:r>
            <w:r w:rsidR="00B65F9E">
              <w:rPr>
                <w:webHidden/>
              </w:rPr>
              <w:fldChar w:fldCharType="separate"/>
            </w:r>
            <w:r w:rsidR="00155E96">
              <w:rPr>
                <w:webHidden/>
              </w:rPr>
              <w:t>67</w:t>
            </w:r>
            <w:r w:rsidR="00B65F9E">
              <w:rPr>
                <w:webHidden/>
              </w:rPr>
              <w:fldChar w:fldCharType="end"/>
            </w:r>
          </w:hyperlink>
        </w:p>
        <w:p w14:paraId="1583FFB3" w14:textId="4EC11854" w:rsidR="00B65F9E" w:rsidRDefault="00171521">
          <w:pPr>
            <w:pStyle w:val="TOC1"/>
            <w:rPr>
              <w:rFonts w:eastAsiaTheme="minorEastAsia"/>
              <w:b w:val="0"/>
              <w:lang w:eastAsia="en-AU"/>
            </w:rPr>
          </w:pPr>
          <w:hyperlink w:anchor="_Toc173997669" w:history="1">
            <w:r w:rsidR="00B65F9E" w:rsidRPr="00EC1884">
              <w:rPr>
                <w:rStyle w:val="Hyperlink"/>
              </w:rPr>
              <w:t>4</w:t>
            </w:r>
            <w:r w:rsidR="00B65F9E">
              <w:rPr>
                <w:rFonts w:eastAsiaTheme="minorEastAsia"/>
                <w:b w:val="0"/>
                <w:lang w:eastAsia="en-AU"/>
              </w:rPr>
              <w:tab/>
            </w:r>
            <w:r w:rsidR="00B65F9E" w:rsidRPr="00EC1884">
              <w:rPr>
                <w:rStyle w:val="Hyperlink"/>
              </w:rPr>
              <w:t>Modelling a border carbon adjustment for Australia</w:t>
            </w:r>
            <w:r w:rsidR="00B65F9E">
              <w:rPr>
                <w:webHidden/>
              </w:rPr>
              <w:tab/>
            </w:r>
            <w:r w:rsidR="00B65F9E">
              <w:rPr>
                <w:webHidden/>
              </w:rPr>
              <w:fldChar w:fldCharType="begin"/>
            </w:r>
            <w:r w:rsidR="00B65F9E">
              <w:rPr>
                <w:webHidden/>
              </w:rPr>
              <w:instrText xml:space="preserve"> PAGEREF _Toc173997669 \h </w:instrText>
            </w:r>
            <w:r w:rsidR="00B65F9E">
              <w:rPr>
                <w:webHidden/>
              </w:rPr>
            </w:r>
            <w:r w:rsidR="00B65F9E">
              <w:rPr>
                <w:webHidden/>
              </w:rPr>
              <w:fldChar w:fldCharType="separate"/>
            </w:r>
            <w:r w:rsidR="00155E96">
              <w:rPr>
                <w:webHidden/>
              </w:rPr>
              <w:t>71</w:t>
            </w:r>
            <w:r w:rsidR="00B65F9E">
              <w:rPr>
                <w:webHidden/>
              </w:rPr>
              <w:fldChar w:fldCharType="end"/>
            </w:r>
          </w:hyperlink>
        </w:p>
        <w:p w14:paraId="03F534F9" w14:textId="06715B0E" w:rsidR="00B65F9E" w:rsidRDefault="00171521">
          <w:pPr>
            <w:pStyle w:val="TOC2"/>
            <w:tabs>
              <w:tab w:val="left" w:pos="1100"/>
            </w:tabs>
            <w:rPr>
              <w:rFonts w:eastAsiaTheme="minorEastAsia"/>
              <w:lang w:eastAsia="en-AU"/>
            </w:rPr>
          </w:pPr>
          <w:hyperlink w:anchor="_Toc173997670" w:history="1">
            <w:r w:rsidR="00B65F9E" w:rsidRPr="00EC1884">
              <w:rPr>
                <w:rStyle w:val="Hyperlink"/>
              </w:rPr>
              <w:t>4.1</w:t>
            </w:r>
            <w:r w:rsidR="00B65F9E">
              <w:rPr>
                <w:rFonts w:eastAsiaTheme="minorEastAsia"/>
                <w:lang w:eastAsia="en-AU"/>
              </w:rPr>
              <w:tab/>
            </w:r>
            <w:r w:rsidR="00B65F9E" w:rsidRPr="00EC1884">
              <w:rPr>
                <w:rStyle w:val="Hyperlink"/>
              </w:rPr>
              <w:t>Potential border carbon adjustment scenario options</w:t>
            </w:r>
            <w:r w:rsidR="00B65F9E">
              <w:rPr>
                <w:webHidden/>
              </w:rPr>
              <w:tab/>
            </w:r>
            <w:r w:rsidR="00B65F9E">
              <w:rPr>
                <w:webHidden/>
              </w:rPr>
              <w:fldChar w:fldCharType="begin"/>
            </w:r>
            <w:r w:rsidR="00B65F9E">
              <w:rPr>
                <w:webHidden/>
              </w:rPr>
              <w:instrText xml:space="preserve"> PAGEREF _Toc173997670 \h </w:instrText>
            </w:r>
            <w:r w:rsidR="00B65F9E">
              <w:rPr>
                <w:webHidden/>
              </w:rPr>
            </w:r>
            <w:r w:rsidR="00B65F9E">
              <w:rPr>
                <w:webHidden/>
              </w:rPr>
              <w:fldChar w:fldCharType="separate"/>
            </w:r>
            <w:r w:rsidR="00155E96">
              <w:rPr>
                <w:webHidden/>
              </w:rPr>
              <w:t>72</w:t>
            </w:r>
            <w:r w:rsidR="00B65F9E">
              <w:rPr>
                <w:webHidden/>
              </w:rPr>
              <w:fldChar w:fldCharType="end"/>
            </w:r>
          </w:hyperlink>
        </w:p>
        <w:p w14:paraId="70FDD7BF" w14:textId="43A13003" w:rsidR="00B65F9E" w:rsidRDefault="00171521">
          <w:pPr>
            <w:pStyle w:val="TOC2"/>
            <w:tabs>
              <w:tab w:val="left" w:pos="1100"/>
            </w:tabs>
            <w:rPr>
              <w:rFonts w:eastAsiaTheme="minorEastAsia"/>
              <w:lang w:eastAsia="en-AU"/>
            </w:rPr>
          </w:pPr>
          <w:hyperlink w:anchor="_Toc173997671" w:history="1">
            <w:r w:rsidR="00B65F9E" w:rsidRPr="00EC1884">
              <w:rPr>
                <w:rStyle w:val="Hyperlink"/>
              </w:rPr>
              <w:t>4.2</w:t>
            </w:r>
            <w:r w:rsidR="00B65F9E">
              <w:rPr>
                <w:rFonts w:eastAsiaTheme="minorEastAsia"/>
                <w:lang w:eastAsia="en-AU"/>
              </w:rPr>
              <w:tab/>
            </w:r>
            <w:r w:rsidR="00B65F9E" w:rsidRPr="00EC1884">
              <w:rPr>
                <w:rStyle w:val="Hyperlink"/>
              </w:rPr>
              <w:t>Potential macroeconomic impacts</w:t>
            </w:r>
            <w:r w:rsidR="00B65F9E">
              <w:rPr>
                <w:webHidden/>
              </w:rPr>
              <w:tab/>
            </w:r>
            <w:r w:rsidR="00B65F9E">
              <w:rPr>
                <w:webHidden/>
              </w:rPr>
              <w:fldChar w:fldCharType="begin"/>
            </w:r>
            <w:r w:rsidR="00B65F9E">
              <w:rPr>
                <w:webHidden/>
              </w:rPr>
              <w:instrText xml:space="preserve"> PAGEREF _Toc173997671 \h </w:instrText>
            </w:r>
            <w:r w:rsidR="00B65F9E">
              <w:rPr>
                <w:webHidden/>
              </w:rPr>
            </w:r>
            <w:r w:rsidR="00B65F9E">
              <w:rPr>
                <w:webHidden/>
              </w:rPr>
              <w:fldChar w:fldCharType="separate"/>
            </w:r>
            <w:r w:rsidR="00155E96">
              <w:rPr>
                <w:webHidden/>
              </w:rPr>
              <w:t>73</w:t>
            </w:r>
            <w:r w:rsidR="00B65F9E">
              <w:rPr>
                <w:webHidden/>
              </w:rPr>
              <w:fldChar w:fldCharType="end"/>
            </w:r>
          </w:hyperlink>
        </w:p>
        <w:p w14:paraId="554AA96E" w14:textId="54D28B09" w:rsidR="00B65F9E" w:rsidRDefault="00171521">
          <w:pPr>
            <w:pStyle w:val="TOC2"/>
            <w:tabs>
              <w:tab w:val="left" w:pos="1100"/>
            </w:tabs>
            <w:rPr>
              <w:rFonts w:eastAsiaTheme="minorEastAsia"/>
              <w:lang w:eastAsia="en-AU"/>
            </w:rPr>
          </w:pPr>
          <w:hyperlink w:anchor="_Toc173997672" w:history="1">
            <w:r w:rsidR="00B65F9E" w:rsidRPr="00EC1884">
              <w:rPr>
                <w:rStyle w:val="Hyperlink"/>
              </w:rPr>
              <w:t>4.3</w:t>
            </w:r>
            <w:r w:rsidR="00B65F9E">
              <w:rPr>
                <w:rFonts w:eastAsiaTheme="minorEastAsia"/>
                <w:lang w:eastAsia="en-AU"/>
              </w:rPr>
              <w:tab/>
            </w:r>
            <w:r w:rsidR="00B65F9E" w:rsidRPr="00EC1884">
              <w:rPr>
                <w:rStyle w:val="Hyperlink"/>
              </w:rPr>
              <w:t>Potential industry impacts</w:t>
            </w:r>
            <w:r w:rsidR="00B65F9E">
              <w:rPr>
                <w:webHidden/>
              </w:rPr>
              <w:tab/>
            </w:r>
            <w:r w:rsidR="00B65F9E">
              <w:rPr>
                <w:webHidden/>
              </w:rPr>
              <w:fldChar w:fldCharType="begin"/>
            </w:r>
            <w:r w:rsidR="00B65F9E">
              <w:rPr>
                <w:webHidden/>
              </w:rPr>
              <w:instrText xml:space="preserve"> PAGEREF _Toc173997672 \h </w:instrText>
            </w:r>
            <w:r w:rsidR="00B65F9E">
              <w:rPr>
                <w:webHidden/>
              </w:rPr>
            </w:r>
            <w:r w:rsidR="00B65F9E">
              <w:rPr>
                <w:webHidden/>
              </w:rPr>
              <w:fldChar w:fldCharType="separate"/>
            </w:r>
            <w:r w:rsidR="00155E96">
              <w:rPr>
                <w:webHidden/>
              </w:rPr>
              <w:t>73</w:t>
            </w:r>
            <w:r w:rsidR="00B65F9E">
              <w:rPr>
                <w:webHidden/>
              </w:rPr>
              <w:fldChar w:fldCharType="end"/>
            </w:r>
          </w:hyperlink>
        </w:p>
        <w:p w14:paraId="2C52C24B" w14:textId="48AE59DF" w:rsidR="00B65F9E" w:rsidRDefault="00171521">
          <w:pPr>
            <w:pStyle w:val="TOC2"/>
            <w:tabs>
              <w:tab w:val="left" w:pos="1100"/>
            </w:tabs>
            <w:rPr>
              <w:rFonts w:eastAsiaTheme="minorEastAsia"/>
              <w:lang w:eastAsia="en-AU"/>
            </w:rPr>
          </w:pPr>
          <w:hyperlink w:anchor="_Toc173997673" w:history="1">
            <w:r w:rsidR="00B65F9E" w:rsidRPr="00EC1884">
              <w:rPr>
                <w:rStyle w:val="Hyperlink"/>
              </w:rPr>
              <w:t>4.4</w:t>
            </w:r>
            <w:r w:rsidR="00B65F9E">
              <w:rPr>
                <w:rFonts w:eastAsiaTheme="minorEastAsia"/>
                <w:lang w:eastAsia="en-AU"/>
              </w:rPr>
              <w:tab/>
            </w:r>
            <w:r w:rsidR="00B65F9E" w:rsidRPr="00EC1884">
              <w:rPr>
                <w:rStyle w:val="Hyperlink"/>
              </w:rPr>
              <w:t>Potential effects on Australia’s trade partners</w:t>
            </w:r>
            <w:r w:rsidR="00B65F9E">
              <w:rPr>
                <w:webHidden/>
              </w:rPr>
              <w:tab/>
            </w:r>
            <w:r w:rsidR="00B65F9E">
              <w:rPr>
                <w:webHidden/>
              </w:rPr>
              <w:fldChar w:fldCharType="begin"/>
            </w:r>
            <w:r w:rsidR="00B65F9E">
              <w:rPr>
                <w:webHidden/>
              </w:rPr>
              <w:instrText xml:space="preserve"> PAGEREF _Toc173997673 \h </w:instrText>
            </w:r>
            <w:r w:rsidR="00B65F9E">
              <w:rPr>
                <w:webHidden/>
              </w:rPr>
            </w:r>
            <w:r w:rsidR="00B65F9E">
              <w:rPr>
                <w:webHidden/>
              </w:rPr>
              <w:fldChar w:fldCharType="separate"/>
            </w:r>
            <w:r w:rsidR="00155E96">
              <w:rPr>
                <w:webHidden/>
              </w:rPr>
              <w:t>74</w:t>
            </w:r>
            <w:r w:rsidR="00B65F9E">
              <w:rPr>
                <w:webHidden/>
              </w:rPr>
              <w:fldChar w:fldCharType="end"/>
            </w:r>
          </w:hyperlink>
        </w:p>
        <w:p w14:paraId="7DF48F35" w14:textId="088D734B" w:rsidR="00B65F9E" w:rsidRDefault="00171521" w:rsidP="00B65F9E">
          <w:pPr>
            <w:pStyle w:val="TOC2"/>
            <w:tabs>
              <w:tab w:val="left" w:pos="1100"/>
            </w:tabs>
            <w:ind w:left="1134" w:hanging="709"/>
            <w:rPr>
              <w:rFonts w:eastAsiaTheme="minorEastAsia"/>
              <w:lang w:eastAsia="en-AU"/>
            </w:rPr>
          </w:pPr>
          <w:hyperlink w:anchor="_Toc173997674" w:history="1">
            <w:r w:rsidR="00B65F9E" w:rsidRPr="00EC1884">
              <w:rPr>
                <w:rStyle w:val="Hyperlink"/>
              </w:rPr>
              <w:t>4.5</w:t>
            </w:r>
            <w:r w:rsidR="00B65F9E">
              <w:rPr>
                <w:rFonts w:eastAsiaTheme="minorEastAsia"/>
                <w:lang w:eastAsia="en-AU"/>
              </w:rPr>
              <w:tab/>
            </w:r>
            <w:r w:rsidR="00B65F9E" w:rsidRPr="00EC1884">
              <w:rPr>
                <w:rStyle w:val="Hyperlink"/>
              </w:rPr>
              <w:t>Impacts of a border carbon adjustment on downstream industry and final commodity prices</w:t>
            </w:r>
            <w:r w:rsidR="00B65F9E">
              <w:rPr>
                <w:webHidden/>
              </w:rPr>
              <w:tab/>
            </w:r>
            <w:r w:rsidR="00B65F9E">
              <w:rPr>
                <w:webHidden/>
              </w:rPr>
              <w:fldChar w:fldCharType="begin"/>
            </w:r>
            <w:r w:rsidR="00B65F9E">
              <w:rPr>
                <w:webHidden/>
              </w:rPr>
              <w:instrText xml:space="preserve"> PAGEREF _Toc173997674 \h </w:instrText>
            </w:r>
            <w:r w:rsidR="00B65F9E">
              <w:rPr>
                <w:webHidden/>
              </w:rPr>
            </w:r>
            <w:r w:rsidR="00B65F9E">
              <w:rPr>
                <w:webHidden/>
              </w:rPr>
              <w:fldChar w:fldCharType="separate"/>
            </w:r>
            <w:r w:rsidR="00155E96">
              <w:rPr>
                <w:webHidden/>
              </w:rPr>
              <w:t>75</w:t>
            </w:r>
            <w:r w:rsidR="00B65F9E">
              <w:rPr>
                <w:webHidden/>
              </w:rPr>
              <w:fldChar w:fldCharType="end"/>
            </w:r>
          </w:hyperlink>
        </w:p>
        <w:p w14:paraId="2A26EDE6" w14:textId="736B1AA0" w:rsidR="00B65F9E" w:rsidRDefault="00171521">
          <w:pPr>
            <w:pStyle w:val="TOC1"/>
            <w:rPr>
              <w:rFonts w:eastAsiaTheme="minorEastAsia"/>
              <w:b w:val="0"/>
              <w:lang w:eastAsia="en-AU"/>
            </w:rPr>
          </w:pPr>
          <w:hyperlink w:anchor="_Toc173997675" w:history="1">
            <w:r w:rsidR="00B65F9E" w:rsidRPr="00EC1884">
              <w:rPr>
                <w:rStyle w:val="Hyperlink"/>
              </w:rPr>
              <w:t>5</w:t>
            </w:r>
            <w:r w:rsidR="00B65F9E">
              <w:rPr>
                <w:rFonts w:eastAsiaTheme="minorEastAsia"/>
                <w:b w:val="0"/>
                <w:lang w:eastAsia="en-AU"/>
              </w:rPr>
              <w:tab/>
            </w:r>
            <w:r w:rsidR="00B65F9E" w:rsidRPr="00EC1884">
              <w:rPr>
                <w:rStyle w:val="Hyperlink"/>
              </w:rPr>
              <w:t>Mandatory emissions product standards</w:t>
            </w:r>
            <w:r w:rsidR="00B65F9E">
              <w:rPr>
                <w:webHidden/>
              </w:rPr>
              <w:tab/>
            </w:r>
            <w:r w:rsidR="00B65F9E">
              <w:rPr>
                <w:webHidden/>
              </w:rPr>
              <w:fldChar w:fldCharType="begin"/>
            </w:r>
            <w:r w:rsidR="00B65F9E">
              <w:rPr>
                <w:webHidden/>
              </w:rPr>
              <w:instrText xml:space="preserve"> PAGEREF _Toc173997675 \h </w:instrText>
            </w:r>
            <w:r w:rsidR="00B65F9E">
              <w:rPr>
                <w:webHidden/>
              </w:rPr>
            </w:r>
            <w:r w:rsidR="00B65F9E">
              <w:rPr>
                <w:webHidden/>
              </w:rPr>
              <w:fldChar w:fldCharType="separate"/>
            </w:r>
            <w:r w:rsidR="00155E96">
              <w:rPr>
                <w:webHidden/>
              </w:rPr>
              <w:t>79</w:t>
            </w:r>
            <w:r w:rsidR="00B65F9E">
              <w:rPr>
                <w:webHidden/>
              </w:rPr>
              <w:fldChar w:fldCharType="end"/>
            </w:r>
          </w:hyperlink>
        </w:p>
        <w:p w14:paraId="32815DF5" w14:textId="09DF9BDC" w:rsidR="00B65F9E" w:rsidRDefault="00171521">
          <w:pPr>
            <w:pStyle w:val="TOC1"/>
            <w:rPr>
              <w:rFonts w:eastAsiaTheme="minorEastAsia"/>
              <w:b w:val="0"/>
              <w:lang w:eastAsia="en-AU"/>
            </w:rPr>
          </w:pPr>
          <w:hyperlink w:anchor="_Toc173997676" w:history="1">
            <w:r w:rsidR="00B65F9E" w:rsidRPr="00EC1884">
              <w:rPr>
                <w:rStyle w:val="Hyperlink"/>
              </w:rPr>
              <w:t>6</w:t>
            </w:r>
            <w:r w:rsidR="00B65F9E">
              <w:rPr>
                <w:rFonts w:eastAsiaTheme="minorEastAsia"/>
                <w:b w:val="0"/>
                <w:lang w:eastAsia="en-AU"/>
              </w:rPr>
              <w:tab/>
            </w:r>
            <w:r w:rsidR="00B65F9E" w:rsidRPr="00EC1884">
              <w:rPr>
                <w:rStyle w:val="Hyperlink"/>
              </w:rPr>
              <w:t>Multilateral and plurilateral initiatives</w:t>
            </w:r>
            <w:r w:rsidR="00B65F9E">
              <w:rPr>
                <w:webHidden/>
              </w:rPr>
              <w:tab/>
            </w:r>
            <w:r w:rsidR="00B65F9E">
              <w:rPr>
                <w:webHidden/>
              </w:rPr>
              <w:fldChar w:fldCharType="begin"/>
            </w:r>
            <w:r w:rsidR="00B65F9E">
              <w:rPr>
                <w:webHidden/>
              </w:rPr>
              <w:instrText xml:space="preserve"> PAGEREF _Toc173997676 \h </w:instrText>
            </w:r>
            <w:r w:rsidR="00B65F9E">
              <w:rPr>
                <w:webHidden/>
              </w:rPr>
            </w:r>
            <w:r w:rsidR="00B65F9E">
              <w:rPr>
                <w:webHidden/>
              </w:rPr>
              <w:fldChar w:fldCharType="separate"/>
            </w:r>
            <w:r w:rsidR="00155E96">
              <w:rPr>
                <w:webHidden/>
              </w:rPr>
              <w:t>82</w:t>
            </w:r>
            <w:r w:rsidR="00B65F9E">
              <w:rPr>
                <w:webHidden/>
              </w:rPr>
              <w:fldChar w:fldCharType="end"/>
            </w:r>
          </w:hyperlink>
        </w:p>
        <w:p w14:paraId="27FE4BD5" w14:textId="3B0F8401" w:rsidR="00B65F9E" w:rsidRDefault="00171521">
          <w:pPr>
            <w:pStyle w:val="TOC2"/>
            <w:tabs>
              <w:tab w:val="left" w:pos="1100"/>
            </w:tabs>
            <w:rPr>
              <w:rFonts w:eastAsiaTheme="minorEastAsia"/>
              <w:lang w:eastAsia="en-AU"/>
            </w:rPr>
          </w:pPr>
          <w:hyperlink w:anchor="_Toc173997677" w:history="1">
            <w:r w:rsidR="00B65F9E" w:rsidRPr="00EC1884">
              <w:rPr>
                <w:rStyle w:val="Hyperlink"/>
                <w:lang w:val="en-GB"/>
              </w:rPr>
              <w:t>6.1</w:t>
            </w:r>
            <w:r w:rsidR="00B65F9E">
              <w:rPr>
                <w:rFonts w:eastAsiaTheme="minorEastAsia"/>
                <w:lang w:eastAsia="en-AU"/>
              </w:rPr>
              <w:tab/>
            </w:r>
            <w:r w:rsidR="00B65F9E" w:rsidRPr="00EC1884">
              <w:rPr>
                <w:rStyle w:val="Hyperlink"/>
              </w:rPr>
              <w:t>Enhanced g</w:t>
            </w:r>
            <w:r w:rsidR="00B65F9E" w:rsidRPr="00EC1884">
              <w:rPr>
                <w:rStyle w:val="Hyperlink"/>
                <w:lang w:val="en-GB"/>
              </w:rPr>
              <w:t>lobal climate ambition</w:t>
            </w:r>
            <w:r w:rsidR="00B65F9E">
              <w:rPr>
                <w:webHidden/>
              </w:rPr>
              <w:tab/>
            </w:r>
            <w:r w:rsidR="00B65F9E">
              <w:rPr>
                <w:webHidden/>
              </w:rPr>
              <w:fldChar w:fldCharType="begin"/>
            </w:r>
            <w:r w:rsidR="00B65F9E">
              <w:rPr>
                <w:webHidden/>
              </w:rPr>
              <w:instrText xml:space="preserve"> PAGEREF _Toc173997677 \h </w:instrText>
            </w:r>
            <w:r w:rsidR="00B65F9E">
              <w:rPr>
                <w:webHidden/>
              </w:rPr>
            </w:r>
            <w:r w:rsidR="00B65F9E">
              <w:rPr>
                <w:webHidden/>
              </w:rPr>
              <w:fldChar w:fldCharType="separate"/>
            </w:r>
            <w:r w:rsidR="00155E96">
              <w:rPr>
                <w:webHidden/>
              </w:rPr>
              <w:t>83</w:t>
            </w:r>
            <w:r w:rsidR="00B65F9E">
              <w:rPr>
                <w:webHidden/>
              </w:rPr>
              <w:fldChar w:fldCharType="end"/>
            </w:r>
          </w:hyperlink>
        </w:p>
        <w:p w14:paraId="61AFFD53" w14:textId="2E4D6B19" w:rsidR="00B65F9E" w:rsidRDefault="00171521">
          <w:pPr>
            <w:pStyle w:val="TOC2"/>
            <w:tabs>
              <w:tab w:val="left" w:pos="1100"/>
            </w:tabs>
            <w:rPr>
              <w:rFonts w:eastAsiaTheme="minorEastAsia"/>
              <w:lang w:eastAsia="en-AU"/>
            </w:rPr>
          </w:pPr>
          <w:hyperlink w:anchor="_Toc173997678" w:history="1">
            <w:r w:rsidR="00B65F9E" w:rsidRPr="00EC1884">
              <w:rPr>
                <w:rStyle w:val="Hyperlink"/>
                <w:lang w:val="en-GB"/>
              </w:rPr>
              <w:t>6.2</w:t>
            </w:r>
            <w:r w:rsidR="00B65F9E">
              <w:rPr>
                <w:rFonts w:eastAsiaTheme="minorEastAsia"/>
                <w:lang w:eastAsia="en-AU"/>
              </w:rPr>
              <w:tab/>
            </w:r>
            <w:r w:rsidR="00B65F9E" w:rsidRPr="00EC1884">
              <w:rPr>
                <w:rStyle w:val="Hyperlink"/>
              </w:rPr>
              <w:t xml:space="preserve">International </w:t>
            </w:r>
            <w:r w:rsidR="00B65F9E" w:rsidRPr="00EC1884">
              <w:rPr>
                <w:rStyle w:val="Hyperlink"/>
                <w:lang w:val="en-GB"/>
              </w:rPr>
              <w:t>solutions developed through multilateral and plurilateral initiatives</w:t>
            </w:r>
            <w:r w:rsidR="00B65F9E">
              <w:rPr>
                <w:webHidden/>
              </w:rPr>
              <w:tab/>
            </w:r>
            <w:r w:rsidR="00B65F9E">
              <w:rPr>
                <w:webHidden/>
              </w:rPr>
              <w:fldChar w:fldCharType="begin"/>
            </w:r>
            <w:r w:rsidR="00B65F9E">
              <w:rPr>
                <w:webHidden/>
              </w:rPr>
              <w:instrText xml:space="preserve"> PAGEREF _Toc173997678 \h </w:instrText>
            </w:r>
            <w:r w:rsidR="00B65F9E">
              <w:rPr>
                <w:webHidden/>
              </w:rPr>
            </w:r>
            <w:r w:rsidR="00B65F9E">
              <w:rPr>
                <w:webHidden/>
              </w:rPr>
              <w:fldChar w:fldCharType="separate"/>
            </w:r>
            <w:r w:rsidR="00155E96">
              <w:rPr>
                <w:webHidden/>
              </w:rPr>
              <w:t>83</w:t>
            </w:r>
            <w:r w:rsidR="00B65F9E">
              <w:rPr>
                <w:webHidden/>
              </w:rPr>
              <w:fldChar w:fldCharType="end"/>
            </w:r>
          </w:hyperlink>
        </w:p>
        <w:p w14:paraId="379635EA" w14:textId="39B5A247" w:rsidR="00B65F9E" w:rsidRDefault="00171521">
          <w:pPr>
            <w:pStyle w:val="TOC2"/>
            <w:tabs>
              <w:tab w:val="left" w:pos="1100"/>
            </w:tabs>
            <w:rPr>
              <w:rFonts w:eastAsiaTheme="minorEastAsia"/>
              <w:lang w:eastAsia="en-AU"/>
            </w:rPr>
          </w:pPr>
          <w:hyperlink w:anchor="_Toc173997679" w:history="1">
            <w:r w:rsidR="00B65F9E" w:rsidRPr="00EC1884">
              <w:rPr>
                <w:rStyle w:val="Hyperlink"/>
                <w:lang w:val="en-GB"/>
              </w:rPr>
              <w:t>6.3</w:t>
            </w:r>
            <w:r w:rsidR="00B65F9E">
              <w:rPr>
                <w:rFonts w:eastAsiaTheme="minorEastAsia"/>
                <w:lang w:eastAsia="en-AU"/>
              </w:rPr>
              <w:tab/>
            </w:r>
            <w:r w:rsidR="00B65F9E" w:rsidRPr="00EC1884">
              <w:rPr>
                <w:rStyle w:val="Hyperlink"/>
              </w:rPr>
              <w:t xml:space="preserve">Multilateral and plurilateral </w:t>
            </w:r>
            <w:r w:rsidR="00B65F9E" w:rsidRPr="00EC1884">
              <w:rPr>
                <w:rStyle w:val="Hyperlink"/>
                <w:lang w:val="en-GB"/>
              </w:rPr>
              <w:t>cooperation to support domestic policy implementation</w:t>
            </w:r>
            <w:r w:rsidR="00B65F9E">
              <w:rPr>
                <w:webHidden/>
              </w:rPr>
              <w:tab/>
            </w:r>
            <w:r w:rsidR="00B65F9E">
              <w:rPr>
                <w:webHidden/>
              </w:rPr>
              <w:fldChar w:fldCharType="begin"/>
            </w:r>
            <w:r w:rsidR="00B65F9E">
              <w:rPr>
                <w:webHidden/>
              </w:rPr>
              <w:instrText xml:space="preserve"> PAGEREF _Toc173997679 \h </w:instrText>
            </w:r>
            <w:r w:rsidR="00B65F9E">
              <w:rPr>
                <w:webHidden/>
              </w:rPr>
            </w:r>
            <w:r w:rsidR="00B65F9E">
              <w:rPr>
                <w:webHidden/>
              </w:rPr>
              <w:fldChar w:fldCharType="separate"/>
            </w:r>
            <w:r w:rsidR="00155E96">
              <w:rPr>
                <w:webHidden/>
              </w:rPr>
              <w:t>84</w:t>
            </w:r>
            <w:r w:rsidR="00B65F9E">
              <w:rPr>
                <w:webHidden/>
              </w:rPr>
              <w:fldChar w:fldCharType="end"/>
            </w:r>
          </w:hyperlink>
        </w:p>
        <w:p w14:paraId="189F26E8" w14:textId="31FC5B5B" w:rsidR="00B65F9E" w:rsidRDefault="00171521">
          <w:pPr>
            <w:pStyle w:val="TOC1"/>
            <w:rPr>
              <w:rFonts w:eastAsiaTheme="minorEastAsia"/>
              <w:b w:val="0"/>
              <w:lang w:eastAsia="en-AU"/>
            </w:rPr>
          </w:pPr>
          <w:hyperlink w:anchor="_Toc173997680" w:history="1">
            <w:r w:rsidR="00B65F9E" w:rsidRPr="00EC1884">
              <w:rPr>
                <w:rStyle w:val="Hyperlink"/>
              </w:rPr>
              <w:t>Acronyms</w:t>
            </w:r>
            <w:r w:rsidR="00B65F9E">
              <w:rPr>
                <w:webHidden/>
              </w:rPr>
              <w:tab/>
            </w:r>
            <w:r w:rsidR="00B65F9E">
              <w:rPr>
                <w:webHidden/>
              </w:rPr>
              <w:fldChar w:fldCharType="begin"/>
            </w:r>
            <w:r w:rsidR="00B65F9E">
              <w:rPr>
                <w:webHidden/>
              </w:rPr>
              <w:instrText xml:space="preserve"> PAGEREF _Toc173997680 \h </w:instrText>
            </w:r>
            <w:r w:rsidR="00B65F9E">
              <w:rPr>
                <w:webHidden/>
              </w:rPr>
            </w:r>
            <w:r w:rsidR="00B65F9E">
              <w:rPr>
                <w:webHidden/>
              </w:rPr>
              <w:fldChar w:fldCharType="separate"/>
            </w:r>
            <w:r w:rsidR="00155E96">
              <w:rPr>
                <w:webHidden/>
              </w:rPr>
              <w:t>86</w:t>
            </w:r>
            <w:r w:rsidR="00B65F9E">
              <w:rPr>
                <w:webHidden/>
              </w:rPr>
              <w:fldChar w:fldCharType="end"/>
            </w:r>
          </w:hyperlink>
        </w:p>
        <w:p w14:paraId="2CA43E0A" w14:textId="55F60350" w:rsidR="00B65F9E" w:rsidRDefault="00171521">
          <w:pPr>
            <w:pStyle w:val="TOC1"/>
            <w:rPr>
              <w:rFonts w:eastAsiaTheme="minorEastAsia"/>
              <w:b w:val="0"/>
              <w:lang w:eastAsia="en-AU"/>
            </w:rPr>
          </w:pPr>
          <w:hyperlink w:anchor="_Toc173997681" w:history="1">
            <w:r w:rsidR="00B65F9E" w:rsidRPr="00EC1884">
              <w:rPr>
                <w:rStyle w:val="Hyperlink"/>
              </w:rPr>
              <w:t>Appendix: Design considerations for a border carbon adjustment</w:t>
            </w:r>
            <w:r w:rsidR="00B65F9E">
              <w:rPr>
                <w:webHidden/>
              </w:rPr>
              <w:tab/>
            </w:r>
            <w:r w:rsidR="00B65F9E">
              <w:rPr>
                <w:webHidden/>
              </w:rPr>
              <w:fldChar w:fldCharType="begin"/>
            </w:r>
            <w:r w:rsidR="00B65F9E">
              <w:rPr>
                <w:webHidden/>
              </w:rPr>
              <w:instrText xml:space="preserve"> PAGEREF _Toc173997681 \h </w:instrText>
            </w:r>
            <w:r w:rsidR="00B65F9E">
              <w:rPr>
                <w:webHidden/>
              </w:rPr>
            </w:r>
            <w:r w:rsidR="00B65F9E">
              <w:rPr>
                <w:webHidden/>
              </w:rPr>
              <w:fldChar w:fldCharType="separate"/>
            </w:r>
            <w:r w:rsidR="00155E96">
              <w:rPr>
                <w:webHidden/>
              </w:rPr>
              <w:t>87</w:t>
            </w:r>
            <w:r w:rsidR="00B65F9E">
              <w:rPr>
                <w:webHidden/>
              </w:rPr>
              <w:fldChar w:fldCharType="end"/>
            </w:r>
          </w:hyperlink>
        </w:p>
        <w:p w14:paraId="0D39A404" w14:textId="1E81072A" w:rsidR="00C401EF" w:rsidRPr="004E70CE" w:rsidRDefault="00E91D72" w:rsidP="005C32D9">
          <w:pPr>
            <w:spacing w:after="80"/>
          </w:pPr>
          <w:r w:rsidRPr="004E70CE">
            <w:rPr>
              <w:b/>
              <w:noProof/>
            </w:rPr>
            <w:fldChar w:fldCharType="end"/>
          </w:r>
        </w:p>
      </w:sdtContent>
    </w:sdt>
    <w:p w14:paraId="7755E0DA" w14:textId="77777777" w:rsidR="00C401EF" w:rsidRPr="004E70CE" w:rsidRDefault="00C401EF" w:rsidP="0095312D"/>
    <w:p w14:paraId="349FFC43" w14:textId="77777777" w:rsidR="00C401EF" w:rsidRPr="004E70CE" w:rsidRDefault="00C401EF" w:rsidP="0095312D"/>
    <w:p w14:paraId="789D73EC" w14:textId="77777777" w:rsidR="00C401EF" w:rsidRPr="004E70CE" w:rsidRDefault="00C401EF" w:rsidP="0095312D"/>
    <w:p w14:paraId="4B751FEB" w14:textId="77777777" w:rsidR="00C401EF" w:rsidRPr="004E70CE" w:rsidRDefault="00C401EF" w:rsidP="0095312D"/>
    <w:p w14:paraId="67564586" w14:textId="77777777" w:rsidR="00C401EF" w:rsidRPr="004E70CE" w:rsidRDefault="00C401EF" w:rsidP="0095312D"/>
    <w:p w14:paraId="73B606A2" w14:textId="77777777" w:rsidR="00C401EF" w:rsidRPr="004E70CE" w:rsidRDefault="00C401EF" w:rsidP="0095312D"/>
    <w:p w14:paraId="292976B4" w14:textId="77777777" w:rsidR="00C401EF" w:rsidRPr="004E70CE" w:rsidRDefault="00C401EF" w:rsidP="00C401EF"/>
    <w:p w14:paraId="36BBA8FD" w14:textId="77777777" w:rsidR="00764D6A" w:rsidRPr="004E70CE" w:rsidRDefault="00C401EF" w:rsidP="0095312D">
      <w:pPr>
        <w:tabs>
          <w:tab w:val="left" w:pos="2655"/>
        </w:tabs>
      </w:pPr>
      <w:r w:rsidRPr="004E70CE">
        <w:tab/>
        <w:t>This page is left blank intentionally</w:t>
      </w:r>
    </w:p>
    <w:p w14:paraId="584EC455" w14:textId="77777777" w:rsidR="00EF79E0" w:rsidRPr="004E70CE" w:rsidRDefault="00EF79E0" w:rsidP="003C296C">
      <w:pPr>
        <w:pStyle w:val="Heading2"/>
        <w:numPr>
          <w:ilvl w:val="0"/>
          <w:numId w:val="0"/>
        </w:numPr>
        <w:spacing w:after="200" w:line="276" w:lineRule="auto"/>
        <w:ind w:left="720" w:hanging="720"/>
      </w:pPr>
      <w:bookmarkStart w:id="1" w:name="_Toc166871076"/>
      <w:bookmarkStart w:id="2" w:name="_Toc173997649"/>
      <w:r w:rsidRPr="004E70CE">
        <w:lastRenderedPageBreak/>
        <w:t>Executive Summary</w:t>
      </w:r>
      <w:bookmarkEnd w:id="1"/>
      <w:bookmarkEnd w:id="2"/>
    </w:p>
    <w:p w14:paraId="60CEC339" w14:textId="77777777" w:rsidR="00AD6ADF" w:rsidRPr="004E70CE" w:rsidRDefault="00AD6ADF" w:rsidP="003C296C">
      <w:pPr>
        <w:rPr>
          <w:lang w:eastAsia="ja-JP"/>
        </w:rPr>
      </w:pPr>
      <w:r w:rsidRPr="004E70CE">
        <w:rPr>
          <w:lang w:eastAsia="ja-JP"/>
        </w:rPr>
        <w:t>This paper is the second consultation paper issued by Australia’s Carbon Leakage Review</w:t>
      </w:r>
      <w:r w:rsidR="00864229" w:rsidRPr="004E70CE">
        <w:rPr>
          <w:lang w:eastAsia="ja-JP"/>
        </w:rPr>
        <w:t xml:space="preserve"> (the Review)</w:t>
      </w:r>
      <w:r w:rsidRPr="004E70CE">
        <w:rPr>
          <w:lang w:eastAsia="ja-JP"/>
        </w:rPr>
        <w:t>, following a first paper and consultation process in November</w:t>
      </w:r>
      <w:r w:rsidR="00AD2768" w:rsidRPr="004E70CE">
        <w:rPr>
          <w:lang w:eastAsia="ja-JP"/>
        </w:rPr>
        <w:t xml:space="preserve"> to </w:t>
      </w:r>
      <w:r w:rsidRPr="004E70CE">
        <w:rPr>
          <w:lang w:eastAsia="ja-JP"/>
        </w:rPr>
        <w:t>December 2023. It details the Review’s analysis</w:t>
      </w:r>
      <w:r w:rsidR="00050C6E" w:rsidRPr="004E70CE">
        <w:rPr>
          <w:lang w:eastAsia="ja-JP"/>
        </w:rPr>
        <w:t xml:space="preserve"> to date</w:t>
      </w:r>
      <w:r w:rsidRPr="004E70CE">
        <w:rPr>
          <w:lang w:eastAsia="ja-JP"/>
        </w:rPr>
        <w:t xml:space="preserve"> on </w:t>
      </w:r>
      <w:r w:rsidR="00A366B5" w:rsidRPr="004E70CE">
        <w:rPr>
          <w:lang w:eastAsia="ja-JP"/>
        </w:rPr>
        <w:t xml:space="preserve">potential </w:t>
      </w:r>
      <w:r w:rsidRPr="004E70CE">
        <w:rPr>
          <w:lang w:eastAsia="ja-JP"/>
        </w:rPr>
        <w:t>future carbon leakage risks</w:t>
      </w:r>
      <w:r w:rsidR="00782FAD" w:rsidRPr="004E70CE">
        <w:rPr>
          <w:lang w:eastAsia="ja-JP"/>
        </w:rPr>
        <w:t xml:space="preserve"> (</w:t>
      </w:r>
      <w:r w:rsidRPr="004E70CE">
        <w:rPr>
          <w:lang w:eastAsia="ja-JP"/>
        </w:rPr>
        <w:t>including materiality of such risk for individual commodities</w:t>
      </w:r>
      <w:r w:rsidR="00782FAD" w:rsidRPr="004E70CE">
        <w:rPr>
          <w:lang w:eastAsia="ja-JP"/>
        </w:rPr>
        <w:t>);</w:t>
      </w:r>
      <w:r w:rsidR="008367C5" w:rsidRPr="004E70CE">
        <w:rPr>
          <w:lang w:eastAsia="ja-JP"/>
        </w:rPr>
        <w:t xml:space="preserve"> assesses </w:t>
      </w:r>
      <w:r w:rsidRPr="004E70CE">
        <w:rPr>
          <w:lang w:eastAsia="ja-JP"/>
        </w:rPr>
        <w:t>different possible policy approaches to address leakage risks</w:t>
      </w:r>
      <w:r w:rsidR="00782FAD" w:rsidRPr="004E70CE">
        <w:rPr>
          <w:lang w:eastAsia="ja-JP"/>
        </w:rPr>
        <w:t>;</w:t>
      </w:r>
      <w:r w:rsidRPr="004E70CE">
        <w:rPr>
          <w:lang w:eastAsia="ja-JP"/>
        </w:rPr>
        <w:t xml:space="preserve"> </w:t>
      </w:r>
      <w:r w:rsidR="06D73E21" w:rsidRPr="004E70CE">
        <w:rPr>
          <w:lang w:eastAsia="ja-JP"/>
        </w:rPr>
        <w:t>and addresses</w:t>
      </w:r>
      <w:r w:rsidR="00162D36" w:rsidRPr="004E70CE">
        <w:rPr>
          <w:lang w:eastAsia="ja-JP"/>
        </w:rPr>
        <w:t xml:space="preserve"> </w:t>
      </w:r>
      <w:r w:rsidRPr="004E70CE">
        <w:rPr>
          <w:lang w:eastAsia="ja-JP"/>
        </w:rPr>
        <w:t xml:space="preserve">feasibility </w:t>
      </w:r>
      <w:r w:rsidR="0054546D" w:rsidRPr="004E70CE">
        <w:rPr>
          <w:lang w:eastAsia="ja-JP"/>
        </w:rPr>
        <w:t xml:space="preserve">and potential impacts of </w:t>
      </w:r>
      <w:r w:rsidRPr="004E70CE">
        <w:rPr>
          <w:lang w:eastAsia="ja-JP"/>
        </w:rPr>
        <w:t>border carbon adjustment</w:t>
      </w:r>
      <w:r w:rsidR="065E5944" w:rsidRPr="004E70CE">
        <w:rPr>
          <w:lang w:eastAsia="ja-JP"/>
        </w:rPr>
        <w:t>s.</w:t>
      </w:r>
    </w:p>
    <w:p w14:paraId="77245372" w14:textId="2AB7DC5E" w:rsidR="00AD6ADF" w:rsidRPr="004E70CE" w:rsidRDefault="00AD6ADF" w:rsidP="003C296C">
      <w:pPr>
        <w:rPr>
          <w:lang w:eastAsia="ja-JP"/>
        </w:rPr>
      </w:pPr>
      <w:r w:rsidRPr="004E70CE">
        <w:rPr>
          <w:lang w:eastAsia="ja-JP"/>
        </w:rPr>
        <w:t xml:space="preserve">The paper </w:t>
      </w:r>
      <w:r w:rsidR="00D975C3" w:rsidRPr="004E70CE">
        <w:rPr>
          <w:lang w:eastAsia="ja-JP"/>
        </w:rPr>
        <w:t>sets</w:t>
      </w:r>
      <w:r w:rsidRPr="004E70CE">
        <w:rPr>
          <w:lang w:eastAsia="ja-JP"/>
        </w:rPr>
        <w:t xml:space="preserve"> out preliminary findings to inform further stakeholder input ahead of the Review’s recommendations to </w:t>
      </w:r>
      <w:r w:rsidR="009424BA" w:rsidRPr="004E70CE">
        <w:rPr>
          <w:lang w:eastAsia="ja-JP"/>
        </w:rPr>
        <w:t>government</w:t>
      </w:r>
      <w:r w:rsidRPr="004E70CE">
        <w:rPr>
          <w:lang w:eastAsia="ja-JP"/>
        </w:rPr>
        <w:t xml:space="preserve"> by </w:t>
      </w:r>
      <w:r w:rsidR="00C258EF" w:rsidRPr="004E70CE">
        <w:rPr>
          <w:lang w:eastAsia="ja-JP"/>
        </w:rPr>
        <w:t xml:space="preserve">the </w:t>
      </w:r>
      <w:r w:rsidRPr="004E70CE">
        <w:rPr>
          <w:lang w:eastAsia="ja-JP"/>
        </w:rPr>
        <w:t>end of 202</w:t>
      </w:r>
      <w:r w:rsidR="006A45A1" w:rsidRPr="004E70CE">
        <w:rPr>
          <w:lang w:eastAsia="ja-JP"/>
        </w:rPr>
        <w:t>4</w:t>
      </w:r>
      <w:r w:rsidRPr="004E70CE">
        <w:rPr>
          <w:lang w:eastAsia="ja-JP"/>
        </w:rPr>
        <w:t>.</w:t>
      </w:r>
      <w:r w:rsidR="00D049E0" w:rsidRPr="004E70CE">
        <w:rPr>
          <w:lang w:eastAsia="ja-JP"/>
        </w:rPr>
        <w:t xml:space="preserve"> </w:t>
      </w:r>
      <w:r w:rsidR="00050C6E" w:rsidRPr="004E70CE">
        <w:rPr>
          <w:lang w:eastAsia="ja-JP"/>
        </w:rPr>
        <w:t xml:space="preserve">The Review’s preliminary findings have not yet been considered by government and do not reflect government policy on the matters being reviewed. </w:t>
      </w:r>
    </w:p>
    <w:p w14:paraId="47A23247" w14:textId="77777777" w:rsidR="00AD6ADF" w:rsidRPr="004E70CE" w:rsidRDefault="00AD6ADF" w:rsidP="003C296C">
      <w:pPr>
        <w:rPr>
          <w:lang w:eastAsia="ja-JP"/>
        </w:rPr>
      </w:pPr>
      <w:r w:rsidRPr="004E70CE">
        <w:rPr>
          <w:lang w:eastAsia="ja-JP"/>
        </w:rPr>
        <w:t>The Review’s work is guided by the following principles</w:t>
      </w:r>
      <w:r w:rsidR="00C258EF" w:rsidRPr="004E70CE">
        <w:rPr>
          <w:lang w:eastAsia="ja-JP"/>
        </w:rPr>
        <w:t>.</w:t>
      </w:r>
    </w:p>
    <w:p w14:paraId="346F9CFE" w14:textId="4610B715" w:rsidR="00AD6ADF" w:rsidRPr="004E70CE" w:rsidRDefault="00AD6ADF" w:rsidP="003C296C">
      <w:pPr>
        <w:rPr>
          <w:lang w:eastAsia="ja-JP"/>
        </w:rPr>
      </w:pPr>
      <w:r w:rsidRPr="004E70CE">
        <w:rPr>
          <w:lang w:eastAsia="ja-JP"/>
        </w:rPr>
        <w:t xml:space="preserve">First, </w:t>
      </w:r>
      <w:r w:rsidR="015E4811" w:rsidRPr="004E70CE">
        <w:rPr>
          <w:lang w:eastAsia="ja-JP"/>
        </w:rPr>
        <w:t xml:space="preserve">the overall goal is </w:t>
      </w:r>
      <w:r w:rsidR="0ED0EF16" w:rsidRPr="004E70CE">
        <w:rPr>
          <w:lang w:eastAsia="ja-JP"/>
        </w:rPr>
        <w:t xml:space="preserve">a policy framework that promotes </w:t>
      </w:r>
      <w:r w:rsidR="015E4811" w:rsidRPr="004E70CE">
        <w:rPr>
          <w:lang w:eastAsia="ja-JP"/>
        </w:rPr>
        <w:t xml:space="preserve">economically efficient </w:t>
      </w:r>
      <w:r w:rsidR="48A2F77F" w:rsidRPr="004E70CE">
        <w:rPr>
          <w:lang w:eastAsia="ja-JP"/>
        </w:rPr>
        <w:t>low and zero</w:t>
      </w:r>
      <w:r w:rsidR="00C258EF" w:rsidRPr="004E70CE">
        <w:rPr>
          <w:lang w:eastAsia="ja-JP"/>
        </w:rPr>
        <w:t xml:space="preserve"> </w:t>
      </w:r>
      <w:r w:rsidR="48A2F77F" w:rsidRPr="004E70CE">
        <w:rPr>
          <w:lang w:eastAsia="ja-JP"/>
        </w:rPr>
        <w:t>emissions industrial production</w:t>
      </w:r>
      <w:r w:rsidR="2994FDAC" w:rsidRPr="004E70CE">
        <w:rPr>
          <w:lang w:eastAsia="ja-JP"/>
        </w:rPr>
        <w:t xml:space="preserve"> as a </w:t>
      </w:r>
      <w:r w:rsidR="001643C8" w:rsidRPr="004E70CE">
        <w:rPr>
          <w:lang w:eastAsia="ja-JP"/>
        </w:rPr>
        <w:t>contribution</w:t>
      </w:r>
      <w:r w:rsidR="2994FDAC" w:rsidRPr="004E70CE">
        <w:rPr>
          <w:lang w:eastAsia="ja-JP"/>
        </w:rPr>
        <w:t xml:space="preserve"> to climate change objectives</w:t>
      </w:r>
      <w:r w:rsidR="48A2F77F" w:rsidRPr="004E70CE">
        <w:rPr>
          <w:lang w:eastAsia="ja-JP"/>
        </w:rPr>
        <w:t xml:space="preserve">. A </w:t>
      </w:r>
      <w:r w:rsidR="015E4811" w:rsidRPr="004E70CE">
        <w:rPr>
          <w:lang w:eastAsia="ja-JP"/>
        </w:rPr>
        <w:t>durable market-based system to incentivi</w:t>
      </w:r>
      <w:r w:rsidR="00D40B64" w:rsidRPr="004E70CE">
        <w:rPr>
          <w:lang w:eastAsia="ja-JP"/>
        </w:rPr>
        <w:t>s</w:t>
      </w:r>
      <w:r w:rsidR="015E4811" w:rsidRPr="004E70CE">
        <w:rPr>
          <w:lang w:eastAsia="ja-JP"/>
        </w:rPr>
        <w:t xml:space="preserve">e </w:t>
      </w:r>
      <w:r w:rsidR="2E49C54B" w:rsidRPr="004E70CE">
        <w:rPr>
          <w:lang w:eastAsia="ja-JP"/>
        </w:rPr>
        <w:t xml:space="preserve">investments in </w:t>
      </w:r>
      <w:r w:rsidR="015E4811" w:rsidRPr="004E70CE">
        <w:rPr>
          <w:lang w:eastAsia="ja-JP"/>
        </w:rPr>
        <w:t>low and zero</w:t>
      </w:r>
      <w:r w:rsidR="00C258EF" w:rsidRPr="004E70CE">
        <w:rPr>
          <w:lang w:eastAsia="ja-JP"/>
        </w:rPr>
        <w:t xml:space="preserve"> </w:t>
      </w:r>
      <w:r w:rsidR="015E4811" w:rsidRPr="004E70CE">
        <w:rPr>
          <w:lang w:eastAsia="ja-JP"/>
        </w:rPr>
        <w:t xml:space="preserve">emissions industries </w:t>
      </w:r>
      <w:r w:rsidR="00AA1E77" w:rsidRPr="004E70CE">
        <w:rPr>
          <w:lang w:eastAsia="ja-JP"/>
        </w:rPr>
        <w:t>is</w:t>
      </w:r>
      <w:r w:rsidR="00274622" w:rsidRPr="004E70CE">
        <w:rPr>
          <w:lang w:eastAsia="ja-JP"/>
        </w:rPr>
        <w:t xml:space="preserve"> important to this.</w:t>
      </w:r>
      <w:r w:rsidR="7BB3A4CE" w:rsidRPr="004E70CE">
        <w:rPr>
          <w:lang w:eastAsia="ja-JP"/>
        </w:rPr>
        <w:t xml:space="preserve"> </w:t>
      </w:r>
    </w:p>
    <w:p w14:paraId="38E695E3" w14:textId="41ACB4B2" w:rsidR="002E2300" w:rsidRPr="004E70CE" w:rsidRDefault="002E2300" w:rsidP="003C296C">
      <w:pPr>
        <w:rPr>
          <w:lang w:eastAsia="ja-JP"/>
        </w:rPr>
      </w:pPr>
      <w:r w:rsidRPr="004E70CE">
        <w:rPr>
          <w:lang w:eastAsia="ja-JP"/>
        </w:rPr>
        <w:t xml:space="preserve">Consequently, the Review </w:t>
      </w:r>
      <w:r w:rsidR="00446F4C" w:rsidRPr="004E70CE">
        <w:rPr>
          <w:lang w:eastAsia="ja-JP"/>
        </w:rPr>
        <w:t>focuses on</w:t>
      </w:r>
      <w:r w:rsidRPr="004E70CE">
        <w:rPr>
          <w:lang w:eastAsia="ja-JP"/>
        </w:rPr>
        <w:t xml:space="preserve"> carbon leakage solely in terms of shifts in industrial production due to differences in climate change policy between countries. Other objectives such as supply chain security and regional economic prosperity are </w:t>
      </w:r>
      <w:r w:rsidR="41D0F52D" w:rsidRPr="004E70CE">
        <w:rPr>
          <w:lang w:eastAsia="ja-JP"/>
        </w:rPr>
        <w:t>the domain of</w:t>
      </w:r>
      <w:r w:rsidRPr="004E70CE">
        <w:rPr>
          <w:lang w:eastAsia="ja-JP"/>
        </w:rPr>
        <w:t xml:space="preserve"> other policy </w:t>
      </w:r>
      <w:r w:rsidR="00D975C3" w:rsidRPr="004E70CE">
        <w:rPr>
          <w:lang w:eastAsia="ja-JP"/>
        </w:rPr>
        <w:t>spheres</w:t>
      </w:r>
      <w:r w:rsidR="00446F4C" w:rsidRPr="004E70CE">
        <w:rPr>
          <w:lang w:eastAsia="ja-JP"/>
        </w:rPr>
        <w:t xml:space="preserve"> and initiatives</w:t>
      </w:r>
      <w:r w:rsidRPr="004E70CE">
        <w:rPr>
          <w:lang w:eastAsia="ja-JP"/>
        </w:rPr>
        <w:t>.</w:t>
      </w:r>
    </w:p>
    <w:p w14:paraId="01110899" w14:textId="18EC3094" w:rsidR="00AD6ADF" w:rsidRPr="004E70CE" w:rsidRDefault="00DF109F" w:rsidP="003C296C">
      <w:pPr>
        <w:rPr>
          <w:lang w:eastAsia="ja-JP"/>
        </w:rPr>
      </w:pPr>
      <w:r w:rsidRPr="004E70CE">
        <w:rPr>
          <w:lang w:eastAsia="ja-JP"/>
        </w:rPr>
        <w:t xml:space="preserve">The Review </w:t>
      </w:r>
      <w:r w:rsidR="0B464293" w:rsidRPr="004E70CE">
        <w:rPr>
          <w:lang w:eastAsia="ja-JP"/>
        </w:rPr>
        <w:t>aims to identify durable</w:t>
      </w:r>
      <w:r w:rsidRPr="004E70CE">
        <w:rPr>
          <w:lang w:eastAsia="ja-JP"/>
        </w:rPr>
        <w:t xml:space="preserve"> policy </w:t>
      </w:r>
      <w:r w:rsidR="0F7A1C26" w:rsidRPr="004E70CE">
        <w:rPr>
          <w:lang w:eastAsia="ja-JP"/>
        </w:rPr>
        <w:t>approaches</w:t>
      </w:r>
      <w:r w:rsidRPr="004E70CE">
        <w:rPr>
          <w:lang w:eastAsia="ja-JP"/>
        </w:rPr>
        <w:t xml:space="preserve">, recognising that carbon leakage risk may change over time. </w:t>
      </w:r>
    </w:p>
    <w:p w14:paraId="058394FA" w14:textId="199CE350" w:rsidR="00AD6ADF" w:rsidRPr="004E70CE" w:rsidRDefault="01DA2399" w:rsidP="003C296C">
      <w:pPr>
        <w:rPr>
          <w:lang w:eastAsia="ja-JP"/>
        </w:rPr>
      </w:pPr>
      <w:r w:rsidRPr="004E70CE">
        <w:rPr>
          <w:lang w:eastAsia="ja-JP"/>
        </w:rPr>
        <w:t>Second, the Review places emphasis on the global transition to a low or zero</w:t>
      </w:r>
      <w:r w:rsidR="00FF7837" w:rsidRPr="004E70CE">
        <w:rPr>
          <w:lang w:eastAsia="ja-JP"/>
        </w:rPr>
        <w:t xml:space="preserve"> </w:t>
      </w:r>
      <w:r w:rsidRPr="004E70CE">
        <w:rPr>
          <w:lang w:eastAsia="ja-JP"/>
        </w:rPr>
        <w:t>emissions industry sector and Australia</w:t>
      </w:r>
      <w:r w:rsidR="00AA1E77" w:rsidRPr="004E70CE">
        <w:rPr>
          <w:lang w:eastAsia="ja-JP"/>
        </w:rPr>
        <w:t>’</w:t>
      </w:r>
      <w:r w:rsidR="3308B723" w:rsidRPr="004E70CE">
        <w:rPr>
          <w:lang w:eastAsia="ja-JP"/>
        </w:rPr>
        <w:t>s opportunity</w:t>
      </w:r>
      <w:r w:rsidRPr="004E70CE">
        <w:rPr>
          <w:lang w:eastAsia="ja-JP"/>
        </w:rPr>
        <w:t xml:space="preserve"> to become a major producer and exporter of clean energy and industrial commodities in a net</w:t>
      </w:r>
      <w:r w:rsidR="00FF7837" w:rsidRPr="004E70CE">
        <w:rPr>
          <w:lang w:eastAsia="ja-JP"/>
        </w:rPr>
        <w:t xml:space="preserve"> </w:t>
      </w:r>
      <w:r w:rsidRPr="004E70CE">
        <w:rPr>
          <w:lang w:eastAsia="ja-JP"/>
        </w:rPr>
        <w:t>zero world economy.</w:t>
      </w:r>
      <w:r w:rsidR="2A634CF1" w:rsidRPr="004E70CE">
        <w:rPr>
          <w:lang w:eastAsia="ja-JP"/>
        </w:rPr>
        <w:t xml:space="preserve"> Policy frameworks that provide market premiums for </w:t>
      </w:r>
      <w:r w:rsidR="00C24923" w:rsidRPr="004E70CE">
        <w:rPr>
          <w:lang w:eastAsia="ja-JP"/>
        </w:rPr>
        <w:t>low</w:t>
      </w:r>
      <w:r w:rsidR="00D213AD">
        <w:rPr>
          <w:lang w:eastAsia="ja-JP"/>
        </w:rPr>
        <w:t xml:space="preserve"> </w:t>
      </w:r>
      <w:r w:rsidR="00C24923" w:rsidRPr="004E70CE">
        <w:rPr>
          <w:lang w:eastAsia="ja-JP"/>
        </w:rPr>
        <w:t>emissions</w:t>
      </w:r>
      <w:r w:rsidR="2A634CF1" w:rsidRPr="004E70CE">
        <w:rPr>
          <w:lang w:eastAsia="ja-JP"/>
        </w:rPr>
        <w:t xml:space="preserve"> products</w:t>
      </w:r>
      <w:r w:rsidR="6506B5CB" w:rsidRPr="004E70CE">
        <w:rPr>
          <w:lang w:eastAsia="ja-JP"/>
        </w:rPr>
        <w:t>,</w:t>
      </w:r>
      <w:r w:rsidR="2A634CF1" w:rsidRPr="004E70CE">
        <w:rPr>
          <w:lang w:eastAsia="ja-JP"/>
        </w:rPr>
        <w:t xml:space="preserve"> </w:t>
      </w:r>
      <w:r w:rsidR="6506B5CB" w:rsidRPr="004E70CE">
        <w:rPr>
          <w:lang w:eastAsia="ja-JP"/>
        </w:rPr>
        <w:t>including for traded goods,</w:t>
      </w:r>
      <w:r w:rsidR="2A634CF1" w:rsidRPr="004E70CE">
        <w:rPr>
          <w:lang w:eastAsia="ja-JP"/>
        </w:rPr>
        <w:t xml:space="preserve"> </w:t>
      </w:r>
      <w:r w:rsidR="00446F4C" w:rsidRPr="004E70CE">
        <w:rPr>
          <w:lang w:eastAsia="ja-JP"/>
        </w:rPr>
        <w:t>can contribute</w:t>
      </w:r>
      <w:r w:rsidR="2A634CF1" w:rsidRPr="004E70CE">
        <w:rPr>
          <w:lang w:eastAsia="ja-JP"/>
        </w:rPr>
        <w:t xml:space="preserve"> to this goal.</w:t>
      </w:r>
    </w:p>
    <w:p w14:paraId="23F6E190" w14:textId="432BEC06" w:rsidR="00AD6ADF" w:rsidRPr="004E70CE" w:rsidRDefault="01DA2399" w:rsidP="003C296C">
      <w:pPr>
        <w:rPr>
          <w:lang w:eastAsia="ja-JP"/>
        </w:rPr>
      </w:pPr>
      <w:r w:rsidRPr="004E70CE">
        <w:rPr>
          <w:lang w:eastAsia="ja-JP"/>
        </w:rPr>
        <w:t xml:space="preserve">In this context, addressing carbon leakage </w:t>
      </w:r>
      <w:r w:rsidR="49903E93" w:rsidRPr="004E70CE">
        <w:rPr>
          <w:lang w:eastAsia="ja-JP"/>
        </w:rPr>
        <w:t xml:space="preserve">means </w:t>
      </w:r>
      <w:r w:rsidR="00446F4C" w:rsidRPr="004E70CE">
        <w:rPr>
          <w:lang w:eastAsia="ja-JP"/>
        </w:rPr>
        <w:t xml:space="preserve">helping </w:t>
      </w:r>
      <w:r w:rsidR="49903E93" w:rsidRPr="004E70CE">
        <w:rPr>
          <w:lang w:eastAsia="ja-JP"/>
        </w:rPr>
        <w:t>creat</w:t>
      </w:r>
      <w:r w:rsidR="00446F4C" w:rsidRPr="004E70CE">
        <w:rPr>
          <w:lang w:eastAsia="ja-JP"/>
        </w:rPr>
        <w:t>e</w:t>
      </w:r>
      <w:r w:rsidRPr="004E70CE">
        <w:rPr>
          <w:lang w:eastAsia="ja-JP"/>
        </w:rPr>
        <w:t xml:space="preserve"> the preconditions for investment in new low</w:t>
      </w:r>
      <w:r w:rsidR="00340C51" w:rsidRPr="004E70CE">
        <w:rPr>
          <w:lang w:eastAsia="ja-JP"/>
        </w:rPr>
        <w:t xml:space="preserve"> </w:t>
      </w:r>
      <w:r w:rsidRPr="004E70CE">
        <w:rPr>
          <w:lang w:eastAsia="ja-JP"/>
        </w:rPr>
        <w:t>emissions industrial structures in the most suitable locations, rather than shielding existing high emissions processes from change.</w:t>
      </w:r>
    </w:p>
    <w:p w14:paraId="51380CC3" w14:textId="38785B29" w:rsidR="00AD6ADF" w:rsidRPr="004E70CE" w:rsidRDefault="00AD6ADF" w:rsidP="003C296C">
      <w:pPr>
        <w:rPr>
          <w:lang w:eastAsia="ja-JP"/>
        </w:rPr>
      </w:pPr>
      <w:r w:rsidRPr="004E70CE">
        <w:rPr>
          <w:lang w:eastAsia="ja-JP"/>
        </w:rPr>
        <w:t xml:space="preserve">Third, the Review places </w:t>
      </w:r>
      <w:r w:rsidR="74909D8F" w:rsidRPr="004E70CE">
        <w:rPr>
          <w:lang w:eastAsia="ja-JP"/>
        </w:rPr>
        <w:t>importance</w:t>
      </w:r>
      <w:r w:rsidRPr="004E70CE">
        <w:rPr>
          <w:lang w:eastAsia="ja-JP"/>
        </w:rPr>
        <w:t xml:space="preserve"> on </w:t>
      </w:r>
      <w:r w:rsidR="00DE334D" w:rsidRPr="004E70CE">
        <w:rPr>
          <w:lang w:eastAsia="ja-JP"/>
        </w:rPr>
        <w:t xml:space="preserve">the international </w:t>
      </w:r>
      <w:r w:rsidRPr="004E70CE">
        <w:rPr>
          <w:lang w:eastAsia="ja-JP"/>
        </w:rPr>
        <w:t>rules-based trad</w:t>
      </w:r>
      <w:r w:rsidR="00DE334D" w:rsidRPr="004E70CE">
        <w:rPr>
          <w:lang w:eastAsia="ja-JP"/>
        </w:rPr>
        <w:t>ing</w:t>
      </w:r>
      <w:r w:rsidRPr="004E70CE">
        <w:rPr>
          <w:lang w:eastAsia="ja-JP"/>
        </w:rPr>
        <w:t xml:space="preserve"> </w:t>
      </w:r>
      <w:r w:rsidR="00DE334D" w:rsidRPr="004E70CE">
        <w:rPr>
          <w:lang w:eastAsia="ja-JP"/>
        </w:rPr>
        <w:t>system</w:t>
      </w:r>
      <w:r w:rsidR="005C7FE1" w:rsidRPr="004E70CE">
        <w:rPr>
          <w:lang w:eastAsia="ja-JP"/>
        </w:rPr>
        <w:t xml:space="preserve"> and on maintaining open </w:t>
      </w:r>
      <w:r w:rsidR="00DE334D" w:rsidRPr="004E70CE">
        <w:rPr>
          <w:lang w:eastAsia="ja-JP"/>
        </w:rPr>
        <w:t xml:space="preserve">and liberal </w:t>
      </w:r>
      <w:r w:rsidR="005C7FE1" w:rsidRPr="004E70CE">
        <w:rPr>
          <w:lang w:eastAsia="ja-JP"/>
        </w:rPr>
        <w:t>trade relationships</w:t>
      </w:r>
      <w:r w:rsidR="00966D77" w:rsidRPr="004E70CE">
        <w:rPr>
          <w:lang w:eastAsia="ja-JP"/>
        </w:rPr>
        <w:t>,</w:t>
      </w:r>
      <w:r w:rsidR="005C7FE1" w:rsidRPr="004E70CE">
        <w:rPr>
          <w:lang w:eastAsia="ja-JP"/>
        </w:rPr>
        <w:t xml:space="preserve"> especially in the region</w:t>
      </w:r>
      <w:r w:rsidRPr="004E70CE">
        <w:rPr>
          <w:lang w:eastAsia="ja-JP"/>
        </w:rPr>
        <w:t xml:space="preserve">. Australia’s economic prosperity </w:t>
      </w:r>
      <w:r w:rsidR="00446F4C" w:rsidRPr="004E70CE">
        <w:rPr>
          <w:lang w:eastAsia="ja-JP"/>
        </w:rPr>
        <w:t>has been enhanced by</w:t>
      </w:r>
      <w:r w:rsidRPr="004E70CE">
        <w:rPr>
          <w:lang w:eastAsia="ja-JP"/>
        </w:rPr>
        <w:t xml:space="preserve"> open trade, and </w:t>
      </w:r>
      <w:r w:rsidR="00446F4C" w:rsidRPr="004E70CE">
        <w:rPr>
          <w:lang w:eastAsia="ja-JP"/>
        </w:rPr>
        <w:t xml:space="preserve">strong </w:t>
      </w:r>
      <w:r w:rsidRPr="004E70CE">
        <w:rPr>
          <w:lang w:eastAsia="ja-JP"/>
        </w:rPr>
        <w:t>trade relations will be vital to achieve net</w:t>
      </w:r>
      <w:r w:rsidR="00966D77" w:rsidRPr="004E70CE">
        <w:rPr>
          <w:lang w:eastAsia="ja-JP"/>
        </w:rPr>
        <w:t xml:space="preserve"> </w:t>
      </w:r>
      <w:r w:rsidRPr="004E70CE">
        <w:rPr>
          <w:lang w:eastAsia="ja-JP"/>
        </w:rPr>
        <w:t>zero emissions in Australia and globally.</w:t>
      </w:r>
    </w:p>
    <w:p w14:paraId="6E4E7F46" w14:textId="77777777" w:rsidR="00AD6ADF" w:rsidRPr="004E70CE" w:rsidRDefault="00AD6ADF" w:rsidP="003C296C">
      <w:pPr>
        <w:rPr>
          <w:lang w:eastAsia="ja-JP"/>
        </w:rPr>
      </w:pPr>
      <w:r w:rsidRPr="004E70CE">
        <w:rPr>
          <w:lang w:eastAsia="ja-JP"/>
        </w:rPr>
        <w:t xml:space="preserve">In this regard, the Review seeks to </w:t>
      </w:r>
      <w:r w:rsidR="005C7FE1" w:rsidRPr="004E70CE">
        <w:rPr>
          <w:lang w:eastAsia="ja-JP"/>
        </w:rPr>
        <w:t>identify</w:t>
      </w:r>
      <w:r w:rsidRPr="004E70CE">
        <w:rPr>
          <w:lang w:eastAsia="ja-JP"/>
        </w:rPr>
        <w:t xml:space="preserve"> ways in which a</w:t>
      </w:r>
      <w:r w:rsidR="00E22C80" w:rsidRPr="004E70CE">
        <w:rPr>
          <w:lang w:eastAsia="ja-JP"/>
        </w:rPr>
        <w:t>ny</w:t>
      </w:r>
      <w:r w:rsidRPr="004E70CE">
        <w:rPr>
          <w:lang w:eastAsia="ja-JP"/>
        </w:rPr>
        <w:t xml:space="preserve"> potential future </w:t>
      </w:r>
      <w:r w:rsidR="00297BEA" w:rsidRPr="004E70CE">
        <w:rPr>
          <w:lang w:eastAsia="ja-JP"/>
        </w:rPr>
        <w:t>measures</w:t>
      </w:r>
      <w:r w:rsidR="00E22C80" w:rsidRPr="004E70CE">
        <w:rPr>
          <w:lang w:eastAsia="ja-JP"/>
        </w:rPr>
        <w:t xml:space="preserve"> to address carbon leakage, including a</w:t>
      </w:r>
      <w:r w:rsidR="00446F4C" w:rsidRPr="004E70CE">
        <w:rPr>
          <w:lang w:eastAsia="ja-JP"/>
        </w:rPr>
        <w:t>ny potential</w:t>
      </w:r>
      <w:r w:rsidR="00E22C80" w:rsidRPr="004E70CE">
        <w:rPr>
          <w:lang w:eastAsia="ja-JP"/>
        </w:rPr>
        <w:t xml:space="preserve"> </w:t>
      </w:r>
      <w:r w:rsidRPr="004E70CE">
        <w:rPr>
          <w:lang w:eastAsia="ja-JP"/>
        </w:rPr>
        <w:t>border carbon adjustment</w:t>
      </w:r>
      <w:r w:rsidR="00E22C80" w:rsidRPr="004E70CE">
        <w:rPr>
          <w:lang w:eastAsia="ja-JP"/>
        </w:rPr>
        <w:t xml:space="preserve">, </w:t>
      </w:r>
      <w:r w:rsidR="00963D33" w:rsidRPr="004E70CE">
        <w:rPr>
          <w:lang w:eastAsia="ja-JP"/>
        </w:rPr>
        <w:t>respect</w:t>
      </w:r>
      <w:r w:rsidR="00A53334" w:rsidRPr="004E70CE">
        <w:rPr>
          <w:lang w:eastAsia="ja-JP"/>
        </w:rPr>
        <w:t xml:space="preserve"> international trade </w:t>
      </w:r>
      <w:r w:rsidRPr="004E70CE">
        <w:rPr>
          <w:lang w:eastAsia="ja-JP"/>
        </w:rPr>
        <w:t>rules and obligations</w:t>
      </w:r>
      <w:r w:rsidR="005C7FE1" w:rsidRPr="004E70CE">
        <w:rPr>
          <w:lang w:eastAsia="ja-JP"/>
        </w:rPr>
        <w:t>,</w:t>
      </w:r>
      <w:r w:rsidRPr="004E70CE">
        <w:rPr>
          <w:lang w:eastAsia="ja-JP"/>
        </w:rPr>
        <w:t xml:space="preserve"> facilitate trade that is consistent with climate change policy objectives</w:t>
      </w:r>
      <w:r w:rsidR="005C7FE1" w:rsidRPr="004E70CE">
        <w:rPr>
          <w:lang w:eastAsia="ja-JP"/>
        </w:rPr>
        <w:t xml:space="preserve">, and </w:t>
      </w:r>
      <w:r w:rsidR="009D0C08" w:rsidRPr="004E70CE">
        <w:rPr>
          <w:lang w:eastAsia="ja-JP"/>
        </w:rPr>
        <w:t>could</w:t>
      </w:r>
      <w:r w:rsidR="005C7FE1" w:rsidRPr="004E70CE">
        <w:rPr>
          <w:lang w:eastAsia="ja-JP"/>
        </w:rPr>
        <w:t xml:space="preserve"> </w:t>
      </w:r>
      <w:r w:rsidR="00DB09DE" w:rsidRPr="004E70CE">
        <w:rPr>
          <w:lang w:eastAsia="ja-JP"/>
        </w:rPr>
        <w:t xml:space="preserve">be </w:t>
      </w:r>
      <w:r w:rsidR="005C7FE1" w:rsidRPr="004E70CE">
        <w:rPr>
          <w:lang w:eastAsia="ja-JP"/>
        </w:rPr>
        <w:t>collaborat</w:t>
      </w:r>
      <w:r w:rsidR="00DB09DE" w:rsidRPr="004E70CE">
        <w:rPr>
          <w:lang w:eastAsia="ja-JP"/>
        </w:rPr>
        <w:t>ively</w:t>
      </w:r>
      <w:r w:rsidR="005C7FE1" w:rsidRPr="004E70CE">
        <w:rPr>
          <w:lang w:eastAsia="ja-JP"/>
        </w:rPr>
        <w:t xml:space="preserve"> </w:t>
      </w:r>
      <w:r w:rsidR="00DB09DE" w:rsidRPr="004E70CE">
        <w:rPr>
          <w:lang w:eastAsia="ja-JP"/>
        </w:rPr>
        <w:t xml:space="preserve">implemented </w:t>
      </w:r>
      <w:r w:rsidR="005C7FE1" w:rsidRPr="004E70CE">
        <w:rPr>
          <w:lang w:eastAsia="ja-JP"/>
        </w:rPr>
        <w:t>with Australia’s trade partners</w:t>
      </w:r>
      <w:r w:rsidRPr="004E70CE">
        <w:rPr>
          <w:lang w:eastAsia="ja-JP"/>
        </w:rPr>
        <w:t xml:space="preserve">. </w:t>
      </w:r>
      <w:r w:rsidR="39E5AE74" w:rsidRPr="004E70CE">
        <w:rPr>
          <w:lang w:eastAsia="ja-JP"/>
        </w:rPr>
        <w:t xml:space="preserve">The Review also seeks to identify opportunities to support progress in multilateral and plurilateral forums. </w:t>
      </w:r>
      <w:r w:rsidRPr="004E70CE">
        <w:rPr>
          <w:lang w:eastAsia="ja-JP"/>
        </w:rPr>
        <w:t xml:space="preserve"> </w:t>
      </w:r>
    </w:p>
    <w:p w14:paraId="22DAA3A9" w14:textId="77777777" w:rsidR="00131E1A" w:rsidRPr="004E70CE" w:rsidRDefault="00131E1A" w:rsidP="003C296C">
      <w:pPr>
        <w:rPr>
          <w:lang w:eastAsia="ja-JP"/>
        </w:rPr>
      </w:pPr>
    </w:p>
    <w:p w14:paraId="7599DC60" w14:textId="59C23359" w:rsidR="00F02F24" w:rsidRPr="004E70CE" w:rsidRDefault="006F4818" w:rsidP="00F02F24">
      <w:pPr>
        <w:rPr>
          <w:lang w:eastAsia="ja-JP"/>
        </w:rPr>
      </w:pPr>
      <w:r w:rsidRPr="004E70CE">
        <w:rPr>
          <w:lang w:eastAsia="ja-JP"/>
        </w:rPr>
        <w:lastRenderedPageBreak/>
        <w:t>The</w:t>
      </w:r>
      <w:r w:rsidR="008039DF" w:rsidRPr="004E70CE">
        <w:rPr>
          <w:lang w:eastAsia="ja-JP"/>
        </w:rPr>
        <w:t xml:space="preserve"> Review has focused on assessing carbon leakage risk and the </w:t>
      </w:r>
      <w:r w:rsidR="00C30FA8" w:rsidRPr="004E70CE">
        <w:rPr>
          <w:lang w:eastAsia="ja-JP"/>
        </w:rPr>
        <w:t>suitability of policies</w:t>
      </w:r>
      <w:r w:rsidR="00C71327" w:rsidRPr="004E70CE">
        <w:rPr>
          <w:lang w:eastAsia="ja-JP"/>
        </w:rPr>
        <w:t xml:space="preserve"> </w:t>
      </w:r>
      <w:r w:rsidR="002D596D" w:rsidRPr="004E70CE">
        <w:rPr>
          <w:lang w:eastAsia="ja-JP"/>
        </w:rPr>
        <w:t xml:space="preserve">in the Australian context. </w:t>
      </w:r>
      <w:r w:rsidR="00B83BBF" w:rsidRPr="004E70CE">
        <w:rPr>
          <w:lang w:eastAsia="ja-JP"/>
        </w:rPr>
        <w:t>Consistent with its terms of reference</w:t>
      </w:r>
      <w:r w:rsidR="00C87492" w:rsidRPr="004E70CE">
        <w:rPr>
          <w:lang w:eastAsia="ja-JP"/>
        </w:rPr>
        <w:t xml:space="preserve"> and the views of stakeholders from the initial consultation</w:t>
      </w:r>
      <w:r w:rsidR="00B83BBF" w:rsidRPr="004E70CE">
        <w:rPr>
          <w:lang w:eastAsia="ja-JP"/>
        </w:rPr>
        <w:t>, t</w:t>
      </w:r>
      <w:r w:rsidR="00316D2C" w:rsidRPr="004E70CE">
        <w:rPr>
          <w:lang w:eastAsia="ja-JP"/>
        </w:rPr>
        <w:t xml:space="preserve">he Review has </w:t>
      </w:r>
      <w:r w:rsidRPr="004E70CE">
        <w:rPr>
          <w:lang w:eastAsia="ja-JP"/>
        </w:rPr>
        <w:t>also</w:t>
      </w:r>
      <w:r w:rsidR="00C87492" w:rsidRPr="004E70CE">
        <w:rPr>
          <w:lang w:eastAsia="ja-JP"/>
        </w:rPr>
        <w:t xml:space="preserve"> explored and</w:t>
      </w:r>
      <w:r w:rsidRPr="004E70CE">
        <w:rPr>
          <w:lang w:eastAsia="ja-JP"/>
        </w:rPr>
        <w:t xml:space="preserve"> </w:t>
      </w:r>
      <w:r w:rsidR="00316D2C" w:rsidRPr="004E70CE">
        <w:rPr>
          <w:lang w:eastAsia="ja-JP"/>
        </w:rPr>
        <w:t xml:space="preserve">considered </w:t>
      </w:r>
      <w:r w:rsidR="00D044AB" w:rsidRPr="004E70CE">
        <w:rPr>
          <w:lang w:eastAsia="ja-JP"/>
        </w:rPr>
        <w:t xml:space="preserve">in some detail the </w:t>
      </w:r>
      <w:r w:rsidR="002D596D" w:rsidRPr="004E70CE">
        <w:rPr>
          <w:lang w:eastAsia="ja-JP"/>
        </w:rPr>
        <w:t>key issues relating to</w:t>
      </w:r>
      <w:r w:rsidR="00316D2C" w:rsidRPr="004E70CE">
        <w:rPr>
          <w:lang w:eastAsia="ja-JP"/>
        </w:rPr>
        <w:t xml:space="preserve"> </w:t>
      </w:r>
      <w:r w:rsidR="00BB2EDE" w:rsidRPr="004E70CE">
        <w:rPr>
          <w:lang w:eastAsia="ja-JP"/>
        </w:rPr>
        <w:t xml:space="preserve">policy </w:t>
      </w:r>
      <w:r w:rsidRPr="004E70CE">
        <w:rPr>
          <w:lang w:eastAsia="ja-JP"/>
        </w:rPr>
        <w:t xml:space="preserve">design and </w:t>
      </w:r>
      <w:r w:rsidR="00316D2C" w:rsidRPr="004E70CE">
        <w:rPr>
          <w:lang w:eastAsia="ja-JP"/>
        </w:rPr>
        <w:t>implementation</w:t>
      </w:r>
      <w:r w:rsidRPr="004E70CE">
        <w:rPr>
          <w:lang w:eastAsia="ja-JP"/>
        </w:rPr>
        <w:t xml:space="preserve"> of </w:t>
      </w:r>
      <w:r w:rsidR="001834B2" w:rsidRPr="004E70CE">
        <w:rPr>
          <w:lang w:eastAsia="ja-JP"/>
        </w:rPr>
        <w:t xml:space="preserve">a </w:t>
      </w:r>
      <w:r w:rsidRPr="004E70CE">
        <w:rPr>
          <w:lang w:eastAsia="ja-JP"/>
        </w:rPr>
        <w:t>possible carbon border adjustment</w:t>
      </w:r>
      <w:r w:rsidR="00316D2C" w:rsidRPr="004E70CE">
        <w:rPr>
          <w:lang w:eastAsia="ja-JP"/>
        </w:rPr>
        <w:t xml:space="preserve">, particularly </w:t>
      </w:r>
      <w:r w:rsidR="00A4283D" w:rsidRPr="004E70CE">
        <w:rPr>
          <w:lang w:eastAsia="ja-JP"/>
        </w:rPr>
        <w:t>relate</w:t>
      </w:r>
      <w:r w:rsidRPr="004E70CE">
        <w:rPr>
          <w:lang w:eastAsia="ja-JP"/>
        </w:rPr>
        <w:t>d</w:t>
      </w:r>
      <w:r w:rsidR="00316D2C" w:rsidRPr="004E70CE">
        <w:rPr>
          <w:lang w:eastAsia="ja-JP"/>
        </w:rPr>
        <w:t xml:space="preserve"> to feasibility</w:t>
      </w:r>
      <w:r w:rsidR="00D30DEA" w:rsidRPr="004E70CE">
        <w:rPr>
          <w:lang w:eastAsia="ja-JP"/>
        </w:rPr>
        <w:t xml:space="preserve">. </w:t>
      </w:r>
      <w:r w:rsidR="00D044AB" w:rsidRPr="004E70CE">
        <w:rPr>
          <w:lang w:eastAsia="ja-JP"/>
        </w:rPr>
        <w:t>However, no policy decisions have been taken and d</w:t>
      </w:r>
      <w:r w:rsidR="00941318" w:rsidRPr="004E70CE">
        <w:rPr>
          <w:lang w:eastAsia="ja-JP"/>
        </w:rPr>
        <w:t xml:space="preserve">etailed design would need to be considered and consulted on should </w:t>
      </w:r>
      <w:r w:rsidR="00213396" w:rsidRPr="004E70CE">
        <w:rPr>
          <w:lang w:eastAsia="ja-JP"/>
        </w:rPr>
        <w:t>g</w:t>
      </w:r>
      <w:r w:rsidR="00941318" w:rsidRPr="004E70CE">
        <w:rPr>
          <w:lang w:eastAsia="ja-JP"/>
        </w:rPr>
        <w:t xml:space="preserve">overnment decide to pursue a border carbon adjustment. </w:t>
      </w:r>
      <w:r w:rsidR="00F02F24" w:rsidRPr="004E70CE">
        <w:rPr>
          <w:lang w:eastAsia="ja-JP"/>
        </w:rPr>
        <w:t xml:space="preserve">Should government decide to pursue a border carbon adjustment, </w:t>
      </w:r>
      <w:r w:rsidR="00C40FB8" w:rsidRPr="004E70CE">
        <w:rPr>
          <w:lang w:eastAsia="ja-JP"/>
        </w:rPr>
        <w:t>t</w:t>
      </w:r>
      <w:r w:rsidR="00F02F24" w:rsidRPr="004E70CE">
        <w:rPr>
          <w:lang w:eastAsia="ja-JP"/>
        </w:rPr>
        <w:t xml:space="preserve">he principles and criteria set out by the </w:t>
      </w:r>
      <w:r w:rsidR="00A3195C" w:rsidRPr="004E70CE">
        <w:rPr>
          <w:lang w:eastAsia="ja-JP"/>
        </w:rPr>
        <w:t>Review provide</w:t>
      </w:r>
      <w:r w:rsidR="00F02F24" w:rsidRPr="004E70CE">
        <w:rPr>
          <w:lang w:eastAsia="ja-JP"/>
        </w:rPr>
        <w:t xml:space="preserve"> a point of reference for any future policy adjustments. </w:t>
      </w:r>
    </w:p>
    <w:p w14:paraId="3CDFF85C" w14:textId="77777777" w:rsidR="00144E56" w:rsidRPr="004E70CE" w:rsidRDefault="01DA2399" w:rsidP="003C296C">
      <w:pPr>
        <w:rPr>
          <w:lang w:eastAsia="ja-JP"/>
        </w:rPr>
      </w:pPr>
      <w:r w:rsidRPr="004E70CE">
        <w:rPr>
          <w:lang w:eastAsia="ja-JP"/>
        </w:rPr>
        <w:t>The Review actively welcomes engagement both from Australian and international stakeholders in response to the</w:t>
      </w:r>
      <w:r w:rsidR="7069AD10" w:rsidRPr="004E70CE">
        <w:rPr>
          <w:lang w:eastAsia="ja-JP"/>
        </w:rPr>
        <w:t xml:space="preserve"> preliminary</w:t>
      </w:r>
      <w:r w:rsidRPr="004E70CE">
        <w:rPr>
          <w:lang w:eastAsia="ja-JP"/>
        </w:rPr>
        <w:t xml:space="preserve"> findings and on any other matters canvassed in this paper.</w:t>
      </w:r>
    </w:p>
    <w:p w14:paraId="7747AE98" w14:textId="77777777" w:rsidR="006D3CF5" w:rsidRPr="004E70CE" w:rsidRDefault="006D3CF5" w:rsidP="003C296C">
      <w:pPr>
        <w:rPr>
          <w:lang w:eastAsia="ja-JP"/>
        </w:rPr>
      </w:pPr>
      <w:r w:rsidRPr="004E70CE">
        <w:rPr>
          <w:b/>
          <w:bCs/>
          <w:u w:val="single"/>
          <w:lang w:eastAsia="ja-JP"/>
        </w:rPr>
        <w:t xml:space="preserve">Leakage under existing policies </w:t>
      </w:r>
    </w:p>
    <w:p w14:paraId="140200DF" w14:textId="6C5FBD22" w:rsidR="00352D56" w:rsidRPr="004E70CE" w:rsidRDefault="00CC332C" w:rsidP="003011FC">
      <w:pPr>
        <w:rPr>
          <w:b/>
          <w:bCs/>
          <w:lang w:eastAsia="ja-JP"/>
        </w:rPr>
      </w:pPr>
      <w:r w:rsidRPr="004E70CE">
        <w:rPr>
          <w:b/>
          <w:lang w:eastAsia="ja-JP"/>
        </w:rPr>
        <w:t xml:space="preserve">2.1 </w:t>
      </w:r>
      <w:r w:rsidR="001151F6" w:rsidRPr="004E70CE">
        <w:rPr>
          <w:b/>
          <w:lang w:eastAsia="ja-JP"/>
        </w:rPr>
        <w:t>Safeguard Mechanism settings</w:t>
      </w:r>
    </w:p>
    <w:p w14:paraId="2BE82409" w14:textId="38AEE68F" w:rsidR="00FB5F40" w:rsidRPr="004E70CE" w:rsidRDefault="00FB5F40" w:rsidP="003C296C">
      <w:pPr>
        <w:pStyle w:val="Calloutbox"/>
        <w:spacing w:after="200" w:line="276" w:lineRule="auto"/>
        <w:rPr>
          <w:b/>
          <w:bCs/>
        </w:rPr>
      </w:pPr>
      <w:r w:rsidRPr="004E70CE">
        <w:rPr>
          <w:b/>
          <w:bCs/>
        </w:rPr>
        <w:t>Preliminary finding</w:t>
      </w:r>
      <w:r w:rsidR="003819A1" w:rsidRPr="004E70CE">
        <w:rPr>
          <w:b/>
          <w:bCs/>
        </w:rPr>
        <w:t>s</w:t>
      </w:r>
      <w:r w:rsidR="00D83DB5" w:rsidRPr="004E70CE">
        <w:rPr>
          <w:b/>
          <w:bCs/>
        </w:rPr>
        <w:t xml:space="preserve"> for consultation</w:t>
      </w:r>
    </w:p>
    <w:p w14:paraId="03BB2984" w14:textId="77777777" w:rsidR="00FB5F40" w:rsidRPr="004E70CE" w:rsidRDefault="00FB5F40" w:rsidP="003C296C">
      <w:pPr>
        <w:pStyle w:val="Calloutbox"/>
        <w:spacing w:after="200" w:line="276" w:lineRule="auto"/>
      </w:pPr>
      <w:r w:rsidRPr="004E70CE">
        <w:t xml:space="preserve">Current Safeguard Mechanism </w:t>
      </w:r>
      <w:r w:rsidR="00BC2729" w:rsidRPr="004E70CE">
        <w:t xml:space="preserve">settings </w:t>
      </w:r>
      <w:r w:rsidRPr="004E70CE">
        <w:t>are effective at mitigating carbon leakage risk in the short</w:t>
      </w:r>
      <w:r w:rsidR="007F7F4B" w:rsidRPr="004E70CE">
        <w:t>-</w:t>
      </w:r>
      <w:r w:rsidRPr="004E70CE">
        <w:t xml:space="preserve"> to medium</w:t>
      </w:r>
      <w:r w:rsidR="007F7F4B" w:rsidRPr="004E70CE">
        <w:t>-</w:t>
      </w:r>
      <w:r w:rsidR="00112462" w:rsidRPr="004E70CE">
        <w:t>term</w:t>
      </w:r>
      <w:r w:rsidR="00BA644C" w:rsidRPr="004E70CE">
        <w:t>.</w:t>
      </w:r>
      <w:r w:rsidR="00112462" w:rsidRPr="004E70CE">
        <w:t xml:space="preserve"> </w:t>
      </w:r>
      <w:r w:rsidR="00015DCD" w:rsidRPr="004E70CE">
        <w:t>But s</w:t>
      </w:r>
      <w:r w:rsidR="00BA644C" w:rsidRPr="004E70CE">
        <w:t>ettings</w:t>
      </w:r>
      <w:r w:rsidR="00112462" w:rsidRPr="004E70CE">
        <w:t xml:space="preserve"> </w:t>
      </w:r>
      <w:r w:rsidRPr="004E70CE">
        <w:t>for some</w:t>
      </w:r>
      <w:r w:rsidR="00620E19" w:rsidRPr="004E70CE">
        <w:t xml:space="preserve"> sectors </w:t>
      </w:r>
      <w:r w:rsidRPr="004E70CE">
        <w:t xml:space="preserve">may </w:t>
      </w:r>
      <w:r w:rsidR="1A5A4A9A" w:rsidRPr="004E70CE">
        <w:t xml:space="preserve">need to be augmented </w:t>
      </w:r>
      <w:r w:rsidR="29943363" w:rsidRPr="004E70CE">
        <w:t>w</w:t>
      </w:r>
      <w:r w:rsidR="682592D7" w:rsidRPr="004E70CE">
        <w:t xml:space="preserve">ith additional measures </w:t>
      </w:r>
      <w:r w:rsidR="1A5A4A9A" w:rsidRPr="004E70CE">
        <w:t>over time</w:t>
      </w:r>
      <w:r w:rsidRPr="004E70CE">
        <w:t xml:space="preserve">. Reduced baseline decline rates for </w:t>
      </w:r>
      <w:r w:rsidR="00F81DF5" w:rsidRPr="004E70CE">
        <w:t>Trade Exposed Baseline Adjusted (</w:t>
      </w:r>
      <w:r w:rsidRPr="004E70CE">
        <w:t>TEBA</w:t>
      </w:r>
      <w:r w:rsidR="00F81DF5" w:rsidRPr="004E70CE">
        <w:t>)</w:t>
      </w:r>
      <w:r w:rsidRPr="004E70CE">
        <w:t xml:space="preserve"> facilities constrain the contribution of Safeguard</w:t>
      </w:r>
      <w:r w:rsidR="006E4B5E" w:rsidRPr="004E70CE">
        <w:t xml:space="preserve"> Mechanism</w:t>
      </w:r>
      <w:r w:rsidRPr="004E70CE">
        <w:t xml:space="preserve"> </w:t>
      </w:r>
      <w:r w:rsidR="00F81DF5" w:rsidRPr="004E70CE">
        <w:t>sectors</w:t>
      </w:r>
      <w:r w:rsidRPr="004E70CE">
        <w:t xml:space="preserve"> to Australia’s overall emissions reduction efforts. </w:t>
      </w:r>
      <w:r w:rsidR="00C54A6C" w:rsidRPr="004E70CE">
        <w:t xml:space="preserve"> </w:t>
      </w:r>
    </w:p>
    <w:p w14:paraId="3E3461EE" w14:textId="091A3F2C" w:rsidR="00352D56" w:rsidRPr="004E70CE" w:rsidRDefault="00352D56" w:rsidP="003C296C">
      <w:pPr>
        <w:shd w:val="clear" w:color="auto" w:fill="FFFFFF" w:themeFill="accent6"/>
      </w:pPr>
      <w:r w:rsidRPr="004E70CE">
        <w:t xml:space="preserve">The Safeguard Mechanism provides incentives for Australian industrial producers to reduce </w:t>
      </w:r>
      <w:r w:rsidR="003819A1" w:rsidRPr="004E70CE">
        <w:t xml:space="preserve">the </w:t>
      </w:r>
      <w:r w:rsidRPr="004E70CE">
        <w:t xml:space="preserve">emissions intensity of production. It covers around </w:t>
      </w:r>
      <w:r w:rsidR="00F81DF5" w:rsidRPr="004E70CE">
        <w:t xml:space="preserve">220 </w:t>
      </w:r>
      <w:r w:rsidRPr="004E70CE">
        <w:t xml:space="preserve">of Australia’s largest industrial facilities, which together account for around 30% of annual national emissions. </w:t>
      </w:r>
    </w:p>
    <w:p w14:paraId="7A9DAB0B" w14:textId="77777777" w:rsidR="00A2196B" w:rsidRPr="004E70CE" w:rsidRDefault="724DC5B0" w:rsidP="003C296C">
      <w:pPr>
        <w:shd w:val="clear" w:color="auto" w:fill="FFFFFF" w:themeFill="accent6"/>
        <w:rPr>
          <w:rFonts w:ascii="Open Sans" w:eastAsia="Times New Roman" w:hAnsi="Open Sans" w:cs="Open Sans"/>
          <w:color w:val="000000"/>
          <w:sz w:val="21"/>
          <w:szCs w:val="21"/>
          <w:lang w:eastAsia="en-AU"/>
        </w:rPr>
      </w:pPr>
      <w:r w:rsidRPr="004E70CE">
        <w:t>The Safeguard Mechanism includes several elements to mitigate risks of carbon leakage, including</w:t>
      </w:r>
      <w:r w:rsidR="003850E9" w:rsidRPr="004E70CE">
        <w:t xml:space="preserve"> the ability to emit up to the </w:t>
      </w:r>
      <w:r w:rsidR="00FF6686" w:rsidRPr="004E70CE">
        <w:t xml:space="preserve">production adjusted </w:t>
      </w:r>
      <w:r w:rsidR="003850E9" w:rsidRPr="004E70CE">
        <w:t>baseline,</w:t>
      </w:r>
      <w:r w:rsidR="00B730CB" w:rsidRPr="004E70CE">
        <w:t xml:space="preserve"> access to </w:t>
      </w:r>
      <w:r w:rsidR="00DD547C" w:rsidRPr="004E70CE">
        <w:t>lower</w:t>
      </w:r>
      <w:r w:rsidR="005F0CB0" w:rsidRPr="004E70CE">
        <w:t xml:space="preserve"> baseline </w:t>
      </w:r>
      <w:r w:rsidR="00DF4E99" w:rsidRPr="004E70CE">
        <w:t xml:space="preserve">reductions if </w:t>
      </w:r>
      <w:r w:rsidR="74CB9F18" w:rsidRPr="004E70CE">
        <w:t xml:space="preserve">facilities </w:t>
      </w:r>
      <w:r w:rsidR="00693057" w:rsidRPr="004E70CE">
        <w:t>qualify as</w:t>
      </w:r>
      <w:r w:rsidR="00DF4E99" w:rsidRPr="004E70CE">
        <w:t xml:space="preserve"> TEBA facilities, </w:t>
      </w:r>
      <w:r w:rsidR="00C2421B" w:rsidRPr="004E70CE">
        <w:t>a cost containment measure and</w:t>
      </w:r>
      <w:r w:rsidR="001F0827" w:rsidRPr="004E70CE">
        <w:t xml:space="preserve"> access to funding under the Powering the Regions Fund</w:t>
      </w:r>
      <w:r w:rsidR="006015B2" w:rsidRPr="004E70CE">
        <w:t>.</w:t>
      </w:r>
      <w:r w:rsidR="001F0827" w:rsidRPr="004E70CE">
        <w:t xml:space="preserve"> </w:t>
      </w:r>
    </w:p>
    <w:p w14:paraId="0DB7BF0F" w14:textId="77777777" w:rsidR="00FB5F40" w:rsidRPr="004E70CE" w:rsidRDefault="12D87B5C" w:rsidP="003C296C">
      <w:r w:rsidRPr="004E70CE">
        <w:t>T</w:t>
      </w:r>
      <w:r w:rsidR="04F35738" w:rsidRPr="004E70CE">
        <w:t xml:space="preserve">hese settings </w:t>
      </w:r>
      <w:r w:rsidR="70B25DC7" w:rsidRPr="004E70CE">
        <w:t xml:space="preserve">are </w:t>
      </w:r>
      <w:r w:rsidR="53FB5889" w:rsidRPr="004E70CE">
        <w:t xml:space="preserve">likely </w:t>
      </w:r>
      <w:r w:rsidR="004341A5" w:rsidRPr="004E70CE">
        <w:t xml:space="preserve">to be </w:t>
      </w:r>
      <w:r w:rsidR="04F35738" w:rsidRPr="004E70CE">
        <w:t>sufficient to prevent carbon leakage risk over the short</w:t>
      </w:r>
      <w:r w:rsidR="00525BD2" w:rsidRPr="004E70CE">
        <w:t>-</w:t>
      </w:r>
      <w:r w:rsidR="04F35738" w:rsidRPr="004E70CE">
        <w:t xml:space="preserve">term. However, over </w:t>
      </w:r>
      <w:r w:rsidR="20ED08E9" w:rsidRPr="004E70CE">
        <w:t>time</w:t>
      </w:r>
      <w:r w:rsidR="04F35738" w:rsidRPr="004E70CE">
        <w:t xml:space="preserve">, </w:t>
      </w:r>
      <w:r w:rsidR="3E4B83CE" w:rsidRPr="004E70CE">
        <w:t xml:space="preserve">default </w:t>
      </w:r>
      <w:r w:rsidR="04F35738" w:rsidRPr="004E70CE">
        <w:t xml:space="preserve">baseline declines could see risks of leakage become more significant for some </w:t>
      </w:r>
      <w:r w:rsidR="00BF3D48" w:rsidRPr="004E70CE">
        <w:t xml:space="preserve">sectors. </w:t>
      </w:r>
      <w:r w:rsidR="5778D3E1" w:rsidRPr="004E70CE">
        <w:t>Mean</w:t>
      </w:r>
      <w:r w:rsidR="2293FDFC" w:rsidRPr="004E70CE">
        <w:t>while</w:t>
      </w:r>
      <w:r w:rsidR="0E69A939" w:rsidRPr="004E70CE">
        <w:t>,</w:t>
      </w:r>
      <w:r w:rsidR="2293FDFC" w:rsidRPr="004E70CE">
        <w:t xml:space="preserve"> reduced baseline decline rates under TEBA arrangements constrain </w:t>
      </w:r>
      <w:r w:rsidR="7C8631B0" w:rsidRPr="004E70CE">
        <w:t>sectors’</w:t>
      </w:r>
      <w:r w:rsidR="6B82336B" w:rsidRPr="004E70CE">
        <w:t xml:space="preserve"> con</w:t>
      </w:r>
      <w:r w:rsidR="2293FDFC" w:rsidRPr="004E70CE">
        <w:t>tribution to Australia’</w:t>
      </w:r>
      <w:r w:rsidR="33F6006F" w:rsidRPr="004E70CE">
        <w:t xml:space="preserve">s overall emissions reduction effort. </w:t>
      </w:r>
    </w:p>
    <w:p w14:paraId="5D2951E1" w14:textId="77777777" w:rsidR="00FB5F40" w:rsidRPr="004E70CE" w:rsidRDefault="5AC24C8A" w:rsidP="003C296C">
      <w:r w:rsidRPr="004E70CE">
        <w:t xml:space="preserve">Consequently, additional measures </w:t>
      </w:r>
      <w:r w:rsidR="64B3BECE" w:rsidRPr="004E70CE">
        <w:t>may be needed</w:t>
      </w:r>
      <w:r w:rsidRPr="004E70CE">
        <w:t xml:space="preserve">. </w:t>
      </w:r>
    </w:p>
    <w:p w14:paraId="70863330" w14:textId="77777777" w:rsidR="00823F58" w:rsidRDefault="00823F58">
      <w:pPr>
        <w:spacing w:after="0" w:line="240" w:lineRule="auto"/>
        <w:rPr>
          <w:b/>
          <w:bCs/>
        </w:rPr>
      </w:pPr>
      <w:r>
        <w:rPr>
          <w:b/>
          <w:bCs/>
        </w:rPr>
        <w:br w:type="page"/>
      </w:r>
    </w:p>
    <w:p w14:paraId="1536FDC2" w14:textId="6009BC35" w:rsidR="00674EDB" w:rsidRPr="004E70CE" w:rsidRDefault="00CC332C" w:rsidP="003C296C">
      <w:pPr>
        <w:rPr>
          <w:b/>
          <w:bCs/>
        </w:rPr>
      </w:pPr>
      <w:r w:rsidRPr="004E70CE">
        <w:rPr>
          <w:b/>
          <w:bCs/>
        </w:rPr>
        <w:lastRenderedPageBreak/>
        <w:t xml:space="preserve">2.2 </w:t>
      </w:r>
      <w:r w:rsidR="00674EDB" w:rsidRPr="004E70CE">
        <w:rPr>
          <w:b/>
          <w:bCs/>
        </w:rPr>
        <w:t>Public investment</w:t>
      </w:r>
    </w:p>
    <w:p w14:paraId="79B1A6DB" w14:textId="7095C6BD" w:rsidR="004A3291" w:rsidRPr="004E70CE" w:rsidRDefault="000B61CE" w:rsidP="003C296C">
      <w:pPr>
        <w:pStyle w:val="Calloutbox"/>
        <w:spacing w:after="200" w:line="276" w:lineRule="auto"/>
      </w:pPr>
      <w:bookmarkStart w:id="3" w:name="_Hlk171529869"/>
      <w:r w:rsidRPr="004E70CE">
        <w:rPr>
          <w:b/>
          <w:bCs/>
        </w:rPr>
        <w:t>Preliminary finding</w:t>
      </w:r>
      <w:r w:rsidR="00724AA8" w:rsidRPr="004E70CE">
        <w:rPr>
          <w:b/>
          <w:bCs/>
        </w:rPr>
        <w:t>s</w:t>
      </w:r>
      <w:r w:rsidRPr="004E70CE">
        <w:rPr>
          <w:b/>
          <w:bCs/>
        </w:rPr>
        <w:t xml:space="preserve"> </w:t>
      </w:r>
      <w:r w:rsidR="00453D75" w:rsidRPr="004E70CE">
        <w:rPr>
          <w:b/>
          <w:bCs/>
        </w:rPr>
        <w:t>for consultation</w:t>
      </w:r>
    </w:p>
    <w:p w14:paraId="2F5B2648" w14:textId="77777777" w:rsidR="000C4763" w:rsidRPr="004E70CE" w:rsidRDefault="7F374499" w:rsidP="003C296C">
      <w:pPr>
        <w:pStyle w:val="Calloutbox"/>
        <w:spacing w:after="200" w:line="276" w:lineRule="auto"/>
      </w:pPr>
      <w:r w:rsidRPr="004E70CE">
        <w:t>Public investment to help reduce emissions intensity can help address the risk of carbon leakage in specific cases</w:t>
      </w:r>
      <w:r w:rsidR="6AF13042" w:rsidRPr="004E70CE">
        <w:t xml:space="preserve"> and is particularly relevant for export</w:t>
      </w:r>
      <w:r w:rsidR="1A3A7F45" w:rsidRPr="004E70CE">
        <w:t>-</w:t>
      </w:r>
      <w:r w:rsidR="6AF13042" w:rsidRPr="004E70CE">
        <w:t>oriented industries</w:t>
      </w:r>
      <w:r w:rsidRPr="004E70CE">
        <w:t>. A range of such programs exist</w:t>
      </w:r>
      <w:r w:rsidR="47739416" w:rsidRPr="004E70CE">
        <w:t xml:space="preserve"> in Australia</w:t>
      </w:r>
      <w:r w:rsidRPr="004E70CE">
        <w:t>.</w:t>
      </w:r>
    </w:p>
    <w:p w14:paraId="56F3F76D" w14:textId="5DC9B2F1" w:rsidR="00D43882" w:rsidRPr="004E70CE" w:rsidRDefault="00D43882" w:rsidP="00D43882">
      <w:pPr>
        <w:pStyle w:val="Calloutbox"/>
        <w:spacing w:after="200" w:line="276" w:lineRule="auto"/>
      </w:pPr>
      <w:r w:rsidRPr="004E70CE">
        <w:t>While fulfilling a range of functions, public investment would not be sufficient as a systematic and fiscally sustainable standalone solution for commodities with high carbon leakage risk.</w:t>
      </w:r>
    </w:p>
    <w:p w14:paraId="46443035" w14:textId="604D47C7" w:rsidR="00DD4F73" w:rsidRPr="004E70CE" w:rsidRDefault="00DD4F73" w:rsidP="00DD4F73">
      <w:r w:rsidRPr="004E70CE">
        <w:t xml:space="preserve">Well-designed public investment can help the emergence of zero emissions export industries. They can also help reduce emissions intensity of production in industries that compete with imports. </w:t>
      </w:r>
    </w:p>
    <w:p w14:paraId="40FA47D5" w14:textId="64991105" w:rsidR="00DD4F73" w:rsidRPr="004E70CE" w:rsidRDefault="00DD4F73" w:rsidP="00DD4F73">
      <w:pPr>
        <w:rPr>
          <w:rFonts w:ascii="Calibri" w:eastAsia="Calibri" w:hAnsi="Calibri" w:cs="Calibri"/>
        </w:rPr>
      </w:pPr>
      <w:r w:rsidRPr="004E70CE">
        <w:rPr>
          <w:rFonts w:ascii="Calibri" w:eastAsia="Calibri" w:hAnsi="Calibri" w:cs="Calibri"/>
        </w:rPr>
        <w:t>In feedback received from the first consultation period, stakeholders highlighted three specific roles for well-calibrated public investment to support industry’s transition to net zero and mitigate carbon leakage risks. These are accelerating innovation, supporting low emissions production and enabling infrastructure for decarbonisation. Stakeholders also identified Australia’s fiscal limitations as a mid-sized economy and the need for finite public funds to be effectively targeted and efficiently delivered.</w:t>
      </w:r>
    </w:p>
    <w:p w14:paraId="5CA28367" w14:textId="1DCE1A62" w:rsidR="00A6275B" w:rsidRPr="004E70CE" w:rsidRDefault="00DD4F73" w:rsidP="00A6275B">
      <w:pPr>
        <w:spacing w:after="120"/>
      </w:pPr>
      <w:r w:rsidRPr="004E70CE">
        <w:t xml:space="preserve">The </w:t>
      </w:r>
      <w:r w:rsidR="009424BA" w:rsidRPr="004E70CE">
        <w:t>government</w:t>
      </w:r>
      <w:r w:rsidRPr="004E70CE">
        <w:t xml:space="preserve">’s Future Made in Australia National Interest Framework outlines the </w:t>
      </w:r>
      <w:r w:rsidR="00792E95" w:rsidRPr="004E70CE">
        <w:t>g</w:t>
      </w:r>
      <w:r w:rsidRPr="004E70CE">
        <w:t>overnment’s approach to unlocking private investment at scale in industries that are in the public interest. This includes a Net Zero Transformation Stream which will be used to identify sectors assessed to have grounds for sustained comparative advantage in a net zero global economy, and public investment is needed for the sector to make a significant contribution to emissions reduction at an efficient cost. It also includes an Economic Resilience and Security Stream for sectors where some level of domestic capability is necessary or efficient to deliver adequate economic resilience and security, and the private sector would not invest in this capability in the absence of public investment.</w:t>
      </w:r>
    </w:p>
    <w:p w14:paraId="6197FC21" w14:textId="77777777" w:rsidR="20DF85B3" w:rsidRPr="004E70CE" w:rsidRDefault="2CA89134" w:rsidP="00B20BE0">
      <w:pPr>
        <w:spacing w:after="120"/>
      </w:pPr>
      <w:r w:rsidRPr="004E70CE">
        <w:t xml:space="preserve">Several of the </w:t>
      </w:r>
      <w:r w:rsidR="1A3A7F45" w:rsidRPr="004E70CE">
        <w:t xml:space="preserve">programs </w:t>
      </w:r>
      <w:r w:rsidRPr="004E70CE">
        <w:t xml:space="preserve">announced </w:t>
      </w:r>
      <w:r w:rsidR="00DD4F73" w:rsidRPr="004E70CE">
        <w:t xml:space="preserve">in the 2024-25 Budget </w:t>
      </w:r>
      <w:r w:rsidRPr="004E70CE">
        <w:t xml:space="preserve">as part of </w:t>
      </w:r>
      <w:r w:rsidR="1A3A7F45" w:rsidRPr="004E70CE">
        <w:t xml:space="preserve">Future Made in Australia, and </w:t>
      </w:r>
      <w:r w:rsidR="72F98FBD" w:rsidRPr="004E70CE">
        <w:t>previously announced programs such as the Powering the Regions Fund</w:t>
      </w:r>
      <w:r w:rsidRPr="004E70CE">
        <w:t xml:space="preserve">, </w:t>
      </w:r>
      <w:r w:rsidR="765C99EB" w:rsidRPr="004E70CE">
        <w:t xml:space="preserve">include public investment targeted at sectors at risk of carbon leakage. </w:t>
      </w:r>
      <w:r w:rsidR="2F9E3C9A" w:rsidRPr="004E70CE">
        <w:rPr>
          <w:rFonts w:ascii="Calibri" w:eastAsia="Calibri" w:hAnsi="Calibri" w:cs="Calibri"/>
        </w:rPr>
        <w:t xml:space="preserve">These programs will help selected Australian industrial facilities reduce emissions intensity of domestic production, and thereby </w:t>
      </w:r>
      <w:r w:rsidR="677D33B8" w:rsidRPr="004E70CE">
        <w:rPr>
          <w:rFonts w:ascii="Calibri" w:eastAsia="Calibri" w:hAnsi="Calibri" w:cs="Calibri"/>
        </w:rPr>
        <w:t xml:space="preserve">can </w:t>
      </w:r>
      <w:r w:rsidR="2F9E3C9A" w:rsidRPr="004E70CE">
        <w:rPr>
          <w:rFonts w:ascii="Calibri" w:eastAsia="Calibri" w:hAnsi="Calibri" w:cs="Calibri"/>
        </w:rPr>
        <w:t>make contributions to alleviating carbon leakage risk</w:t>
      </w:r>
      <w:r w:rsidR="166CF93A" w:rsidRPr="004E70CE">
        <w:rPr>
          <w:rFonts w:ascii="Calibri" w:eastAsia="Calibri" w:hAnsi="Calibri" w:cs="Calibri"/>
        </w:rPr>
        <w:t xml:space="preserve">, in particular for green </w:t>
      </w:r>
      <w:r w:rsidR="00001D2A" w:rsidRPr="004E70CE">
        <w:rPr>
          <w:rFonts w:ascii="Calibri" w:eastAsia="Calibri" w:hAnsi="Calibri" w:cs="Calibri"/>
        </w:rPr>
        <w:t>export-oriented</w:t>
      </w:r>
      <w:r w:rsidR="166CF93A" w:rsidRPr="004E70CE">
        <w:rPr>
          <w:rFonts w:ascii="Calibri" w:eastAsia="Calibri" w:hAnsi="Calibri" w:cs="Calibri"/>
        </w:rPr>
        <w:t xml:space="preserve"> industries</w:t>
      </w:r>
      <w:r w:rsidR="2F9E3C9A" w:rsidRPr="004E70CE">
        <w:rPr>
          <w:rFonts w:ascii="Calibri" w:eastAsia="Calibri" w:hAnsi="Calibri" w:cs="Calibri"/>
        </w:rPr>
        <w:t xml:space="preserve">. </w:t>
      </w:r>
    </w:p>
    <w:p w14:paraId="1EB0658B" w14:textId="77777777" w:rsidR="00F54BA6" w:rsidRPr="004E70CE" w:rsidRDefault="00F54BA6" w:rsidP="00F54BA6">
      <w:pPr>
        <w:spacing w:after="120"/>
        <w:rPr>
          <w:rFonts w:ascii="Calibri" w:eastAsia="Calibri" w:hAnsi="Calibri" w:cs="Calibri"/>
        </w:rPr>
      </w:pPr>
      <w:r w:rsidRPr="004E70CE">
        <w:rPr>
          <w:rFonts w:ascii="Calibri" w:eastAsia="Calibri" w:hAnsi="Calibri" w:cs="Calibri"/>
        </w:rPr>
        <w:t xml:space="preserve">However, public investment does not address differences in climate policy stringency across countries, which is the root cause of carbon leakage, in a systematic way. This reduces the capacity for public investment programs to address carbon leakage risks comprehensively or in a predictable way. Public investment also has greater fiscal implications than regulatory policy approaches. </w:t>
      </w:r>
    </w:p>
    <w:p w14:paraId="70343A05" w14:textId="77777777" w:rsidR="00F81DF5" w:rsidRPr="004E70CE" w:rsidRDefault="4A6D5952" w:rsidP="003C296C">
      <w:pPr>
        <w:rPr>
          <w:rFonts w:ascii="Calibri" w:eastAsia="Calibri" w:hAnsi="Calibri" w:cs="Calibri"/>
        </w:rPr>
      </w:pPr>
      <w:r w:rsidRPr="004E70CE">
        <w:t>In t</w:t>
      </w:r>
      <w:r w:rsidR="7C8631B0" w:rsidRPr="004E70CE">
        <w:t>he design of public investment programs</w:t>
      </w:r>
      <w:r w:rsidR="00887954" w:rsidRPr="004E70CE">
        <w:t>,</w:t>
      </w:r>
      <w:r w:rsidR="42AE6E54" w:rsidRPr="004E70CE">
        <w:t xml:space="preserve"> </w:t>
      </w:r>
      <w:r w:rsidR="006460E3" w:rsidRPr="004E70CE">
        <w:t xml:space="preserve">it </w:t>
      </w:r>
      <w:r w:rsidR="7C8631B0" w:rsidRPr="004E70CE">
        <w:t xml:space="preserve">is important to ensure they provide the long-term certainty required for investment decisions and can be removed </w:t>
      </w:r>
      <w:r w:rsidR="00453D75" w:rsidRPr="004E70CE">
        <w:t xml:space="preserve">or phased out </w:t>
      </w:r>
      <w:r w:rsidR="7C8631B0" w:rsidRPr="004E70CE">
        <w:t>when their support is no longer needed.</w:t>
      </w:r>
    </w:p>
    <w:p w14:paraId="1EA2B852" w14:textId="77777777" w:rsidR="000A41A2" w:rsidRPr="004E70CE" w:rsidRDefault="37C937F6" w:rsidP="003C296C">
      <w:r w:rsidRPr="004E70CE">
        <w:t>The Review sees public investment as having a beneficial role as part of a portfolio of potential options to address leakage,</w:t>
      </w:r>
      <w:r w:rsidR="22509CFF" w:rsidRPr="004E70CE">
        <w:t xml:space="preserve"> particularly for green export industries</w:t>
      </w:r>
      <w:r w:rsidR="0076474D" w:rsidRPr="004E70CE">
        <w:t xml:space="preserve">. However, it may not be sufficient as </w:t>
      </w:r>
      <w:r w:rsidRPr="004E70CE">
        <w:t>a sustainable standalone solution for commodities with high carbon leakage risk.</w:t>
      </w:r>
    </w:p>
    <w:p w14:paraId="26EF0D7C" w14:textId="77777777" w:rsidR="004F56C4" w:rsidRPr="004E70CE" w:rsidRDefault="004F56C4" w:rsidP="004F56C4">
      <w:r w:rsidRPr="004E70CE">
        <w:lastRenderedPageBreak/>
        <w:t>The Review recognises that relevant public investment is an active area of policy implementation and development, however additional public investment programs specifically to address carbon leakage concerns may not be warranted.</w:t>
      </w:r>
    </w:p>
    <w:bookmarkEnd w:id="3"/>
    <w:p w14:paraId="6385E7D8" w14:textId="2E829758" w:rsidR="00197335" w:rsidRPr="004E70CE" w:rsidRDefault="00197335" w:rsidP="003011FC">
      <w:pPr>
        <w:rPr>
          <w:b/>
          <w:bCs/>
        </w:rPr>
      </w:pPr>
      <w:r w:rsidRPr="004E70CE">
        <w:rPr>
          <w:b/>
          <w:bCs/>
        </w:rPr>
        <w:t>2.6 Findings of leakage by commodity</w:t>
      </w:r>
    </w:p>
    <w:p w14:paraId="231C434E" w14:textId="77777777" w:rsidR="00197335" w:rsidRPr="004E70CE" w:rsidRDefault="00197335" w:rsidP="003011FC">
      <w:pPr>
        <w:pStyle w:val="Calloutbox"/>
        <w:spacing w:after="200" w:line="276" w:lineRule="auto"/>
        <w:rPr>
          <w:b/>
          <w:bCs/>
        </w:rPr>
      </w:pPr>
      <w:r w:rsidRPr="004E70CE">
        <w:rPr>
          <w:b/>
          <w:bCs/>
        </w:rPr>
        <w:t>Preliminary findings for consultation</w:t>
      </w:r>
    </w:p>
    <w:p w14:paraId="0E4EC827" w14:textId="77777777" w:rsidR="00197335" w:rsidRPr="004E70CE" w:rsidRDefault="00197335" w:rsidP="003011FC">
      <w:pPr>
        <w:pStyle w:val="Calloutbox"/>
        <w:spacing w:after="200" w:line="276" w:lineRule="auto"/>
      </w:pPr>
      <w:r w:rsidRPr="004E70CE">
        <w:t xml:space="preserve">The following commodities are found to </w:t>
      </w:r>
      <w:r w:rsidRPr="004E70CE" w:rsidDel="005479FD">
        <w:t xml:space="preserve">be </w:t>
      </w:r>
      <w:r w:rsidRPr="004E70CE">
        <w:t xml:space="preserve">subject to potentially material carbon leakage risk over time: cement, clinker and lime; ammonia and derivatives; steel; and glass. </w:t>
      </w:r>
    </w:p>
    <w:p w14:paraId="7F613836" w14:textId="77777777" w:rsidR="00197335" w:rsidRPr="004E70CE" w:rsidRDefault="00197335" w:rsidP="003011FC">
      <w:pPr>
        <w:pStyle w:val="Calloutbox"/>
        <w:spacing w:after="200" w:line="276" w:lineRule="auto"/>
      </w:pPr>
      <w:r w:rsidRPr="004E70CE">
        <w:t>Carbon leakage risks for cement, clinker and lime are more pronounced than for other commodity groups and may warrant additional policies to be introduced at an earlier stage than other groups.</w:t>
      </w:r>
    </w:p>
    <w:p w14:paraId="4FB66AB9" w14:textId="77777777" w:rsidR="00197335" w:rsidRPr="004E70CE" w:rsidRDefault="00197335" w:rsidP="003011FC">
      <w:pPr>
        <w:pStyle w:val="Calloutbox"/>
        <w:spacing w:after="200" w:line="276" w:lineRule="auto"/>
      </w:pPr>
      <w:r w:rsidRPr="004E70CE">
        <w:t xml:space="preserve">Further, potential carbon leakage risks for aluminium and alumina, refined petroleum, and pulp and paper, are recommended for particular consideration as part of the 2026-27 Safeguard Mechanism Review on the suitability of arrangements for emissions-intensive trade-exposed activities. </w:t>
      </w:r>
    </w:p>
    <w:p w14:paraId="242925D5" w14:textId="77777777" w:rsidR="00197335" w:rsidRPr="004E70CE" w:rsidRDefault="00197335" w:rsidP="003011FC">
      <w:pPr>
        <w:widowControl w:val="0"/>
        <w:shd w:val="clear" w:color="auto" w:fill="FFFFFF" w:themeFill="accent6"/>
      </w:pPr>
      <w:r w:rsidRPr="004E70CE">
        <w:t xml:space="preserve">The Review has assessed leakage risks in 2030 for all 73 trade-exposed commodities under the Safeguard Mechanism across 37 commodity groups. </w:t>
      </w:r>
    </w:p>
    <w:p w14:paraId="599D2210" w14:textId="77777777" w:rsidR="00197335" w:rsidRPr="004E70CE" w:rsidRDefault="00197335" w:rsidP="003011FC">
      <w:pPr>
        <w:widowControl w:val="0"/>
        <w:shd w:val="clear" w:color="auto" w:fill="FFFFFF" w:themeFill="accent6"/>
      </w:pPr>
      <w:r w:rsidRPr="004E70CE">
        <w:t>Leakage risk for trade-exposed commodities under the Safeguard Mechanism was assessed using a range of indicators, as well as bespoke econometric analysis for each commodity to quantify trade leakage risk and a proxy for investment leakage risk for broad industry categories. This is combined with commodity-specific qualitative analysis including stakeholder input.</w:t>
      </w:r>
    </w:p>
    <w:p w14:paraId="7C3096CD" w14:textId="77777777" w:rsidR="00197335" w:rsidRPr="004E70CE" w:rsidRDefault="00197335" w:rsidP="003011FC">
      <w:pPr>
        <w:widowControl w:val="0"/>
        <w:shd w:val="clear" w:color="auto" w:fill="FFFFFF" w:themeFill="accent6"/>
      </w:pPr>
      <w:r w:rsidRPr="004E70CE">
        <w:t xml:space="preserve">This analysis, presented in </w:t>
      </w:r>
      <w:r w:rsidRPr="004E70CE">
        <w:rPr>
          <w:b/>
        </w:rPr>
        <w:t>Chapter 2</w:t>
      </w:r>
      <w:r w:rsidRPr="004E70CE">
        <w:t xml:space="preserve"> with further details in the Annex, shows that the risk of carbon leakage is likely to evolve for some specific commodities. The degree and source of that risk varies. </w:t>
      </w:r>
    </w:p>
    <w:p w14:paraId="6F163240" w14:textId="77777777" w:rsidR="00197335" w:rsidRPr="004E70CE" w:rsidRDefault="00197335" w:rsidP="003011FC">
      <w:pPr>
        <w:widowControl w:val="0"/>
        <w:shd w:val="clear" w:color="auto" w:fill="FFFFFF" w:themeFill="accent6"/>
      </w:pPr>
      <w:r w:rsidRPr="004E70CE">
        <w:t>Clinker, cement and lime are commodities where the Review finds a combination of high risks across multiple indicators and high estimates of trade and investment leakage, which aligns with information shared by industry. These commodities will need additional policy measures, with earlier action warranted given the more pronounced nature of the leakage assessment findings.</w:t>
      </w:r>
    </w:p>
    <w:p w14:paraId="4192C426" w14:textId="2A2351C5" w:rsidR="00197335" w:rsidRPr="004E70CE" w:rsidRDefault="00197335" w:rsidP="003011FC">
      <w:pPr>
        <w:widowControl w:val="0"/>
        <w:shd w:val="clear" w:color="auto" w:fill="FFFFFF" w:themeFill="accent6"/>
      </w:pPr>
      <w:r w:rsidRPr="004E70CE">
        <w:t xml:space="preserve">A second group of commodities </w:t>
      </w:r>
      <w:r w:rsidR="00AA1E77" w:rsidRPr="004E70CE">
        <w:t>–</w:t>
      </w:r>
      <w:r w:rsidRPr="004E70CE">
        <w:t xml:space="preserve"> ammonia and derivatives, steel and glass </w:t>
      </w:r>
      <w:r w:rsidR="00AA1E77" w:rsidRPr="004E70CE">
        <w:t>–</w:t>
      </w:r>
      <w:r w:rsidRPr="004E70CE">
        <w:t xml:space="preserve"> are also considered worthy of additional policies to address leakage, but with less impetus for earlier action than the first group. This commodity group exhibits moderate to high risks on multiple indicators, and trade and investment leakage findings that are material or close to it. </w:t>
      </w:r>
    </w:p>
    <w:p w14:paraId="367BCC3C" w14:textId="77777777" w:rsidR="054D2312" w:rsidRPr="004E70CE" w:rsidRDefault="00197335" w:rsidP="003C296C">
      <w:pPr>
        <w:widowControl w:val="0"/>
        <w:shd w:val="clear" w:color="auto" w:fill="FFFFFF" w:themeFill="accent6"/>
      </w:pPr>
      <w:r w:rsidRPr="004E70CE">
        <w:t xml:space="preserve">Alumina, aluminium, refined petroleum, and pulp and paper form a third group which are not considered at risk based on current analysis, but where risks have the potential to become material.  This group is characterised by mixed evidence in relation to leakage risk indicators and analysis of trade and investment leakage. </w:t>
      </w:r>
      <w:r w:rsidR="00C04463" w:rsidRPr="004E70CE">
        <w:t xml:space="preserve"> </w:t>
      </w:r>
    </w:p>
    <w:p w14:paraId="2E1D2E4E" w14:textId="77777777" w:rsidR="00823F58" w:rsidRDefault="00823F58">
      <w:pPr>
        <w:spacing w:after="0" w:line="240" w:lineRule="auto"/>
        <w:rPr>
          <w:b/>
          <w:bCs/>
          <w:u w:val="single"/>
        </w:rPr>
      </w:pPr>
      <w:r>
        <w:rPr>
          <w:b/>
          <w:bCs/>
          <w:u w:val="single"/>
        </w:rPr>
        <w:br w:type="page"/>
      </w:r>
    </w:p>
    <w:p w14:paraId="4656D8E3" w14:textId="3B93BF43" w:rsidR="00674EDB" w:rsidRPr="004E70CE" w:rsidRDefault="000A0A32" w:rsidP="003C296C">
      <w:pPr>
        <w:rPr>
          <w:b/>
          <w:bCs/>
          <w:u w:val="single"/>
        </w:rPr>
      </w:pPr>
      <w:r w:rsidRPr="004E70CE">
        <w:rPr>
          <w:b/>
          <w:bCs/>
          <w:u w:val="single"/>
        </w:rPr>
        <w:lastRenderedPageBreak/>
        <w:t>Border Carbon Adjustment</w:t>
      </w:r>
      <w:r w:rsidR="003F41F3" w:rsidRPr="004E70CE">
        <w:rPr>
          <w:b/>
          <w:bCs/>
          <w:u w:val="single"/>
        </w:rPr>
        <w:t xml:space="preserve"> </w:t>
      </w:r>
    </w:p>
    <w:p w14:paraId="0CCB540F" w14:textId="1DE2B9F8" w:rsidR="00BA105A" w:rsidRPr="004E70CE" w:rsidRDefault="00BA105A" w:rsidP="003C296C">
      <w:pPr>
        <w:pStyle w:val="Calloutbox"/>
        <w:spacing w:after="200" w:line="276" w:lineRule="auto"/>
        <w:rPr>
          <w:b/>
        </w:rPr>
      </w:pPr>
      <w:r w:rsidRPr="004E70CE">
        <w:rPr>
          <w:b/>
        </w:rPr>
        <w:t>Preliminary findings</w:t>
      </w:r>
      <w:r w:rsidR="00555E49" w:rsidRPr="004E70CE">
        <w:rPr>
          <w:b/>
        </w:rPr>
        <w:t xml:space="preserve"> for consultation</w:t>
      </w:r>
    </w:p>
    <w:p w14:paraId="6F6483E3" w14:textId="2804B6C1" w:rsidR="00BE6DC6" w:rsidRPr="004E70CE" w:rsidRDefault="000A0A32" w:rsidP="003C296C">
      <w:pPr>
        <w:pStyle w:val="Calloutbox"/>
        <w:spacing w:after="200" w:line="276" w:lineRule="auto"/>
      </w:pPr>
      <w:r w:rsidRPr="004E70CE">
        <w:t>A border carbon adjustment applied to imports c</w:t>
      </w:r>
      <w:r w:rsidR="00453D75" w:rsidRPr="004E70CE">
        <w:t>ould</w:t>
      </w:r>
      <w:r w:rsidRPr="004E70CE">
        <w:t xml:space="preserve"> be an appropriate policy measure for selected Safeguard</w:t>
      </w:r>
      <w:r w:rsidR="00BE7E35" w:rsidRPr="004E70CE">
        <w:t>-</w:t>
      </w:r>
      <w:r w:rsidRPr="004E70CE">
        <w:t>covered commodities with high carbon leakage risk</w:t>
      </w:r>
      <w:r w:rsidR="00037B13" w:rsidRPr="004E70CE">
        <w:t xml:space="preserve"> from imports</w:t>
      </w:r>
      <w:r w:rsidRPr="004E70CE">
        <w:t xml:space="preserve">. </w:t>
      </w:r>
      <w:r w:rsidR="12E1D89A" w:rsidRPr="004E70CE">
        <w:t xml:space="preserve">It could </w:t>
      </w:r>
      <w:r w:rsidR="5F7CA62F" w:rsidRPr="004E70CE">
        <w:t xml:space="preserve">provide a robust underpinning of the Safeguard Mechanism for commodities where carbon leakage risk is material, and </w:t>
      </w:r>
      <w:r w:rsidR="12E1D89A" w:rsidRPr="004E70CE">
        <w:t>efficiently</w:t>
      </w:r>
      <w:r w:rsidR="007D52EB" w:rsidRPr="004E70CE">
        <w:t xml:space="preserve"> support</w:t>
      </w:r>
      <w:r w:rsidRPr="004E70CE" w:rsidDel="007D52EB">
        <w:t xml:space="preserve"> </w:t>
      </w:r>
      <w:r w:rsidR="007D52EB" w:rsidRPr="004E70CE">
        <w:t>industrial decarbonisation.</w:t>
      </w:r>
    </w:p>
    <w:p w14:paraId="7E247D65" w14:textId="77777777" w:rsidR="000A0A32" w:rsidRPr="004E70CE" w:rsidRDefault="2A4C11EC" w:rsidP="003C296C">
      <w:pPr>
        <w:pStyle w:val="Calloutbox"/>
        <w:spacing w:after="200" w:line="276" w:lineRule="auto"/>
      </w:pPr>
      <w:r w:rsidRPr="004E70CE">
        <w:t xml:space="preserve">Implementation </w:t>
      </w:r>
      <w:r w:rsidR="008C2A1A" w:rsidRPr="004E70CE">
        <w:t>c</w:t>
      </w:r>
      <w:r w:rsidRPr="004E70CE">
        <w:t xml:space="preserve">ould be phased and could involve </w:t>
      </w:r>
      <w:r w:rsidR="00CA6850" w:rsidRPr="004E70CE">
        <w:t xml:space="preserve">the </w:t>
      </w:r>
      <w:r w:rsidRPr="004E70CE">
        <w:t>removal</w:t>
      </w:r>
      <w:r w:rsidR="007D2A4F" w:rsidRPr="004E70CE">
        <w:t xml:space="preserve"> or </w:t>
      </w:r>
      <w:r w:rsidR="008D19AE" w:rsidRPr="004E70CE">
        <w:t>phase out</w:t>
      </w:r>
      <w:r w:rsidRPr="004E70CE">
        <w:t xml:space="preserve"> of TEBA provisions for </w:t>
      </w:r>
      <w:r w:rsidR="00BE6DC6" w:rsidRPr="004E70CE">
        <w:t xml:space="preserve">facilities producing </w:t>
      </w:r>
      <w:r w:rsidR="00BA105A" w:rsidRPr="004E70CE">
        <w:t>commodities where a border carbon adjustment is introduced</w:t>
      </w:r>
      <w:r w:rsidRPr="004E70CE">
        <w:t>.</w:t>
      </w:r>
    </w:p>
    <w:p w14:paraId="6F7F378D" w14:textId="32C934F4" w:rsidR="00C357D0" w:rsidRPr="004E70CE" w:rsidRDefault="54901A5C" w:rsidP="003C296C">
      <w:pPr>
        <w:pStyle w:val="Calloutbox"/>
        <w:spacing w:after="200" w:line="276" w:lineRule="auto"/>
      </w:pPr>
      <w:r w:rsidRPr="004E70CE">
        <w:t>A border carbon adjustment that provides rebates</w:t>
      </w:r>
      <w:r w:rsidR="00C3781B" w:rsidRPr="004E70CE">
        <w:t xml:space="preserve"> </w:t>
      </w:r>
      <w:r w:rsidRPr="004E70CE">
        <w:t>for</w:t>
      </w:r>
      <w:r w:rsidR="00936BCD" w:rsidRPr="004E70CE">
        <w:t xml:space="preserve"> </w:t>
      </w:r>
      <w:r w:rsidRPr="004E70CE">
        <w:t xml:space="preserve">exports would </w:t>
      </w:r>
      <w:r w:rsidR="00A305DB" w:rsidRPr="004E70CE">
        <w:t>be inconsistent with Australia’</w:t>
      </w:r>
      <w:r w:rsidRPr="004E70CE">
        <w:t xml:space="preserve">s </w:t>
      </w:r>
      <w:r w:rsidR="00453D75" w:rsidRPr="004E70CE">
        <w:t>emissions reduction targets</w:t>
      </w:r>
      <w:r w:rsidR="27DF43F6" w:rsidRPr="004E70CE">
        <w:t xml:space="preserve"> </w:t>
      </w:r>
      <w:r w:rsidR="7CFCEE4E" w:rsidRPr="004E70CE">
        <w:t>and</w:t>
      </w:r>
      <w:r w:rsidRPr="004E70CE">
        <w:t xml:space="preserve"> </w:t>
      </w:r>
      <w:r w:rsidR="00453D75" w:rsidRPr="004E70CE">
        <w:t>c</w:t>
      </w:r>
      <w:r w:rsidR="47639F8C" w:rsidRPr="004E70CE">
        <w:t xml:space="preserve">ould </w:t>
      </w:r>
      <w:r w:rsidR="4E31F330" w:rsidRPr="004E70CE">
        <w:t xml:space="preserve">raise </w:t>
      </w:r>
      <w:r w:rsidR="00E10E8C" w:rsidRPr="004E70CE">
        <w:t>considerable</w:t>
      </w:r>
      <w:r w:rsidR="4E31F330" w:rsidRPr="004E70CE">
        <w:t xml:space="preserve"> international trade law concerns. </w:t>
      </w:r>
      <w:r w:rsidR="00B83BBF" w:rsidRPr="004E70CE">
        <w:t>For these reasons a</w:t>
      </w:r>
      <w:r w:rsidR="000A0A32" w:rsidRPr="004E70CE">
        <w:t xml:space="preserve"> border carbon adjustment for exports </w:t>
      </w:r>
      <w:r w:rsidR="00B83BBF" w:rsidRPr="004E70CE">
        <w:t xml:space="preserve">is unlikely to be appropriate for Australia </w:t>
      </w:r>
      <w:r w:rsidR="00C87492" w:rsidRPr="004E70CE">
        <w:t>or</w:t>
      </w:r>
      <w:r w:rsidR="00B83BBF" w:rsidRPr="004E70CE">
        <w:t xml:space="preserve"> achieve the </w:t>
      </w:r>
      <w:r w:rsidR="71164C4A" w:rsidRPr="004E70CE">
        <w:t xml:space="preserve">relevant policy </w:t>
      </w:r>
      <w:r w:rsidR="00B83BBF" w:rsidRPr="004E70CE">
        <w:t>objectives</w:t>
      </w:r>
      <w:r w:rsidR="00B153C2" w:rsidRPr="004E70CE">
        <w:t>.</w:t>
      </w:r>
      <w:r w:rsidR="0F8E3051" w:rsidRPr="004E70CE">
        <w:t xml:space="preserve"> </w:t>
      </w:r>
      <w:r w:rsidR="002A0493" w:rsidRPr="004E70CE">
        <w:t>Well-designed b</w:t>
      </w:r>
      <w:r w:rsidR="0F8E3051" w:rsidRPr="004E70CE">
        <w:t>order carbon adjustments in other countries would provide market premiums to Australian low</w:t>
      </w:r>
      <w:r w:rsidR="007F0B82" w:rsidRPr="004E70CE">
        <w:t xml:space="preserve"> </w:t>
      </w:r>
      <w:r w:rsidR="0F8E3051" w:rsidRPr="004E70CE">
        <w:t>emissions export commodities.</w:t>
      </w:r>
    </w:p>
    <w:p w14:paraId="5BF8C940" w14:textId="16332D38" w:rsidR="004E7867" w:rsidRPr="004E70CE" w:rsidRDefault="1C51CB8F" w:rsidP="003C296C">
      <w:pPr>
        <w:pStyle w:val="Calloutbox"/>
        <w:spacing w:after="200" w:line="276" w:lineRule="auto"/>
      </w:pPr>
      <w:r w:rsidRPr="004E70CE">
        <w:t>A</w:t>
      </w:r>
      <w:r w:rsidR="008C2A1A" w:rsidRPr="004E70CE">
        <w:t>ny</w:t>
      </w:r>
      <w:r w:rsidRPr="004E70CE">
        <w:t xml:space="preserve"> border carbon adjustment </w:t>
      </w:r>
      <w:r w:rsidR="22F30956" w:rsidRPr="004E70CE">
        <w:t xml:space="preserve">would </w:t>
      </w:r>
      <w:r w:rsidR="7DEEBA8E" w:rsidRPr="004E70CE">
        <w:t xml:space="preserve">need to </w:t>
      </w:r>
      <w:r w:rsidR="3674143F" w:rsidRPr="004E70CE">
        <w:t xml:space="preserve">mirror domestic emissions policy settings </w:t>
      </w:r>
      <w:r w:rsidR="008D5534" w:rsidRPr="004E70CE">
        <w:t xml:space="preserve">for </w:t>
      </w:r>
      <w:r w:rsidR="3674143F" w:rsidRPr="004E70CE">
        <w:t>imports</w:t>
      </w:r>
      <w:r w:rsidR="7A9091AD" w:rsidRPr="004E70CE">
        <w:t xml:space="preserve"> </w:t>
      </w:r>
      <w:r w:rsidR="7CC2617B" w:rsidRPr="004E70CE">
        <w:t>to provide</w:t>
      </w:r>
      <w:r w:rsidR="7A9091AD" w:rsidRPr="004E70CE">
        <w:t xml:space="preserve"> a level playing field and </w:t>
      </w:r>
      <w:r w:rsidR="226F56EA" w:rsidRPr="004E70CE">
        <w:t xml:space="preserve">be designed </w:t>
      </w:r>
      <w:r w:rsidR="5D8981D2" w:rsidRPr="004E70CE">
        <w:t>to minimi</w:t>
      </w:r>
      <w:r w:rsidR="00325F97" w:rsidRPr="004E70CE">
        <w:t>s</w:t>
      </w:r>
      <w:r w:rsidR="5D8981D2" w:rsidRPr="004E70CE">
        <w:t>e administrative burdens</w:t>
      </w:r>
      <w:r w:rsidR="3CAD70CA" w:rsidRPr="004E70CE">
        <w:t>.</w:t>
      </w:r>
      <w:r w:rsidR="59D72CEF" w:rsidRPr="004E70CE">
        <w:t xml:space="preserve"> </w:t>
      </w:r>
      <w:r w:rsidR="009008F5" w:rsidRPr="004E70CE">
        <w:t xml:space="preserve">It </w:t>
      </w:r>
      <w:r w:rsidR="33E28CF5" w:rsidRPr="004E70CE">
        <w:t xml:space="preserve">would need to </w:t>
      </w:r>
      <w:r w:rsidR="009008F5" w:rsidRPr="004E70CE">
        <w:t>be consistent with Australia’s longstanding support of an open, rules-based trading system</w:t>
      </w:r>
      <w:r w:rsidR="00232971" w:rsidRPr="004E70CE">
        <w:t xml:space="preserve"> </w:t>
      </w:r>
      <w:r w:rsidR="00865017" w:rsidRPr="004E70CE">
        <w:t xml:space="preserve">and its </w:t>
      </w:r>
      <w:r w:rsidR="00F07BFC" w:rsidRPr="004E70CE">
        <w:t>international trade law obligations</w:t>
      </w:r>
      <w:r w:rsidR="009008F5" w:rsidRPr="004E70CE">
        <w:t xml:space="preserve">. </w:t>
      </w:r>
      <w:r w:rsidR="59D72CEF" w:rsidRPr="004E70CE">
        <w:t>Australia</w:t>
      </w:r>
      <w:r w:rsidR="5F16A18D" w:rsidRPr="004E70CE">
        <w:t xml:space="preserve"> </w:t>
      </w:r>
      <w:r w:rsidR="38CBD136" w:rsidRPr="004E70CE">
        <w:t>c</w:t>
      </w:r>
      <w:r w:rsidR="59D72CEF" w:rsidRPr="004E70CE">
        <w:t xml:space="preserve">ould </w:t>
      </w:r>
      <w:r w:rsidR="38E3460F" w:rsidRPr="004E70CE">
        <w:t>advance relevant work</w:t>
      </w:r>
      <w:r w:rsidR="3CAD70CA" w:rsidRPr="004E70CE">
        <w:t xml:space="preserve"> </w:t>
      </w:r>
      <w:r w:rsidR="661ED7F8" w:rsidRPr="004E70CE">
        <w:t>with plurilateral initiatives</w:t>
      </w:r>
      <w:r w:rsidR="4C297ED9" w:rsidRPr="004E70CE">
        <w:t xml:space="preserve"> and </w:t>
      </w:r>
      <w:r w:rsidR="0AB1DCA7" w:rsidRPr="004E70CE">
        <w:t>support</w:t>
      </w:r>
      <w:r w:rsidR="4C297ED9" w:rsidRPr="004E70CE">
        <w:t xml:space="preserve"> trade partner countries with implementation.</w:t>
      </w:r>
      <w:r w:rsidR="661ED7F8" w:rsidRPr="004E70CE">
        <w:t xml:space="preserve"> </w:t>
      </w:r>
      <w:r w:rsidR="1F6ACE6D" w:rsidRPr="004E70CE">
        <w:t xml:space="preserve"> </w:t>
      </w:r>
      <w:r w:rsidR="3CAD70CA" w:rsidRPr="004E70CE">
        <w:t xml:space="preserve"> </w:t>
      </w:r>
    </w:p>
    <w:p w14:paraId="724D95C8" w14:textId="7426AF0A" w:rsidR="0046483C" w:rsidRPr="004E70CE" w:rsidRDefault="1C51CB8F" w:rsidP="003C296C">
      <w:r w:rsidRPr="004E70CE">
        <w:t xml:space="preserve">A border carbon adjustment mechanism </w:t>
      </w:r>
      <w:r w:rsidR="004407A6" w:rsidRPr="004E70CE">
        <w:t>c</w:t>
      </w:r>
      <w:r w:rsidR="3F7FCF46" w:rsidRPr="004E70CE">
        <w:t xml:space="preserve">ould </w:t>
      </w:r>
      <w:r w:rsidR="004407A6" w:rsidRPr="004E70CE">
        <w:t xml:space="preserve">be used to </w:t>
      </w:r>
      <w:r w:rsidR="233199A6" w:rsidRPr="004E70CE">
        <w:t>equalise the</w:t>
      </w:r>
      <w:r w:rsidR="052EC67C" w:rsidRPr="004E70CE">
        <w:t xml:space="preserve"> effective</w:t>
      </w:r>
      <w:r w:rsidR="233199A6" w:rsidRPr="004E70CE">
        <w:t xml:space="preserve"> </w:t>
      </w:r>
      <w:r w:rsidR="233199A6" w:rsidRPr="004E70CE" w:rsidDel="00A9376E">
        <w:t xml:space="preserve">carbon </w:t>
      </w:r>
      <w:r w:rsidR="640ADD31" w:rsidRPr="004E70CE" w:rsidDel="00296B1F">
        <w:t xml:space="preserve">reduction efforts </w:t>
      </w:r>
      <w:r w:rsidR="7CA36A65" w:rsidRPr="004E70CE">
        <w:t>between</w:t>
      </w:r>
      <w:r w:rsidR="640ADD31" w:rsidRPr="004E70CE">
        <w:t xml:space="preserve"> </w:t>
      </w:r>
      <w:r w:rsidR="7CA36A65" w:rsidRPr="004E70CE">
        <w:t>Australia</w:t>
      </w:r>
      <w:r w:rsidR="233199A6" w:rsidRPr="004E70CE">
        <w:t xml:space="preserve"> </w:t>
      </w:r>
      <w:r w:rsidR="640ADD31" w:rsidRPr="004E70CE">
        <w:t xml:space="preserve">and foreign </w:t>
      </w:r>
      <w:r w:rsidR="640ADD31" w:rsidRPr="004E70CE" w:rsidDel="00296B1F">
        <w:t>jurisdictions</w:t>
      </w:r>
      <w:r w:rsidR="640ADD31" w:rsidRPr="004E70CE">
        <w:t>.</w:t>
      </w:r>
      <w:r w:rsidR="233199A6" w:rsidRPr="004E70CE">
        <w:t xml:space="preserve"> </w:t>
      </w:r>
    </w:p>
    <w:p w14:paraId="25780B53" w14:textId="0B16189C" w:rsidR="009E3290" w:rsidRPr="004E70CE" w:rsidRDefault="00F83ED4" w:rsidP="003C296C">
      <w:r w:rsidRPr="004E70CE">
        <w:t xml:space="preserve">Many </w:t>
      </w:r>
      <w:r w:rsidR="691FFDC6" w:rsidRPr="004E70CE">
        <w:t xml:space="preserve">stakeholders have argued in favour of a border carbon adjustment. </w:t>
      </w:r>
      <w:r w:rsidR="21021473" w:rsidRPr="004E70CE">
        <w:t xml:space="preserve">The Review has closely considered </w:t>
      </w:r>
      <w:r w:rsidR="1B8DA43C" w:rsidRPr="004E70CE">
        <w:t>suitability and feasibility</w:t>
      </w:r>
      <w:r w:rsidR="21021473" w:rsidRPr="004E70CE">
        <w:t xml:space="preserve"> of </w:t>
      </w:r>
      <w:r w:rsidR="00A52ECE" w:rsidRPr="004E70CE">
        <w:t xml:space="preserve">a </w:t>
      </w:r>
      <w:r w:rsidR="21021473" w:rsidRPr="004E70CE">
        <w:t>border carbon adjustment</w:t>
      </w:r>
      <w:r w:rsidR="7C55835C" w:rsidRPr="004E70CE">
        <w:t xml:space="preserve"> and </w:t>
      </w:r>
      <w:r w:rsidR="44749109" w:rsidRPr="004E70CE">
        <w:t>finds</w:t>
      </w:r>
      <w:r w:rsidR="7DEEBA8E" w:rsidRPr="004E70CE">
        <w:t xml:space="preserve"> </w:t>
      </w:r>
      <w:r w:rsidR="7C55835C" w:rsidRPr="004E70CE">
        <w:t xml:space="preserve">that </w:t>
      </w:r>
      <w:r w:rsidR="0383F545" w:rsidRPr="004E70CE">
        <w:t xml:space="preserve">it </w:t>
      </w:r>
      <w:r w:rsidR="00B83BBF" w:rsidRPr="004E70CE">
        <w:t xml:space="preserve">could </w:t>
      </w:r>
      <w:r w:rsidR="4277F682" w:rsidRPr="004E70CE">
        <w:t xml:space="preserve">be an appropriate measure for </w:t>
      </w:r>
      <w:r w:rsidR="645AB072" w:rsidRPr="004E70CE">
        <w:t>select</w:t>
      </w:r>
      <w:r w:rsidR="160F90FF" w:rsidRPr="004E70CE">
        <w:t>ed</w:t>
      </w:r>
      <w:r w:rsidR="645AB072" w:rsidRPr="004E70CE">
        <w:t xml:space="preserve"> </w:t>
      </w:r>
      <w:r w:rsidR="4277F682" w:rsidRPr="004E70CE">
        <w:t xml:space="preserve">commodities, subject to </w:t>
      </w:r>
      <w:r w:rsidR="286C42B5" w:rsidRPr="004E70CE">
        <w:t xml:space="preserve">considerations </w:t>
      </w:r>
      <w:r w:rsidR="4277F682" w:rsidRPr="004E70CE">
        <w:t xml:space="preserve">set out below. </w:t>
      </w:r>
    </w:p>
    <w:p w14:paraId="095737C3" w14:textId="77777777" w:rsidR="00027E85" w:rsidRPr="004E70CE" w:rsidRDefault="2A2963BF" w:rsidP="003C296C">
      <w:r w:rsidRPr="004E70CE">
        <w:t xml:space="preserve">The Review has found that </w:t>
      </w:r>
      <w:r w:rsidR="5252AB30" w:rsidRPr="004E70CE">
        <w:t xml:space="preserve">a border carbon adjustment that </w:t>
      </w:r>
      <w:r w:rsidR="5252AB30" w:rsidRPr="004E70CE" w:rsidDel="00B8498F">
        <w:t xml:space="preserve">applies a </w:t>
      </w:r>
      <w:r w:rsidR="5252AB30" w:rsidRPr="004E70CE">
        <w:t>rebate</w:t>
      </w:r>
      <w:r w:rsidR="5252AB30" w:rsidRPr="004E70CE" w:rsidDel="00B8498F">
        <w:t xml:space="preserve"> on</w:t>
      </w:r>
      <w:r w:rsidR="5252AB30" w:rsidRPr="004E70CE">
        <w:t xml:space="preserve"> export is not suitable for Australia.</w:t>
      </w:r>
    </w:p>
    <w:p w14:paraId="7202E7B0" w14:textId="69BAC374" w:rsidR="00027E85" w:rsidRPr="004E70CE" w:rsidRDefault="2DA7473A" w:rsidP="003C296C">
      <w:pPr>
        <w:rPr>
          <w:rFonts w:ascii="Calibri" w:eastAsia="Calibri" w:hAnsi="Calibri" w:cs="Calibri"/>
        </w:rPr>
      </w:pPr>
      <w:r w:rsidRPr="004E70CE">
        <w:t xml:space="preserve">Rebating emissions obligations to exports would effectively exempt production for export from emissions reductions obligations, running counter </w:t>
      </w:r>
      <w:r w:rsidR="003200AA" w:rsidRPr="004E70CE">
        <w:t xml:space="preserve">to </w:t>
      </w:r>
      <w:r w:rsidRPr="004E70CE">
        <w:t>overall policy objectives towards net zero and increasing the required emissions reductions elsewhere i</w:t>
      </w:r>
      <w:r w:rsidR="7E778B53" w:rsidRPr="004E70CE">
        <w:t xml:space="preserve">n the economy. Further, </w:t>
      </w:r>
      <w:r w:rsidR="001B65E9" w:rsidRPr="004E70CE">
        <w:t xml:space="preserve">a </w:t>
      </w:r>
      <w:r w:rsidR="7E778B53" w:rsidRPr="004E70CE">
        <w:t xml:space="preserve">border </w:t>
      </w:r>
      <w:r w:rsidR="00F612C4" w:rsidRPr="004E70CE">
        <w:t xml:space="preserve">carbon </w:t>
      </w:r>
      <w:r w:rsidR="7E778B53" w:rsidRPr="004E70CE">
        <w:t>adjustment for export</w:t>
      </w:r>
      <w:r w:rsidR="00F612C4" w:rsidRPr="004E70CE">
        <w:t>s</w:t>
      </w:r>
      <w:r w:rsidR="7E778B53" w:rsidRPr="004E70CE">
        <w:t xml:space="preserve"> </w:t>
      </w:r>
      <w:r w:rsidR="00B83BBF" w:rsidRPr="004E70CE">
        <w:t>c</w:t>
      </w:r>
      <w:r w:rsidR="7E778B53" w:rsidRPr="004E70CE">
        <w:t xml:space="preserve">ould raise </w:t>
      </w:r>
      <w:r w:rsidR="00EE14A4" w:rsidRPr="004E70CE">
        <w:t>considerable international trade law</w:t>
      </w:r>
      <w:r w:rsidR="7E778B53" w:rsidRPr="004E70CE">
        <w:t xml:space="preserve"> concerns</w:t>
      </w:r>
      <w:r w:rsidR="367CB39D" w:rsidRPr="004E70CE">
        <w:t>.</w:t>
      </w:r>
      <w:r w:rsidR="4479ED8B" w:rsidRPr="004E70CE">
        <w:t xml:space="preserve"> </w:t>
      </w:r>
      <w:r w:rsidR="708686E7" w:rsidRPr="004E70CE">
        <w:t xml:space="preserve"> </w:t>
      </w:r>
    </w:p>
    <w:p w14:paraId="747F3F73" w14:textId="6C0133A7" w:rsidR="00BA105A" w:rsidRPr="004E70CE" w:rsidRDefault="708686E7" w:rsidP="003C296C">
      <w:r w:rsidRPr="004E70CE">
        <w:t>The Review has found that some export</w:t>
      </w:r>
      <w:r w:rsidR="173361BC" w:rsidRPr="004E70CE">
        <w:t>-</w:t>
      </w:r>
      <w:r w:rsidRPr="004E70CE">
        <w:t>oriented sectors are subject to carbon leakage risk</w:t>
      </w:r>
      <w:r w:rsidR="5A566FA9" w:rsidRPr="004E70CE">
        <w:t xml:space="preserve">. </w:t>
      </w:r>
      <w:r w:rsidRPr="004E70CE">
        <w:t xml:space="preserve">In some cases, </w:t>
      </w:r>
      <w:r w:rsidR="23C66F39" w:rsidRPr="004E70CE">
        <w:t>public investments will help competitiveness of green production in internat</w:t>
      </w:r>
      <w:r w:rsidR="00D449BE" w:rsidRPr="004E70CE">
        <w:t>i</w:t>
      </w:r>
      <w:r w:rsidR="23C66F39" w:rsidRPr="004E70CE">
        <w:t>onal markets.</w:t>
      </w:r>
      <w:r w:rsidR="0E572531" w:rsidRPr="004E70CE">
        <w:t xml:space="preserve"> </w:t>
      </w:r>
      <w:r w:rsidR="7B882F32" w:rsidRPr="004E70CE">
        <w:t>Longer term</w:t>
      </w:r>
      <w:r w:rsidR="594257E2" w:rsidRPr="004E70CE">
        <w:t>, e</w:t>
      </w:r>
      <w:r w:rsidR="7A26BC25" w:rsidRPr="004E70CE">
        <w:t xml:space="preserve">xport sectors </w:t>
      </w:r>
      <w:r w:rsidR="25B9D46D" w:rsidRPr="004E70CE">
        <w:t>stand to</w:t>
      </w:r>
      <w:r w:rsidR="7A26BC25" w:rsidRPr="004E70CE">
        <w:t xml:space="preserve"> benefit from increased climate ambition worldwide, including carbon pricing </w:t>
      </w:r>
      <w:r w:rsidR="18FB54DB" w:rsidRPr="004E70CE">
        <w:t xml:space="preserve">matched with border </w:t>
      </w:r>
      <w:r w:rsidR="00F84AE8" w:rsidRPr="004E70CE">
        <w:t xml:space="preserve">carbon </w:t>
      </w:r>
      <w:r w:rsidR="18FB54DB" w:rsidRPr="004E70CE">
        <w:t xml:space="preserve">adjustments </w:t>
      </w:r>
      <w:r w:rsidR="7A26BC25" w:rsidRPr="004E70CE">
        <w:t xml:space="preserve">in </w:t>
      </w:r>
      <w:r w:rsidR="6CE05511" w:rsidRPr="004E70CE">
        <w:t>other countries</w:t>
      </w:r>
      <w:r w:rsidR="7A26BC25" w:rsidRPr="004E70CE">
        <w:t xml:space="preserve">. In this respect, </w:t>
      </w:r>
      <w:r w:rsidR="7EB45DD7" w:rsidRPr="004E70CE">
        <w:t xml:space="preserve">Australia has opportunities to amplify </w:t>
      </w:r>
      <w:r w:rsidR="0E572531" w:rsidRPr="004E70CE">
        <w:t xml:space="preserve">multilateral and plurilateral engagement </w:t>
      </w:r>
      <w:r w:rsidR="3A2D1464" w:rsidRPr="004E70CE">
        <w:t>to</w:t>
      </w:r>
      <w:r w:rsidR="0E572531" w:rsidRPr="004E70CE">
        <w:t xml:space="preserve"> </w:t>
      </w:r>
      <w:r w:rsidR="35ECD329" w:rsidRPr="004E70CE">
        <w:t>encourage</w:t>
      </w:r>
      <w:r w:rsidR="7A26BC25" w:rsidRPr="004E70CE">
        <w:t xml:space="preserve"> premium</w:t>
      </w:r>
      <w:r w:rsidR="2ABF965C" w:rsidRPr="004E70CE">
        <w:t>s</w:t>
      </w:r>
      <w:r w:rsidR="7A26BC25" w:rsidRPr="004E70CE">
        <w:t xml:space="preserve"> for low</w:t>
      </w:r>
      <w:r w:rsidR="00917215">
        <w:t xml:space="preserve"> </w:t>
      </w:r>
      <w:r w:rsidR="7A26BC25" w:rsidRPr="004E70CE">
        <w:t>emissions goods</w:t>
      </w:r>
      <w:r w:rsidR="5A5F1305" w:rsidRPr="004E70CE">
        <w:t>.</w:t>
      </w:r>
      <w:r w:rsidR="7A26BC25" w:rsidRPr="004E70CE">
        <w:t xml:space="preserve"> </w:t>
      </w:r>
    </w:p>
    <w:p w14:paraId="50B20A00" w14:textId="58A8E964" w:rsidR="00421B76" w:rsidRPr="004E70CE" w:rsidRDefault="00421B76" w:rsidP="00421B76">
      <w:r w:rsidRPr="004E70CE">
        <w:t xml:space="preserve">A border carbon adjustment for selected commodities imported to Australia </w:t>
      </w:r>
      <w:r w:rsidR="004407A6" w:rsidRPr="004E70CE">
        <w:t>c</w:t>
      </w:r>
      <w:r w:rsidRPr="004E70CE">
        <w:t xml:space="preserve">ould </w:t>
      </w:r>
      <w:r w:rsidR="004407A6" w:rsidRPr="004E70CE">
        <w:t xml:space="preserve">be designed </w:t>
      </w:r>
      <w:r w:rsidRPr="004E70CE">
        <w:t xml:space="preserve">to provide a level playing field regarding emissions reduction policy, and to facilitate trade of low </w:t>
      </w:r>
      <w:r w:rsidRPr="004E70CE">
        <w:lastRenderedPageBreak/>
        <w:t xml:space="preserve">emissions commodities. Perspectives from Australia’s trade partners </w:t>
      </w:r>
      <w:r w:rsidR="008C2A1A" w:rsidRPr="004E70CE">
        <w:t>would be</w:t>
      </w:r>
      <w:r w:rsidR="008C2A1A" w:rsidRPr="004E70CE" w:rsidDel="005F759E">
        <w:t xml:space="preserve"> </w:t>
      </w:r>
      <w:r w:rsidRPr="004E70CE">
        <w:t xml:space="preserve">important in the detailed design of a border carbon adjustment. </w:t>
      </w:r>
    </w:p>
    <w:p w14:paraId="59367924" w14:textId="046449FB" w:rsidR="00770A02" w:rsidRPr="004E70CE" w:rsidRDefault="00D9079F" w:rsidP="003C296C">
      <w:pPr>
        <w:rPr>
          <w:rFonts w:ascii="CIDFont+F4" w:hAnsi="CIDFont+F4" w:cs="CIDFont+F4"/>
        </w:rPr>
      </w:pPr>
      <w:r w:rsidRPr="004E70CE">
        <w:rPr>
          <w:rFonts w:ascii="CIDFont+F4" w:hAnsi="CIDFont+F4" w:cs="CIDFont+F4"/>
        </w:rPr>
        <w:t>In this paper</w:t>
      </w:r>
      <w:r w:rsidR="006A0023" w:rsidRPr="004E70CE">
        <w:rPr>
          <w:rFonts w:ascii="CIDFont+F4" w:hAnsi="CIDFont+F4" w:cs="CIDFont+F4"/>
        </w:rPr>
        <w:t>, unless otherwise stated,</w:t>
      </w:r>
      <w:r w:rsidRPr="004E70CE">
        <w:rPr>
          <w:rFonts w:ascii="CIDFont+F4" w:hAnsi="CIDFont+F4" w:cs="CIDFont+F4"/>
        </w:rPr>
        <w:t xml:space="preserve"> the term ‘border carbon adjustment’ will be used to refer to an import-based border carbon adjustment mechanism.</w:t>
      </w:r>
    </w:p>
    <w:p w14:paraId="19D23D70" w14:textId="4910B12B" w:rsidR="00984AA1" w:rsidRPr="004E70CE" w:rsidRDefault="001A71C8" w:rsidP="003C296C">
      <w:r w:rsidRPr="004E70CE">
        <w:rPr>
          <w:b/>
          <w:bCs/>
        </w:rPr>
        <w:t xml:space="preserve">3.4 </w:t>
      </w:r>
      <w:r w:rsidR="00984AA1" w:rsidRPr="004E70CE">
        <w:rPr>
          <w:b/>
          <w:bCs/>
        </w:rPr>
        <w:t>Sectoral application</w:t>
      </w:r>
    </w:p>
    <w:p w14:paraId="318B9F9F" w14:textId="77777777" w:rsidR="2F166EF5" w:rsidRPr="004E70CE" w:rsidRDefault="367D2756" w:rsidP="003C296C">
      <w:pPr>
        <w:pStyle w:val="Calloutbox"/>
        <w:spacing w:after="200" w:line="276" w:lineRule="auto"/>
        <w:rPr>
          <w:b/>
          <w:bCs/>
        </w:rPr>
      </w:pPr>
      <w:r w:rsidRPr="004E70CE">
        <w:rPr>
          <w:b/>
          <w:bCs/>
        </w:rPr>
        <w:t xml:space="preserve">Preliminary </w:t>
      </w:r>
      <w:r w:rsidR="00D71AA3" w:rsidRPr="004E70CE">
        <w:rPr>
          <w:b/>
          <w:bCs/>
        </w:rPr>
        <w:t>findings</w:t>
      </w:r>
      <w:r w:rsidR="00B84BD5" w:rsidRPr="004E70CE">
        <w:rPr>
          <w:b/>
          <w:bCs/>
        </w:rPr>
        <w:t xml:space="preserve"> for consultation</w:t>
      </w:r>
    </w:p>
    <w:p w14:paraId="54775780" w14:textId="630E90D2" w:rsidR="001C0AA9" w:rsidRPr="004E70CE" w:rsidRDefault="001C0AA9" w:rsidP="003C296C">
      <w:pPr>
        <w:pStyle w:val="Calloutbox"/>
        <w:spacing w:after="200" w:line="276" w:lineRule="auto"/>
      </w:pPr>
      <w:r w:rsidRPr="004E70CE">
        <w:t xml:space="preserve">Cement and clinker would be suitable for initial consideration </w:t>
      </w:r>
      <w:r w:rsidR="00B37782" w:rsidRPr="004E70CE">
        <w:t xml:space="preserve">for </w:t>
      </w:r>
      <w:r w:rsidRPr="004E70CE">
        <w:t xml:space="preserve">a border carbon adjustment. Lime </w:t>
      </w:r>
      <w:r w:rsidR="00C87492" w:rsidRPr="004E70CE">
        <w:t xml:space="preserve">would </w:t>
      </w:r>
      <w:r w:rsidR="008A416D" w:rsidRPr="004E70CE">
        <w:t>also</w:t>
      </w:r>
      <w:r w:rsidRPr="004E70CE">
        <w:t xml:space="preserve"> </w:t>
      </w:r>
      <w:r w:rsidR="00C87492" w:rsidRPr="004E70CE">
        <w:t xml:space="preserve">be </w:t>
      </w:r>
      <w:r w:rsidRPr="004E70CE">
        <w:t>suitable for early consideration</w:t>
      </w:r>
      <w:r w:rsidR="00671293" w:rsidRPr="004E70CE">
        <w:t>,</w:t>
      </w:r>
      <w:r w:rsidRPr="004E70CE">
        <w:t xml:space="preserve"> however production coverage under the Safeguard Mechanism is only partial and would need to be carefully considered to align with the international trade law principle of non-discrimination between domestic products and imports. </w:t>
      </w:r>
    </w:p>
    <w:p w14:paraId="0164A0F2" w14:textId="40D6ACEB" w:rsidR="001C0AA9" w:rsidRPr="004E70CE" w:rsidRDefault="004E60D6" w:rsidP="003C296C">
      <w:pPr>
        <w:pStyle w:val="Calloutbox"/>
        <w:spacing w:after="200" w:line="276" w:lineRule="auto"/>
      </w:pPr>
      <w:r w:rsidRPr="004E70CE">
        <w:t>Based on current analysis</w:t>
      </w:r>
      <w:r w:rsidR="001C0AA9" w:rsidRPr="004E70CE">
        <w:t>, ammonia and derivatives</w:t>
      </w:r>
      <w:r w:rsidR="000D6F4F" w:rsidRPr="004E70CE">
        <w:t>,</w:t>
      </w:r>
      <w:r w:rsidR="001C0AA9" w:rsidRPr="004E70CE">
        <w:t xml:space="preserve"> and steel, as well as</w:t>
      </w:r>
      <w:r w:rsidR="001C0AA9" w:rsidRPr="004E70CE" w:rsidDel="008757AE">
        <w:t xml:space="preserve"> </w:t>
      </w:r>
      <w:r w:rsidR="001C0AA9" w:rsidRPr="004E70CE">
        <w:t xml:space="preserve">glass </w:t>
      </w:r>
      <w:r w:rsidR="00C87492" w:rsidRPr="004E70CE">
        <w:t xml:space="preserve">would be </w:t>
      </w:r>
      <w:r w:rsidR="001C0AA9" w:rsidRPr="004E70CE">
        <w:t>worth further policy consideration and could be candidates for a border carbon adjustment later.</w:t>
      </w:r>
    </w:p>
    <w:p w14:paraId="0C7F166B" w14:textId="77777777" w:rsidR="001C0AA9" w:rsidRPr="004E70CE" w:rsidRDefault="001C0AA9" w:rsidP="003C296C">
      <w:pPr>
        <w:pStyle w:val="Calloutbox"/>
        <w:spacing w:after="200" w:line="276" w:lineRule="auto"/>
      </w:pPr>
      <w:r w:rsidRPr="004E70CE">
        <w:t>A border carbon adjustment would most suitably be implemented in a phased approach, starting with commodities at relatively high risk of carbon leakage and for which implementation is likely to be simplest.</w:t>
      </w:r>
    </w:p>
    <w:p w14:paraId="028BCAB0" w14:textId="77777777" w:rsidR="001C0AA9" w:rsidRPr="004E70CE" w:rsidRDefault="008C2A1A" w:rsidP="003C296C">
      <w:pPr>
        <w:pStyle w:val="Calloutbox"/>
        <w:spacing w:after="200" w:line="276" w:lineRule="auto"/>
      </w:pPr>
      <w:r w:rsidRPr="004E70CE">
        <w:t>Should a border carbon adjustment be pursued, c</w:t>
      </w:r>
      <w:r w:rsidR="001C0AA9" w:rsidRPr="004E70CE">
        <w:t xml:space="preserve">overage of commodities could be expanded over time where the suitability criteria are met, as experiences accrue and reliable emissions monitoring is expanded. Further stakeholder consultation would </w:t>
      </w:r>
      <w:r w:rsidR="00375A0C" w:rsidRPr="004E70CE">
        <w:t xml:space="preserve">need to </w:t>
      </w:r>
      <w:r w:rsidR="001C0AA9" w:rsidRPr="004E70CE">
        <w:t xml:space="preserve">be undertaken before the addition of other commodities.  </w:t>
      </w:r>
    </w:p>
    <w:p w14:paraId="47EB6950" w14:textId="11E317C7" w:rsidR="4DF09D13" w:rsidRPr="004E70CE" w:rsidRDefault="004407A6" w:rsidP="003C296C">
      <w:r w:rsidRPr="004E70CE">
        <w:t>Th</w:t>
      </w:r>
      <w:r w:rsidR="00B836E0" w:rsidRPr="004E70CE">
        <w:t>e</w:t>
      </w:r>
      <w:r w:rsidRPr="004E70CE">
        <w:t xml:space="preserve"> Review’s consideration of t</w:t>
      </w:r>
      <w:r w:rsidR="4DF09D13" w:rsidRPr="004E70CE">
        <w:t xml:space="preserve">he suitability of a border carbon adjustment </w:t>
      </w:r>
      <w:r w:rsidRPr="004E70CE">
        <w:t xml:space="preserve">has been </w:t>
      </w:r>
      <w:r w:rsidR="4DF09D13" w:rsidRPr="004E70CE">
        <w:t xml:space="preserve">informed by a commodity-by-commodity analysis, </w:t>
      </w:r>
      <w:r w:rsidRPr="004E70CE">
        <w:t xml:space="preserve">with </w:t>
      </w:r>
      <w:r w:rsidR="4DF09D13" w:rsidRPr="004E70CE">
        <w:t>regard to:</w:t>
      </w:r>
    </w:p>
    <w:p w14:paraId="2D33FA12" w14:textId="77777777" w:rsidR="4DF09D13" w:rsidRPr="004E70CE" w:rsidRDefault="00AC0A19" w:rsidP="003C296C">
      <w:pPr>
        <w:pStyle w:val="ListParagraph"/>
        <w:numPr>
          <w:ilvl w:val="0"/>
          <w:numId w:val="28"/>
        </w:numPr>
        <w:spacing w:line="276" w:lineRule="auto"/>
        <w:ind w:left="714" w:hanging="357"/>
      </w:pPr>
      <w:r w:rsidRPr="004E70CE">
        <w:t>t</w:t>
      </w:r>
      <w:r w:rsidR="4DF09D13" w:rsidRPr="004E70CE">
        <w:t>he extent of carbon leakage risk facing the sector without additional policies</w:t>
      </w:r>
    </w:p>
    <w:p w14:paraId="3E0D48B9" w14:textId="77777777" w:rsidR="4DF09D13" w:rsidRPr="004E70CE" w:rsidRDefault="00AC0A19" w:rsidP="003C296C">
      <w:pPr>
        <w:pStyle w:val="ListParagraph"/>
        <w:numPr>
          <w:ilvl w:val="0"/>
          <w:numId w:val="28"/>
        </w:numPr>
        <w:spacing w:line="276" w:lineRule="auto"/>
        <w:ind w:left="714" w:hanging="357"/>
      </w:pPr>
      <w:r w:rsidRPr="004E70CE">
        <w:t>the practical</w:t>
      </w:r>
      <w:r w:rsidR="4DF09D13" w:rsidRPr="004E70CE">
        <w:t xml:space="preserve"> feasibility of a border carbon adjustment for the sector</w:t>
      </w:r>
      <w:r w:rsidRPr="004E70CE">
        <w:t>,</w:t>
      </w:r>
      <w:r w:rsidR="4DF09D13" w:rsidRPr="004E70CE">
        <w:t xml:space="preserve"> accounting for sector-specific considerations (e.g. simplicity or complexity of calculating embedded emissions, traceability of commodities through supply chains, etc.)</w:t>
      </w:r>
    </w:p>
    <w:p w14:paraId="1EABC64A" w14:textId="77777777" w:rsidR="4DF09D13" w:rsidRPr="004E70CE" w:rsidRDefault="00AC0A19" w:rsidP="003C296C">
      <w:pPr>
        <w:pStyle w:val="ListParagraph"/>
        <w:numPr>
          <w:ilvl w:val="0"/>
          <w:numId w:val="28"/>
        </w:numPr>
        <w:spacing w:line="276" w:lineRule="auto"/>
        <w:ind w:left="714" w:hanging="357"/>
      </w:pPr>
      <w:r w:rsidRPr="004E70CE">
        <w:t>t</w:t>
      </w:r>
      <w:r w:rsidR="4DF09D13" w:rsidRPr="004E70CE">
        <w:t>he share of domestic production subject to Safeguard obligations</w:t>
      </w:r>
    </w:p>
    <w:p w14:paraId="3EE2B9A2" w14:textId="77777777" w:rsidR="4DF09D13" w:rsidRPr="004E70CE" w:rsidRDefault="00CC515A" w:rsidP="003C296C">
      <w:pPr>
        <w:pStyle w:val="ListParagraph"/>
        <w:numPr>
          <w:ilvl w:val="0"/>
          <w:numId w:val="28"/>
        </w:numPr>
        <w:spacing w:after="200" w:line="276" w:lineRule="auto"/>
        <w:ind w:left="714" w:hanging="357"/>
      </w:pPr>
      <w:r w:rsidRPr="004E70CE">
        <w:t>o</w:t>
      </w:r>
      <w:r w:rsidR="4DF09D13" w:rsidRPr="004E70CE">
        <w:t>ther existing policies that may affect carbon leakage risk assessment or the suitability of a border carbon adjustment.</w:t>
      </w:r>
    </w:p>
    <w:p w14:paraId="1AF850E6" w14:textId="77777777" w:rsidR="00533B57" w:rsidRPr="004E70CE" w:rsidRDefault="00984AA1" w:rsidP="003C296C">
      <w:r w:rsidRPr="004E70CE">
        <w:t>Using the criteria above, the Review’s preliminary assessment is that cement</w:t>
      </w:r>
      <w:r w:rsidR="6F296AFD" w:rsidRPr="004E70CE">
        <w:t xml:space="preserve"> and</w:t>
      </w:r>
      <w:r w:rsidRPr="004E70CE">
        <w:t xml:space="preserve"> clinker would be suitable for initial consideration </w:t>
      </w:r>
      <w:r w:rsidR="00CC515A" w:rsidRPr="004E70CE">
        <w:t xml:space="preserve">for </w:t>
      </w:r>
      <w:r w:rsidRPr="004E70CE">
        <w:t xml:space="preserve">a border carbon adjustment. </w:t>
      </w:r>
      <w:r w:rsidR="3F9F04DB" w:rsidRPr="004E70CE">
        <w:t xml:space="preserve">Clinker, an energy and emissions intensive key ingredient in cement, has </w:t>
      </w:r>
      <w:r w:rsidR="6D6D8787" w:rsidRPr="004E70CE">
        <w:t xml:space="preserve">a </w:t>
      </w:r>
      <w:r w:rsidR="3F9F04DB" w:rsidRPr="004E70CE">
        <w:t xml:space="preserve">high </w:t>
      </w:r>
      <w:r w:rsidR="5019BA3A" w:rsidRPr="004E70CE">
        <w:t>ratio of</w:t>
      </w:r>
      <w:r w:rsidR="3F9F04DB" w:rsidRPr="004E70CE">
        <w:t xml:space="preserve"> carbon </w:t>
      </w:r>
      <w:r w:rsidR="6050CB2B" w:rsidRPr="004E70CE">
        <w:t xml:space="preserve">costs to product price and imports are readily substitutable for domestic production. </w:t>
      </w:r>
      <w:r w:rsidR="1DFF0C07" w:rsidRPr="004E70CE">
        <w:t xml:space="preserve">Supply chains are not complex, which facilitates monitoring and reporting of emissions intensity of imports. </w:t>
      </w:r>
      <w:r w:rsidR="008A4472" w:rsidRPr="004E70CE">
        <w:t>The assessment is similar for cement.</w:t>
      </w:r>
    </w:p>
    <w:p w14:paraId="43444140" w14:textId="77777777" w:rsidR="00533B57" w:rsidRPr="004E70CE" w:rsidRDefault="72ED941B" w:rsidP="003C296C">
      <w:r w:rsidRPr="004E70CE">
        <w:t xml:space="preserve">For both cement and clinker production, </w:t>
      </w:r>
      <w:r w:rsidR="003F31B0" w:rsidRPr="004E70CE">
        <w:t xml:space="preserve">a </w:t>
      </w:r>
      <w:r w:rsidRPr="004E70CE">
        <w:t>border carbon adjustment may enhance prospects for investment in future low</w:t>
      </w:r>
      <w:r w:rsidR="00213759" w:rsidRPr="004E70CE">
        <w:t xml:space="preserve"> </w:t>
      </w:r>
      <w:r w:rsidRPr="004E70CE">
        <w:t xml:space="preserve">emissions production capacity located wherever </w:t>
      </w:r>
      <w:r w:rsidR="56692B8B" w:rsidRPr="004E70CE">
        <w:t>cost structures are most competitive.</w:t>
      </w:r>
      <w:r w:rsidR="00E67199" w:rsidRPr="004E70CE">
        <w:t xml:space="preserve"> In some circumstances, it could encourage substitution t</w:t>
      </w:r>
      <w:r w:rsidR="00375A0C" w:rsidRPr="004E70CE">
        <w:t>o</w:t>
      </w:r>
      <w:r w:rsidR="00E67199" w:rsidRPr="004E70CE">
        <w:t xml:space="preserve"> lower emissions alternatives.</w:t>
      </w:r>
    </w:p>
    <w:p w14:paraId="2C8808D8" w14:textId="7FC45A8F" w:rsidR="003A222D" w:rsidRPr="004E70CE" w:rsidRDefault="2BD4B9E2" w:rsidP="003C296C">
      <w:r w:rsidRPr="004E70CE">
        <w:lastRenderedPageBreak/>
        <w:t>Lime</w:t>
      </w:r>
      <w:r w:rsidR="7C29A9B6" w:rsidRPr="004E70CE">
        <w:t xml:space="preserve"> production shares similar features</w:t>
      </w:r>
      <w:r w:rsidR="00A12435" w:rsidRPr="004E70CE">
        <w:t xml:space="preserve"> </w:t>
      </w:r>
      <w:r w:rsidR="10AD2AE6" w:rsidRPr="004E70CE">
        <w:t xml:space="preserve">and </w:t>
      </w:r>
      <w:r w:rsidRPr="004E70CE">
        <w:t xml:space="preserve">would </w:t>
      </w:r>
      <w:r w:rsidR="0AB2766B" w:rsidRPr="004E70CE">
        <w:t>in principle</w:t>
      </w:r>
      <w:r w:rsidRPr="004E70CE">
        <w:t xml:space="preserve"> be suitable for </w:t>
      </w:r>
      <w:r w:rsidR="71057C41" w:rsidRPr="004E70CE">
        <w:t>early</w:t>
      </w:r>
      <w:r w:rsidRPr="004E70CE">
        <w:t xml:space="preserve"> consideration</w:t>
      </w:r>
      <w:r w:rsidR="613BB299" w:rsidRPr="004E70CE">
        <w:t>. H</w:t>
      </w:r>
      <w:r w:rsidRPr="004E70CE">
        <w:t>owever</w:t>
      </w:r>
      <w:r w:rsidR="3F6422BC" w:rsidRPr="004E70CE">
        <w:t>,</w:t>
      </w:r>
      <w:r w:rsidR="39B1142E" w:rsidRPr="004E70CE">
        <w:t xml:space="preserve"> </w:t>
      </w:r>
      <w:r w:rsidR="649EE8E8" w:rsidRPr="004E70CE">
        <w:t>Australia</w:t>
      </w:r>
      <w:r w:rsidR="001E0D0E" w:rsidRPr="004E70CE">
        <w:t>’</w:t>
      </w:r>
      <w:r w:rsidR="7B676F6A" w:rsidRPr="004E70CE">
        <w:t>s lime production is only partially</w:t>
      </w:r>
      <w:r w:rsidR="005B7374" w:rsidRPr="004E70CE">
        <w:t xml:space="preserve"> covered</w:t>
      </w:r>
      <w:r w:rsidR="7B676F6A" w:rsidRPr="004E70CE">
        <w:t xml:space="preserve"> under the Safeguard Mechanism (</w:t>
      </w:r>
      <w:r w:rsidR="00ED501A" w:rsidRPr="004E70CE">
        <w:t>74</w:t>
      </w:r>
      <w:r w:rsidR="7B676F6A" w:rsidRPr="004E70CE">
        <w:t xml:space="preserve">%), requiring further </w:t>
      </w:r>
      <w:r w:rsidR="39B557D3" w:rsidRPr="004E70CE">
        <w:t xml:space="preserve">investigation of </w:t>
      </w:r>
      <w:r w:rsidR="5D42917E" w:rsidRPr="004E70CE">
        <w:t xml:space="preserve">whether and how </w:t>
      </w:r>
      <w:r w:rsidR="00BA2279">
        <w:t xml:space="preserve">a </w:t>
      </w:r>
      <w:r w:rsidR="5D42917E" w:rsidRPr="004E70CE">
        <w:t>border carbon adjustment could apply.</w:t>
      </w:r>
      <w:r w:rsidR="35C7DA49" w:rsidRPr="004E70CE">
        <w:t xml:space="preserve"> Where </w:t>
      </w:r>
      <w:r w:rsidR="35C7DA49" w:rsidRPr="004E70CE" w:rsidDel="005B7374">
        <w:t>domestic policy</w:t>
      </w:r>
      <w:r w:rsidR="35C7DA49" w:rsidRPr="004E70CE" w:rsidDel="006E45A7">
        <w:t xml:space="preserve"> coverage</w:t>
      </w:r>
      <w:r w:rsidR="35C7DA49" w:rsidRPr="004E70CE">
        <w:t xml:space="preserve"> is </w:t>
      </w:r>
      <w:r w:rsidR="35C7DA49" w:rsidRPr="004E70CE" w:rsidDel="005B7374">
        <w:t>not near-universal</w:t>
      </w:r>
      <w:r w:rsidR="35C7DA49" w:rsidRPr="004E70CE" w:rsidDel="006E45A7">
        <w:t>,</w:t>
      </w:r>
      <w:r w:rsidR="35C7DA49" w:rsidRPr="004E70CE">
        <w:t xml:space="preserve"> </w:t>
      </w:r>
      <w:r w:rsidR="35C7DA49" w:rsidRPr="004E70CE" w:rsidDel="009648B3">
        <w:t xml:space="preserve">application of </w:t>
      </w:r>
      <w:r w:rsidR="35C7DA49" w:rsidRPr="004E70CE" w:rsidDel="003905BF">
        <w:t>a b</w:t>
      </w:r>
      <w:r w:rsidR="7F757AA7" w:rsidRPr="004E70CE" w:rsidDel="003905BF">
        <w:t xml:space="preserve">order carbon adjustment faces additional complexity. </w:t>
      </w:r>
    </w:p>
    <w:p w14:paraId="79C82314" w14:textId="77777777" w:rsidR="00533B57" w:rsidRPr="004E70CE" w:rsidRDefault="00375A0C" w:rsidP="003C296C">
      <w:r w:rsidRPr="004E70CE">
        <w:t>The Review finds a</w:t>
      </w:r>
      <w:r w:rsidR="00984AA1" w:rsidRPr="004E70CE">
        <w:t>mmonia and derivatives, steel</w:t>
      </w:r>
      <w:r w:rsidR="003A222D" w:rsidRPr="004E70CE">
        <w:t xml:space="preserve"> and </w:t>
      </w:r>
      <w:r w:rsidR="00984AA1" w:rsidRPr="004E70CE">
        <w:t>glass are worth further consideration and could be candidates for a border carbon adjustment later.</w:t>
      </w:r>
      <w:r w:rsidR="0083088A" w:rsidRPr="004E70CE">
        <w:t xml:space="preserve"> </w:t>
      </w:r>
    </w:p>
    <w:p w14:paraId="0DF6A397" w14:textId="77777777" w:rsidR="4DBF5761" w:rsidRPr="004E70CE" w:rsidRDefault="4CEF9827" w:rsidP="003C296C">
      <w:pPr>
        <w:rPr>
          <w:rFonts w:ascii="Calibri" w:eastAsia="Calibri" w:hAnsi="Calibri" w:cs="Calibri"/>
        </w:rPr>
      </w:pPr>
      <w:r w:rsidRPr="004E70CE">
        <w:rPr>
          <w:rFonts w:ascii="Calibri" w:eastAsia="Calibri" w:hAnsi="Calibri" w:cs="Calibri"/>
          <w:color w:val="000000" w:themeColor="text1"/>
        </w:rPr>
        <w:t>Ammonia and derivatives carry material carbon leakage risk</w:t>
      </w:r>
      <w:r w:rsidR="00213759" w:rsidRPr="004E70CE">
        <w:rPr>
          <w:rFonts w:ascii="Calibri" w:eastAsia="Calibri" w:hAnsi="Calibri" w:cs="Calibri"/>
          <w:color w:val="000000" w:themeColor="text1"/>
        </w:rPr>
        <w:t>s</w:t>
      </w:r>
      <w:r w:rsidRPr="004E70CE">
        <w:rPr>
          <w:rFonts w:ascii="Calibri" w:eastAsia="Calibri" w:hAnsi="Calibri" w:cs="Calibri"/>
          <w:color w:val="000000" w:themeColor="text1"/>
        </w:rPr>
        <w:t>, including with regard to investment in zero</w:t>
      </w:r>
      <w:r w:rsidR="00213759" w:rsidRPr="004E70CE">
        <w:rPr>
          <w:rFonts w:ascii="Calibri" w:eastAsia="Calibri" w:hAnsi="Calibri" w:cs="Calibri"/>
          <w:color w:val="000000" w:themeColor="text1"/>
        </w:rPr>
        <w:t xml:space="preserve"> </w:t>
      </w:r>
      <w:r w:rsidRPr="004E70CE">
        <w:rPr>
          <w:rFonts w:ascii="Calibri" w:eastAsia="Calibri" w:hAnsi="Calibri" w:cs="Calibri"/>
          <w:color w:val="000000" w:themeColor="text1"/>
        </w:rPr>
        <w:t xml:space="preserve">emissions production capacity. A border carbon adjustment for the ammonia group of products could help create durable preconditions for the emergence of a green ammonia industry in Australia. </w:t>
      </w:r>
    </w:p>
    <w:p w14:paraId="49EE8BEE" w14:textId="77777777" w:rsidR="00533B57" w:rsidRPr="004E70CE" w:rsidRDefault="46D606B8" w:rsidP="003C296C">
      <w:pPr>
        <w:rPr>
          <w:rFonts w:ascii="Calibri" w:eastAsia="Calibri" w:hAnsi="Calibri" w:cs="Calibri"/>
          <w:color w:val="000000" w:themeColor="text1"/>
        </w:rPr>
      </w:pPr>
      <w:r w:rsidRPr="004E70CE">
        <w:rPr>
          <w:rFonts w:ascii="Calibri" w:eastAsia="Calibri" w:hAnsi="Calibri" w:cs="Calibri"/>
          <w:color w:val="000000" w:themeColor="text1"/>
        </w:rPr>
        <w:t>Carbon leakage risks are present in the steel sector. However</w:t>
      </w:r>
      <w:r w:rsidR="00643A38" w:rsidRPr="004E70CE">
        <w:rPr>
          <w:rFonts w:ascii="Calibri" w:eastAsia="Calibri" w:hAnsi="Calibri" w:cs="Calibri"/>
          <w:color w:val="000000" w:themeColor="text1"/>
        </w:rPr>
        <w:t>,</w:t>
      </w:r>
      <w:r w:rsidRPr="004E70CE">
        <w:rPr>
          <w:rFonts w:ascii="Calibri" w:eastAsia="Calibri" w:hAnsi="Calibri" w:cs="Calibri"/>
          <w:color w:val="000000" w:themeColor="text1"/>
        </w:rPr>
        <w:t xml:space="preserve"> steel is a complex commodity </w:t>
      </w:r>
      <w:r w:rsidR="0034396D" w:rsidRPr="004E70CE">
        <w:rPr>
          <w:rFonts w:ascii="Calibri" w:eastAsia="Calibri" w:hAnsi="Calibri" w:cs="Calibri"/>
          <w:color w:val="000000" w:themeColor="text1"/>
        </w:rPr>
        <w:t xml:space="preserve">with respect to </w:t>
      </w:r>
      <w:r w:rsidRPr="004E70CE">
        <w:rPr>
          <w:rFonts w:ascii="Calibri" w:eastAsia="Calibri" w:hAnsi="Calibri" w:cs="Calibri"/>
          <w:color w:val="000000" w:themeColor="text1"/>
        </w:rPr>
        <w:t>production methods, supply chains</w:t>
      </w:r>
      <w:r w:rsidR="00A950BC" w:rsidRPr="004E70CE">
        <w:rPr>
          <w:rFonts w:ascii="Calibri" w:eastAsia="Calibri" w:hAnsi="Calibri" w:cs="Calibri"/>
          <w:color w:val="000000" w:themeColor="text1"/>
        </w:rPr>
        <w:t>,</w:t>
      </w:r>
      <w:r w:rsidRPr="004E70CE">
        <w:rPr>
          <w:rFonts w:ascii="Calibri" w:eastAsia="Calibri" w:hAnsi="Calibri" w:cs="Calibri"/>
          <w:color w:val="000000" w:themeColor="text1"/>
        </w:rPr>
        <w:t xml:space="preserve"> and product diversity. Any </w:t>
      </w:r>
      <w:r w:rsidR="4B637008" w:rsidRPr="004E70CE">
        <w:rPr>
          <w:rFonts w:ascii="Calibri" w:eastAsia="Calibri" w:hAnsi="Calibri" w:cs="Calibri"/>
          <w:color w:val="000000" w:themeColor="text1"/>
        </w:rPr>
        <w:t>border carbon adjustment would need to draw on emerging international experiences and potentially the implementation of border carbon adjustment</w:t>
      </w:r>
      <w:r w:rsidR="00213759" w:rsidRPr="004E70CE">
        <w:rPr>
          <w:rFonts w:ascii="Calibri" w:eastAsia="Calibri" w:hAnsi="Calibri" w:cs="Calibri"/>
          <w:color w:val="000000" w:themeColor="text1"/>
        </w:rPr>
        <w:t>s</w:t>
      </w:r>
      <w:r w:rsidR="4B637008" w:rsidRPr="004E70CE">
        <w:rPr>
          <w:rFonts w:ascii="Calibri" w:eastAsia="Calibri" w:hAnsi="Calibri" w:cs="Calibri"/>
          <w:color w:val="000000" w:themeColor="text1"/>
        </w:rPr>
        <w:t xml:space="preserve"> on other commodities. </w:t>
      </w:r>
    </w:p>
    <w:p w14:paraId="5F7B0C84" w14:textId="79E4EE09" w:rsidR="00533B57" w:rsidRPr="004E70CE" w:rsidRDefault="0083088A" w:rsidP="003C296C">
      <w:pPr>
        <w:rPr>
          <w:rFonts w:ascii="Calibri" w:eastAsia="Calibri" w:hAnsi="Calibri" w:cs="Calibri"/>
          <w:color w:val="000000" w:themeColor="text1"/>
        </w:rPr>
      </w:pPr>
      <w:r w:rsidRPr="004E70CE">
        <w:t>Th</w:t>
      </w:r>
      <w:r w:rsidR="00282DCC" w:rsidRPr="004E70CE">
        <w:t>e</w:t>
      </w:r>
      <w:r w:rsidRPr="004E70CE">
        <w:t xml:space="preserve"> </w:t>
      </w:r>
      <w:r w:rsidR="00C87492" w:rsidRPr="004E70CE">
        <w:t>preliminary findings are not intended to</w:t>
      </w:r>
      <w:r w:rsidRPr="004E70CE">
        <w:t xml:space="preserve"> rule in or out changes to the relevant list of commodities </w:t>
      </w:r>
      <w:r w:rsidR="00F9658E" w:rsidRPr="004E70CE">
        <w:t xml:space="preserve">based on </w:t>
      </w:r>
      <w:r w:rsidRPr="004E70CE">
        <w:t>further consultation</w:t>
      </w:r>
      <w:r w:rsidR="00C87492" w:rsidRPr="004E70CE">
        <w:t xml:space="preserve"> and analysis</w:t>
      </w:r>
      <w:r w:rsidRPr="004E70CE">
        <w:t xml:space="preserve">. </w:t>
      </w:r>
    </w:p>
    <w:p w14:paraId="0E9C02BE" w14:textId="77777777" w:rsidR="00146DFA" w:rsidRPr="004E70CE" w:rsidRDefault="001A71C8" w:rsidP="003C296C">
      <w:pPr>
        <w:rPr>
          <w:b/>
        </w:rPr>
      </w:pPr>
      <w:r w:rsidRPr="004E70CE">
        <w:rPr>
          <w:b/>
          <w:bCs/>
        </w:rPr>
        <w:t xml:space="preserve">3.5 </w:t>
      </w:r>
      <w:r w:rsidR="00310EAE" w:rsidRPr="004E70CE">
        <w:rPr>
          <w:b/>
          <w:bCs/>
        </w:rPr>
        <w:t>Design considerations</w:t>
      </w:r>
    </w:p>
    <w:p w14:paraId="1221DDE3" w14:textId="17E2B832" w:rsidR="00146DFA" w:rsidRPr="004E70CE" w:rsidRDefault="00BD6A4A" w:rsidP="003C296C">
      <w:pPr>
        <w:pStyle w:val="Calloutbox"/>
        <w:spacing w:after="200" w:line="276" w:lineRule="auto"/>
        <w:rPr>
          <w:b/>
        </w:rPr>
      </w:pPr>
      <w:r w:rsidRPr="004E70CE">
        <w:rPr>
          <w:b/>
        </w:rPr>
        <w:t>Preliminary findings</w:t>
      </w:r>
      <w:r w:rsidR="00653837" w:rsidRPr="004E70CE">
        <w:rPr>
          <w:b/>
        </w:rPr>
        <w:t xml:space="preserve"> for consultation</w:t>
      </w:r>
    </w:p>
    <w:p w14:paraId="097D75F4" w14:textId="6E40CCB2" w:rsidR="347354CE" w:rsidRPr="004E70CE" w:rsidRDefault="347354CE" w:rsidP="003C296C">
      <w:pPr>
        <w:pStyle w:val="Calloutbox"/>
        <w:spacing w:after="200" w:line="276" w:lineRule="auto"/>
        <w:rPr>
          <w:rFonts w:ascii="Calibri" w:eastAsia="Calibri" w:hAnsi="Calibri" w:cs="Calibri"/>
        </w:rPr>
      </w:pPr>
      <w:r w:rsidRPr="004E70CE">
        <w:rPr>
          <w:rFonts w:ascii="Calibri" w:eastAsia="Calibri" w:hAnsi="Calibri" w:cs="Calibri"/>
        </w:rPr>
        <w:t xml:space="preserve">A border carbon adjustment would </w:t>
      </w:r>
      <w:r w:rsidR="00334B8E" w:rsidRPr="004E70CE">
        <w:rPr>
          <w:rFonts w:ascii="Calibri" w:eastAsia="Calibri" w:hAnsi="Calibri" w:cs="Calibri"/>
        </w:rPr>
        <w:t xml:space="preserve">need to </w:t>
      </w:r>
      <w:r w:rsidRPr="004E70CE">
        <w:rPr>
          <w:rFonts w:ascii="Calibri" w:eastAsia="Calibri" w:hAnsi="Calibri" w:cs="Calibri"/>
        </w:rPr>
        <w:t>mirror key provisions of the Safeguard Mechanism</w:t>
      </w:r>
      <w:r w:rsidR="00C6228F" w:rsidRPr="004E70CE">
        <w:rPr>
          <w:rStyle w:val="cf01"/>
        </w:rPr>
        <w:t xml:space="preserve">. </w:t>
      </w:r>
      <w:r w:rsidR="00334B8E" w:rsidRPr="004E70CE">
        <w:rPr>
          <w:rFonts w:ascii="Calibri" w:eastAsia="Calibri" w:hAnsi="Calibri" w:cs="Calibri"/>
        </w:rPr>
        <w:t xml:space="preserve">Should a border carbon adjustment be pursued, a </w:t>
      </w:r>
      <w:r w:rsidRPr="004E70CE">
        <w:rPr>
          <w:rFonts w:ascii="Calibri" w:eastAsia="Calibri" w:hAnsi="Calibri" w:cs="Calibri"/>
        </w:rPr>
        <w:t xml:space="preserve">border carbon liability </w:t>
      </w:r>
      <w:r w:rsidR="003011FC" w:rsidRPr="004E70CE">
        <w:rPr>
          <w:rFonts w:ascii="Calibri" w:eastAsia="Calibri" w:hAnsi="Calibri" w:cs="Calibri"/>
        </w:rPr>
        <w:t xml:space="preserve">could be applied to </w:t>
      </w:r>
      <w:r w:rsidRPr="004E70CE">
        <w:rPr>
          <w:rFonts w:ascii="Calibri" w:eastAsia="Calibri" w:hAnsi="Calibri" w:cs="Calibri"/>
        </w:rPr>
        <w:t xml:space="preserve">emissions in exceedance of the Safeguard Mechanism baselines and to the extent that the </w:t>
      </w:r>
      <w:r w:rsidRPr="004E70CE" w:rsidDel="008E19F1">
        <w:rPr>
          <w:rFonts w:ascii="Calibri" w:eastAsia="Calibri" w:hAnsi="Calibri" w:cs="Calibri"/>
        </w:rPr>
        <w:t xml:space="preserve">assessed effective </w:t>
      </w:r>
      <w:r w:rsidRPr="004E70CE">
        <w:rPr>
          <w:rFonts w:ascii="Calibri" w:eastAsia="Calibri" w:hAnsi="Calibri" w:cs="Calibri"/>
        </w:rPr>
        <w:t xml:space="preserve">carbon </w:t>
      </w:r>
      <w:r w:rsidRPr="004E70CE" w:rsidDel="00F4324F">
        <w:rPr>
          <w:rFonts w:ascii="Calibri" w:eastAsia="Calibri" w:hAnsi="Calibri" w:cs="Calibri"/>
        </w:rPr>
        <w:t xml:space="preserve">price </w:t>
      </w:r>
      <w:r w:rsidR="00653837" w:rsidRPr="004E70CE">
        <w:rPr>
          <w:rFonts w:ascii="Calibri" w:eastAsia="Calibri" w:hAnsi="Calibri" w:cs="Calibri"/>
        </w:rPr>
        <w:t xml:space="preserve">paid </w:t>
      </w:r>
      <w:r w:rsidRPr="004E70CE">
        <w:rPr>
          <w:rFonts w:ascii="Calibri" w:eastAsia="Calibri" w:hAnsi="Calibri" w:cs="Calibri"/>
        </w:rPr>
        <w:t>in the originating country is lower than in Australia.</w:t>
      </w:r>
      <w:r w:rsidR="00653837" w:rsidRPr="004E70CE">
        <w:rPr>
          <w:rFonts w:ascii="Calibri" w:eastAsia="Calibri" w:hAnsi="Calibri" w:cs="Calibri"/>
        </w:rPr>
        <w:t xml:space="preserve"> This assessment </w:t>
      </w:r>
      <w:r w:rsidRPr="004E70CE">
        <w:rPr>
          <w:rFonts w:ascii="Calibri" w:eastAsia="Calibri" w:hAnsi="Calibri" w:cs="Calibri"/>
        </w:rPr>
        <w:t xml:space="preserve">would be based on explicit emissions prices only. </w:t>
      </w:r>
    </w:p>
    <w:p w14:paraId="2D22B4C9" w14:textId="46F9B828" w:rsidR="347354CE" w:rsidRPr="004E70CE" w:rsidRDefault="347354CE" w:rsidP="003C296C">
      <w:pPr>
        <w:pStyle w:val="Calloutbox"/>
        <w:spacing w:after="200" w:line="276" w:lineRule="auto"/>
        <w:rPr>
          <w:rFonts w:ascii="Calibri" w:eastAsia="Calibri" w:hAnsi="Calibri" w:cs="Calibri"/>
        </w:rPr>
      </w:pPr>
      <w:r w:rsidRPr="004E70CE">
        <w:rPr>
          <w:rFonts w:ascii="Calibri" w:eastAsia="Calibri" w:hAnsi="Calibri" w:cs="Calibri"/>
        </w:rPr>
        <w:t xml:space="preserve">The basis for emissions assessment </w:t>
      </w:r>
      <w:r w:rsidR="004407A6" w:rsidRPr="004E70CE">
        <w:rPr>
          <w:rFonts w:ascii="Calibri" w:eastAsia="Calibri" w:hAnsi="Calibri" w:cs="Calibri"/>
        </w:rPr>
        <w:t>sh</w:t>
      </w:r>
      <w:r w:rsidRPr="004E70CE">
        <w:rPr>
          <w:rFonts w:ascii="Calibri" w:eastAsia="Calibri" w:hAnsi="Calibri" w:cs="Calibri"/>
        </w:rPr>
        <w:t>ould be the same as the Safeguard Mechanism, covering only scope 1 emissions and all relevant greenhouse gases.</w:t>
      </w:r>
    </w:p>
    <w:p w14:paraId="277E3DC4" w14:textId="77777777" w:rsidR="347354CE" w:rsidRPr="004E70CE" w:rsidRDefault="347354CE" w:rsidP="003C296C">
      <w:pPr>
        <w:pStyle w:val="Calloutbox"/>
        <w:spacing w:after="200" w:line="276" w:lineRule="auto"/>
        <w:rPr>
          <w:rFonts w:ascii="Calibri" w:eastAsia="Calibri" w:hAnsi="Calibri" w:cs="Calibri"/>
        </w:rPr>
      </w:pPr>
      <w:r w:rsidRPr="004E70CE">
        <w:rPr>
          <w:rFonts w:ascii="Calibri" w:eastAsia="Calibri" w:hAnsi="Calibri" w:cs="Calibri"/>
        </w:rPr>
        <w:t xml:space="preserve">Further consideration </w:t>
      </w:r>
      <w:r w:rsidR="00334B8E" w:rsidRPr="004E70CE">
        <w:rPr>
          <w:rFonts w:ascii="Calibri" w:eastAsia="Calibri" w:hAnsi="Calibri" w:cs="Calibri"/>
        </w:rPr>
        <w:t xml:space="preserve">would </w:t>
      </w:r>
      <w:r w:rsidRPr="004E70CE">
        <w:rPr>
          <w:rFonts w:ascii="Calibri" w:eastAsia="Calibri" w:hAnsi="Calibri" w:cs="Calibri"/>
        </w:rPr>
        <w:t>be needed before a border carbon adjustment is applied to a commodity with less than 100% Safeguard Mechanism coverage of domestic production.</w:t>
      </w:r>
    </w:p>
    <w:p w14:paraId="31144B44" w14:textId="751ABB28" w:rsidR="347354CE" w:rsidRPr="004E70CE" w:rsidRDefault="347354CE" w:rsidP="003C296C">
      <w:pPr>
        <w:pStyle w:val="Calloutbox"/>
        <w:spacing w:after="200" w:line="276" w:lineRule="auto"/>
        <w:rPr>
          <w:rFonts w:ascii="Calibri" w:eastAsia="Calibri" w:hAnsi="Calibri" w:cs="Calibri"/>
        </w:rPr>
      </w:pPr>
      <w:r w:rsidRPr="004E70CE">
        <w:rPr>
          <w:rFonts w:ascii="Calibri" w:eastAsia="Calibri" w:hAnsi="Calibri" w:cs="Calibri"/>
        </w:rPr>
        <w:t xml:space="preserve">A border carbon adjustment for a particular </w:t>
      </w:r>
      <w:r w:rsidRPr="004E70CE" w:rsidDel="009E48D6">
        <w:rPr>
          <w:rFonts w:ascii="Calibri" w:eastAsia="Calibri" w:hAnsi="Calibri" w:cs="Calibri"/>
        </w:rPr>
        <w:t xml:space="preserve">sector </w:t>
      </w:r>
      <w:r w:rsidRPr="004E70CE">
        <w:rPr>
          <w:rFonts w:ascii="Calibri" w:eastAsia="Calibri" w:hAnsi="Calibri" w:cs="Calibri"/>
        </w:rPr>
        <w:t xml:space="preserve">would remove the policy basis for TEBA </w:t>
      </w:r>
      <w:r w:rsidR="001702C3" w:rsidRPr="004E70CE">
        <w:rPr>
          <w:rFonts w:ascii="Calibri" w:eastAsia="Calibri" w:hAnsi="Calibri" w:cs="Calibri"/>
        </w:rPr>
        <w:t xml:space="preserve">provisions </w:t>
      </w:r>
      <w:r w:rsidRPr="004E70CE">
        <w:rPr>
          <w:rFonts w:ascii="Calibri" w:eastAsia="Calibri" w:hAnsi="Calibri" w:cs="Calibri"/>
        </w:rPr>
        <w:t xml:space="preserve">for </w:t>
      </w:r>
      <w:r w:rsidRPr="004E70CE" w:rsidDel="002F0373">
        <w:rPr>
          <w:rFonts w:ascii="Calibri" w:eastAsia="Calibri" w:hAnsi="Calibri" w:cs="Calibri"/>
        </w:rPr>
        <w:t xml:space="preserve">that </w:t>
      </w:r>
      <w:r w:rsidRPr="004E70CE">
        <w:rPr>
          <w:rFonts w:ascii="Calibri" w:eastAsia="Calibri" w:hAnsi="Calibri" w:cs="Calibri"/>
        </w:rPr>
        <w:t>sector.</w:t>
      </w:r>
    </w:p>
    <w:p w14:paraId="729838FB" w14:textId="204D03A1" w:rsidR="075D816B" w:rsidRPr="004E70CE" w:rsidRDefault="00BC465B" w:rsidP="003C296C">
      <w:pPr>
        <w:pStyle w:val="Calloutbox"/>
        <w:spacing w:after="200" w:line="276" w:lineRule="auto"/>
        <w:rPr>
          <w:rFonts w:ascii="Calibri" w:eastAsia="Calibri" w:hAnsi="Calibri" w:cs="Calibri"/>
          <w:color w:val="000000" w:themeColor="text1"/>
        </w:rPr>
      </w:pPr>
      <w:r w:rsidRPr="004E70CE">
        <w:rPr>
          <w:rFonts w:ascii="Calibri" w:eastAsia="Calibri" w:hAnsi="Calibri" w:cs="Calibri"/>
          <w:color w:val="000000" w:themeColor="text1"/>
        </w:rPr>
        <w:t>A b</w:t>
      </w:r>
      <w:r w:rsidR="075D816B" w:rsidRPr="004E70CE">
        <w:rPr>
          <w:rFonts w:ascii="Calibri" w:eastAsia="Calibri" w:hAnsi="Calibri" w:cs="Calibri"/>
          <w:color w:val="000000" w:themeColor="text1"/>
        </w:rPr>
        <w:t xml:space="preserve">order </w:t>
      </w:r>
      <w:r w:rsidR="00E85823" w:rsidRPr="004E70CE">
        <w:rPr>
          <w:rFonts w:ascii="Calibri" w:eastAsia="Calibri" w:hAnsi="Calibri" w:cs="Calibri"/>
          <w:color w:val="000000" w:themeColor="text1"/>
        </w:rPr>
        <w:t xml:space="preserve">carbon </w:t>
      </w:r>
      <w:r w:rsidR="075D816B" w:rsidRPr="004E70CE">
        <w:rPr>
          <w:rFonts w:ascii="Calibri" w:eastAsia="Calibri" w:hAnsi="Calibri" w:cs="Calibri"/>
          <w:color w:val="000000" w:themeColor="text1"/>
        </w:rPr>
        <w:t xml:space="preserve">adjustment </w:t>
      </w:r>
      <w:r w:rsidR="00EB51C9" w:rsidRPr="004E70CE">
        <w:rPr>
          <w:rFonts w:ascii="Calibri" w:eastAsia="Calibri" w:hAnsi="Calibri" w:cs="Calibri"/>
          <w:color w:val="000000" w:themeColor="text1"/>
        </w:rPr>
        <w:t xml:space="preserve">may generate </w:t>
      </w:r>
      <w:r w:rsidR="075D816B" w:rsidRPr="004E70CE">
        <w:rPr>
          <w:rFonts w:ascii="Calibri" w:eastAsia="Calibri" w:hAnsi="Calibri" w:cs="Calibri"/>
          <w:color w:val="000000" w:themeColor="text1"/>
        </w:rPr>
        <w:t>revenue</w:t>
      </w:r>
      <w:r w:rsidR="00540AB5" w:rsidRPr="004E70CE">
        <w:rPr>
          <w:rFonts w:ascii="Calibri" w:eastAsia="Calibri" w:hAnsi="Calibri" w:cs="Calibri"/>
          <w:color w:val="000000" w:themeColor="text1"/>
        </w:rPr>
        <w:t>.</w:t>
      </w:r>
      <w:r w:rsidR="075D816B" w:rsidRPr="004E70CE">
        <w:rPr>
          <w:rFonts w:ascii="Calibri" w:eastAsia="Calibri" w:hAnsi="Calibri" w:cs="Calibri"/>
          <w:color w:val="000000" w:themeColor="text1"/>
        </w:rPr>
        <w:t xml:space="preserve"> </w:t>
      </w:r>
      <w:r w:rsidR="00EB51C9" w:rsidRPr="004E70CE">
        <w:rPr>
          <w:rFonts w:ascii="Calibri" w:eastAsia="Calibri" w:hAnsi="Calibri" w:cs="Calibri"/>
          <w:color w:val="000000" w:themeColor="text1"/>
        </w:rPr>
        <w:t>Stakeholders have suggested that</w:t>
      </w:r>
      <w:r w:rsidR="075D816B" w:rsidRPr="004E70CE">
        <w:rPr>
          <w:rFonts w:ascii="Calibri" w:eastAsia="Calibri" w:hAnsi="Calibri" w:cs="Calibri"/>
          <w:color w:val="000000" w:themeColor="text1"/>
        </w:rPr>
        <w:t xml:space="preserve"> in addition to offsetting the costs of implementation of the policy, fund</w:t>
      </w:r>
      <w:r w:rsidR="00EB51C9" w:rsidRPr="004E70CE">
        <w:rPr>
          <w:rFonts w:ascii="Calibri" w:eastAsia="Calibri" w:hAnsi="Calibri" w:cs="Calibri"/>
          <w:color w:val="000000" w:themeColor="text1"/>
        </w:rPr>
        <w:t>s could also be provided to</w:t>
      </w:r>
      <w:r w:rsidR="075D816B" w:rsidRPr="004E70CE">
        <w:rPr>
          <w:rFonts w:ascii="Calibri" w:eastAsia="Calibri" w:hAnsi="Calibri" w:cs="Calibri"/>
          <w:color w:val="000000" w:themeColor="text1"/>
        </w:rPr>
        <w:t xml:space="preserve"> programs to support implementation and industrial </w:t>
      </w:r>
      <w:r w:rsidR="00EA1583" w:rsidRPr="004E70CE">
        <w:rPr>
          <w:rFonts w:ascii="Calibri" w:eastAsia="Calibri" w:hAnsi="Calibri" w:cs="Calibri"/>
          <w:color w:val="000000" w:themeColor="text1"/>
        </w:rPr>
        <w:t>decarbonisation objectives</w:t>
      </w:r>
      <w:r w:rsidR="00411469" w:rsidRPr="004E70CE">
        <w:rPr>
          <w:rFonts w:ascii="Calibri" w:eastAsia="Calibri" w:hAnsi="Calibri" w:cs="Calibri"/>
          <w:color w:val="000000" w:themeColor="text1"/>
        </w:rPr>
        <w:t xml:space="preserve"> </w:t>
      </w:r>
      <w:r w:rsidR="075D816B" w:rsidRPr="004E70CE">
        <w:rPr>
          <w:rFonts w:ascii="Calibri" w:eastAsia="Calibri" w:hAnsi="Calibri" w:cs="Calibri"/>
          <w:color w:val="000000" w:themeColor="text1"/>
        </w:rPr>
        <w:t>in trade partner developing countries.</w:t>
      </w:r>
    </w:p>
    <w:p w14:paraId="54CEE7BF" w14:textId="77777777" w:rsidR="00F1495E" w:rsidRPr="004E70CE" w:rsidRDefault="00334B8E" w:rsidP="003C296C">
      <w:pPr>
        <w:pStyle w:val="Calloutbox"/>
        <w:spacing w:after="200" w:line="276" w:lineRule="auto"/>
      </w:pPr>
      <w:r w:rsidRPr="004E70CE">
        <w:rPr>
          <w:lang w:eastAsia="ja-JP"/>
        </w:rPr>
        <w:t>Should the government decide to pursue a border carbon adjustment, d</w:t>
      </w:r>
      <w:r w:rsidR="00F1495E" w:rsidRPr="004E70CE">
        <w:rPr>
          <w:lang w:eastAsia="ja-JP"/>
        </w:rPr>
        <w:t>etailed design and implementation would need to be considered and consulted on.</w:t>
      </w:r>
      <w:r w:rsidR="00F1495E" w:rsidRPr="004E70CE">
        <w:rPr>
          <w:rStyle w:val="normaltextrun"/>
          <w:rFonts w:ascii="Calibri" w:hAnsi="Calibri" w:cs="Calibri"/>
          <w:color w:val="000000"/>
          <w:shd w:val="clear" w:color="auto" w:fill="B8DCD7"/>
        </w:rPr>
        <w:t xml:space="preserve"> Consultation would need to encompass both domestic stakeholders </w:t>
      </w:r>
      <w:r w:rsidR="00C10956" w:rsidRPr="004E70CE">
        <w:rPr>
          <w:rStyle w:val="normaltextrun"/>
          <w:rFonts w:ascii="Calibri" w:hAnsi="Calibri" w:cs="Calibri"/>
          <w:color w:val="000000"/>
          <w:shd w:val="clear" w:color="auto" w:fill="B8DCD7"/>
        </w:rPr>
        <w:t>and</w:t>
      </w:r>
      <w:r w:rsidR="00F1495E" w:rsidRPr="004E70CE">
        <w:rPr>
          <w:rStyle w:val="normaltextrun"/>
          <w:rFonts w:ascii="Calibri" w:hAnsi="Calibri" w:cs="Calibri"/>
          <w:color w:val="000000"/>
          <w:shd w:val="clear" w:color="auto" w:fill="B8DCD7"/>
        </w:rPr>
        <w:t xml:space="preserve"> trading partner countries.</w:t>
      </w:r>
    </w:p>
    <w:p w14:paraId="209D8040" w14:textId="45910A49" w:rsidR="00816AAB" w:rsidRPr="004E70CE" w:rsidRDefault="00525E01" w:rsidP="003C296C">
      <w:r w:rsidRPr="004E70CE">
        <w:lastRenderedPageBreak/>
        <w:t>The key principle underpinning a</w:t>
      </w:r>
      <w:r w:rsidR="17FC3E53" w:rsidRPr="004E70CE">
        <w:t>n appropriately designed</w:t>
      </w:r>
      <w:r w:rsidRPr="004E70CE">
        <w:t xml:space="preserve"> border carbon adjustment is to </w:t>
      </w:r>
      <w:r w:rsidR="007F3D7E" w:rsidRPr="004E70CE">
        <w:t xml:space="preserve">mirror </w:t>
      </w:r>
      <w:r w:rsidRPr="004E70CE">
        <w:t xml:space="preserve">domestic policy settings </w:t>
      </w:r>
      <w:r w:rsidR="007F3D7E" w:rsidRPr="004E70CE">
        <w:t xml:space="preserve">for </w:t>
      </w:r>
      <w:r w:rsidRPr="004E70CE">
        <w:t xml:space="preserve">imported goods. This means that </w:t>
      </w:r>
      <w:r w:rsidR="00816AAB" w:rsidRPr="004E70CE">
        <w:t xml:space="preserve">any design decisions </w:t>
      </w:r>
      <w:r w:rsidR="00EE5B83" w:rsidRPr="004E70CE">
        <w:t>should</w:t>
      </w:r>
      <w:r w:rsidR="00816AAB" w:rsidRPr="004E70CE">
        <w:t xml:space="preserve"> be referrable to the Safeguard Mechanism’s design.</w:t>
      </w:r>
    </w:p>
    <w:p w14:paraId="554DE660" w14:textId="77777777" w:rsidR="005718E6" w:rsidRPr="004E70CE" w:rsidRDefault="005718E6" w:rsidP="003C296C">
      <w:r w:rsidRPr="004E70CE">
        <w:t>As such, the scope of emissions captured by a border carbon adjustment should be scope 1 only, as grid connected electricity generators do not have emissions reduction obligations under the Safeguard Mechanism.</w:t>
      </w:r>
    </w:p>
    <w:p w14:paraId="288BC386" w14:textId="22574A1B" w:rsidR="1E5D9C89" w:rsidRPr="004E70CE" w:rsidRDefault="00FC3DE0" w:rsidP="003C296C">
      <w:pPr>
        <w:rPr>
          <w:b/>
        </w:rPr>
      </w:pPr>
      <w:r w:rsidRPr="004E70CE">
        <w:rPr>
          <w:b/>
          <w:bCs/>
        </w:rPr>
        <w:t>Compliance</w:t>
      </w:r>
    </w:p>
    <w:p w14:paraId="14D8AC92" w14:textId="54FD2941" w:rsidR="00730C51" w:rsidRPr="004E70CE" w:rsidRDefault="009A31DA" w:rsidP="003C296C">
      <w:r w:rsidRPr="004E70CE">
        <w:t xml:space="preserve">Should a border carbon adjustment be pursued, </w:t>
      </w:r>
      <w:r w:rsidR="00C0155B" w:rsidRPr="004E70CE">
        <w:t>border carbon adjustment liabilit</w:t>
      </w:r>
      <w:r w:rsidR="00ED735E" w:rsidRPr="004E70CE">
        <w:t>ies should</w:t>
      </w:r>
      <w:r w:rsidR="00C0155B" w:rsidRPr="004E70CE">
        <w:t xml:space="preserve"> </w:t>
      </w:r>
      <w:r w:rsidR="00BD4C22" w:rsidRPr="004E70CE">
        <w:t xml:space="preserve">be defined to </w:t>
      </w:r>
      <w:r w:rsidR="00730C51" w:rsidRPr="004E70CE">
        <w:t xml:space="preserve">be </w:t>
      </w:r>
      <w:r w:rsidR="00BD4C22" w:rsidRPr="004E70CE">
        <w:t xml:space="preserve">comparable to the obligations on </w:t>
      </w:r>
      <w:r w:rsidR="00A5251B" w:rsidRPr="004E70CE">
        <w:t>domestic producers</w:t>
      </w:r>
      <w:r w:rsidR="002E4A1F" w:rsidRPr="004E70CE">
        <w:t>.</w:t>
      </w:r>
    </w:p>
    <w:p w14:paraId="57611C0D" w14:textId="0B611F03" w:rsidR="00904CAD" w:rsidRPr="004E70CE" w:rsidRDefault="002E4A1F" w:rsidP="003C296C">
      <w:r w:rsidRPr="004E70CE">
        <w:t xml:space="preserve">To achieve this </w:t>
      </w:r>
      <w:r w:rsidR="00052338" w:rsidRPr="004E70CE">
        <w:t xml:space="preserve">design objective, carbon adjustment liabilities </w:t>
      </w:r>
      <w:r w:rsidR="000C680A" w:rsidRPr="004E70CE">
        <w:t xml:space="preserve">should </w:t>
      </w:r>
      <w:r w:rsidR="00C0155B" w:rsidRPr="004E70CE">
        <w:t xml:space="preserve">apply only to emissions </w:t>
      </w:r>
      <w:r w:rsidR="00E20437" w:rsidRPr="004E70CE">
        <w:t xml:space="preserve">that exceed </w:t>
      </w:r>
      <w:r w:rsidR="00C0155B" w:rsidRPr="004E70CE">
        <w:t xml:space="preserve">the relevant Safeguard Mechanism baseline at the </w:t>
      </w:r>
      <w:r w:rsidR="009D6E11" w:rsidRPr="004E70CE">
        <w:t>time of import</w:t>
      </w:r>
      <w:r w:rsidR="00C0155B" w:rsidRPr="004E70CE">
        <w:t xml:space="preserve">. </w:t>
      </w:r>
      <w:r w:rsidR="00BB2FBB" w:rsidRPr="004E70CE">
        <w:t xml:space="preserve">Any imports which have an emissions intensity below </w:t>
      </w:r>
      <w:r w:rsidR="00E12455" w:rsidRPr="004E70CE">
        <w:t>that</w:t>
      </w:r>
      <w:r w:rsidR="00BB2FBB" w:rsidRPr="004E70CE">
        <w:t xml:space="preserve"> baseline </w:t>
      </w:r>
      <w:r w:rsidR="00120950" w:rsidRPr="004E70CE">
        <w:t>sh</w:t>
      </w:r>
      <w:r w:rsidR="00BB2FBB" w:rsidRPr="004E70CE">
        <w:t xml:space="preserve">ould not </w:t>
      </w:r>
      <w:r w:rsidR="41E73F81" w:rsidRPr="004E70CE">
        <w:t>carry</w:t>
      </w:r>
      <w:r w:rsidR="00BB2FBB" w:rsidRPr="004E70CE">
        <w:t xml:space="preserve"> a border carbon adjustment liability.</w:t>
      </w:r>
      <w:r w:rsidR="00904CAD" w:rsidRPr="004E70CE">
        <w:t xml:space="preserve"> </w:t>
      </w:r>
      <w:r w:rsidR="004636D3" w:rsidRPr="004E70CE">
        <w:t>Under this d</w:t>
      </w:r>
      <w:r w:rsidR="00937529" w:rsidRPr="004E70CE">
        <w:t>esign, importers</w:t>
      </w:r>
      <w:r w:rsidR="006328D9" w:rsidRPr="004E70CE">
        <w:t>, l</w:t>
      </w:r>
      <w:r w:rsidR="0090416C" w:rsidRPr="004E70CE">
        <w:t xml:space="preserve">ike domestic producers, would </w:t>
      </w:r>
      <w:r w:rsidR="004541AE" w:rsidRPr="004E70CE">
        <w:t xml:space="preserve">have to pay for </w:t>
      </w:r>
      <w:r w:rsidR="00EB51C9" w:rsidRPr="004E70CE">
        <w:t xml:space="preserve">or offset </w:t>
      </w:r>
      <w:r w:rsidR="004541AE" w:rsidRPr="004E70CE">
        <w:t>any emissions in exceedance of the baseline</w:t>
      </w:r>
      <w:r w:rsidR="00C207AD" w:rsidRPr="004E70CE">
        <w:t xml:space="preserve">. </w:t>
      </w:r>
    </w:p>
    <w:p w14:paraId="5713ABAD" w14:textId="0497576F" w:rsidR="00BB2FBB" w:rsidRPr="004E70CE" w:rsidRDefault="000C680A" w:rsidP="0041712B">
      <w:r w:rsidRPr="004E70CE">
        <w:t>Similarly, a</w:t>
      </w:r>
      <w:r w:rsidR="004541AE" w:rsidRPr="004E70CE">
        <w:t xml:space="preserve">ny </w:t>
      </w:r>
      <w:r w:rsidR="004F4DAF" w:rsidRPr="004E70CE">
        <w:t xml:space="preserve">carbon costs </w:t>
      </w:r>
      <w:r w:rsidR="00314578" w:rsidRPr="004E70CE">
        <w:t>already incurred</w:t>
      </w:r>
      <w:r w:rsidR="004541AE" w:rsidRPr="004E70CE">
        <w:t xml:space="preserve"> </w:t>
      </w:r>
      <w:r w:rsidR="26D8ED64" w:rsidRPr="004E70CE">
        <w:t xml:space="preserve">in the country of production </w:t>
      </w:r>
      <w:r w:rsidRPr="004E70CE">
        <w:t>sh</w:t>
      </w:r>
      <w:r w:rsidR="26D8ED64" w:rsidRPr="004E70CE">
        <w:t xml:space="preserve">ould be </w:t>
      </w:r>
      <w:r w:rsidR="00314578" w:rsidRPr="004E70CE">
        <w:t xml:space="preserve">deducted from the </w:t>
      </w:r>
      <w:r w:rsidR="004541AE" w:rsidRPr="004E70CE">
        <w:t xml:space="preserve">liability. This means if a producer has paid a carbon </w:t>
      </w:r>
      <w:r w:rsidR="007E1684" w:rsidRPr="004E70CE">
        <w:t>cost in the originating country</w:t>
      </w:r>
      <w:r w:rsidR="00314578" w:rsidRPr="004E70CE">
        <w:t xml:space="preserve"> which is higher than</w:t>
      </w:r>
      <w:r w:rsidR="007E1684" w:rsidRPr="004E70CE">
        <w:t xml:space="preserve"> the </w:t>
      </w:r>
      <w:r w:rsidR="00314578" w:rsidRPr="004E70CE">
        <w:t xml:space="preserve">calculated carbon cost applied by the border carbon adjustment, they </w:t>
      </w:r>
      <w:r w:rsidR="36E9D90A" w:rsidRPr="004E70CE">
        <w:t xml:space="preserve">would </w:t>
      </w:r>
      <w:r w:rsidR="00314578" w:rsidRPr="004E70CE">
        <w:t>not face a liability.</w:t>
      </w:r>
      <w:r w:rsidR="0041712B" w:rsidRPr="004E70CE">
        <w:t xml:space="preserve"> This assessment of </w:t>
      </w:r>
      <w:r w:rsidR="002A223E" w:rsidRPr="004E70CE">
        <w:t xml:space="preserve">overseas carbon </w:t>
      </w:r>
      <w:r w:rsidR="007D122C" w:rsidRPr="004E70CE">
        <w:t xml:space="preserve">costs </w:t>
      </w:r>
      <w:r w:rsidR="0009625B" w:rsidRPr="004E70CE">
        <w:t>sh</w:t>
      </w:r>
      <w:r w:rsidR="002A223E" w:rsidRPr="004E70CE">
        <w:t>ould be based on explicit e</w:t>
      </w:r>
      <w:r w:rsidR="00961AD7" w:rsidRPr="004E70CE">
        <w:t>missions prices only</w:t>
      </w:r>
      <w:r w:rsidR="004A775D" w:rsidRPr="004E70CE">
        <w:t xml:space="preserve"> </w:t>
      </w:r>
      <w:r w:rsidR="00F1121F" w:rsidRPr="004E70CE">
        <w:t>(</w:t>
      </w:r>
      <w:r w:rsidR="004A775D" w:rsidRPr="004E70CE">
        <w:t>after accounting for any free allocations</w:t>
      </w:r>
      <w:r w:rsidR="00F1121F" w:rsidRPr="004E70CE">
        <w:t>)</w:t>
      </w:r>
      <w:r w:rsidR="0002102B" w:rsidRPr="004E70CE">
        <w:t xml:space="preserve">. </w:t>
      </w:r>
      <w:r w:rsidR="005222FC" w:rsidRPr="004E70CE">
        <w:t>Other</w:t>
      </w:r>
      <w:r w:rsidR="0002102B" w:rsidRPr="004E70CE">
        <w:t xml:space="preserve"> emission</w:t>
      </w:r>
      <w:r w:rsidR="0009625B" w:rsidRPr="004E70CE">
        <w:t>s</w:t>
      </w:r>
      <w:r w:rsidR="0002102B" w:rsidRPr="004E70CE">
        <w:t xml:space="preserve"> </w:t>
      </w:r>
      <w:r w:rsidR="0009625B" w:rsidRPr="004E70CE">
        <w:t xml:space="preserve">reduction </w:t>
      </w:r>
      <w:r w:rsidR="0002102B" w:rsidRPr="004E70CE">
        <w:t xml:space="preserve">policies, to the extent that they are </w:t>
      </w:r>
      <w:r w:rsidR="00516D93" w:rsidRPr="004E70CE">
        <w:t xml:space="preserve">effective at reducing the emissions intensity of goods, would be accounted for by reducing the total emissions subject to a border carbon adjustment liability. </w:t>
      </w:r>
      <w:r w:rsidR="007E1684" w:rsidRPr="004E70CE">
        <w:t xml:space="preserve"> </w:t>
      </w:r>
    </w:p>
    <w:p w14:paraId="28ADED68" w14:textId="77777777" w:rsidR="44D93CE9" w:rsidRPr="004E70CE" w:rsidRDefault="78837851" w:rsidP="003C296C">
      <w:pPr>
        <w:rPr>
          <w:b/>
        </w:rPr>
      </w:pPr>
      <w:r w:rsidRPr="004E70CE">
        <w:rPr>
          <w:b/>
        </w:rPr>
        <w:t>Revenue</w:t>
      </w:r>
    </w:p>
    <w:p w14:paraId="3379754A" w14:textId="3D020183" w:rsidR="78837851" w:rsidRPr="004E70CE" w:rsidRDefault="78837851" w:rsidP="003C296C">
      <w:pPr>
        <w:rPr>
          <w:rFonts w:ascii="Calibri" w:eastAsia="Calibri" w:hAnsi="Calibri" w:cs="Calibri"/>
          <w:color w:val="000000" w:themeColor="text1"/>
        </w:rPr>
      </w:pPr>
      <w:r w:rsidRPr="004E70CE">
        <w:rPr>
          <w:rFonts w:ascii="Calibri" w:eastAsia="Calibri" w:hAnsi="Calibri" w:cs="Calibri"/>
          <w:color w:val="000000" w:themeColor="text1"/>
          <w:lang w:val="en-GB"/>
        </w:rPr>
        <w:t xml:space="preserve">A border carbon adjustment </w:t>
      </w:r>
      <w:r w:rsidR="00EE5B83" w:rsidRPr="004E70CE">
        <w:rPr>
          <w:rFonts w:ascii="Calibri" w:eastAsia="Calibri" w:hAnsi="Calibri" w:cs="Calibri"/>
          <w:color w:val="000000" w:themeColor="text1"/>
          <w:lang w:val="en-GB"/>
        </w:rPr>
        <w:t xml:space="preserve">would </w:t>
      </w:r>
      <w:r w:rsidRPr="004E70CE">
        <w:rPr>
          <w:rFonts w:ascii="Calibri" w:eastAsia="Calibri" w:hAnsi="Calibri" w:cs="Calibri"/>
          <w:color w:val="000000" w:themeColor="text1"/>
          <w:lang w:val="en-GB"/>
        </w:rPr>
        <w:t xml:space="preserve">result in revenue collected by government if it </w:t>
      </w:r>
      <w:r w:rsidR="00C35D51" w:rsidRPr="004E70CE">
        <w:rPr>
          <w:rFonts w:ascii="Calibri" w:eastAsia="Calibri" w:hAnsi="Calibri" w:cs="Calibri"/>
          <w:color w:val="000000" w:themeColor="text1"/>
          <w:lang w:val="en-GB"/>
        </w:rPr>
        <w:t xml:space="preserve">partially or fully </w:t>
      </w:r>
      <w:r w:rsidRPr="004E70CE">
        <w:rPr>
          <w:rFonts w:ascii="Calibri" w:eastAsia="Calibri" w:hAnsi="Calibri" w:cs="Calibri"/>
          <w:color w:val="000000" w:themeColor="text1"/>
          <w:lang w:val="en-GB"/>
        </w:rPr>
        <w:t>adopts a fee model instead of</w:t>
      </w:r>
      <w:r w:rsidR="00653837" w:rsidRPr="004E70CE">
        <w:rPr>
          <w:rFonts w:ascii="Calibri" w:eastAsia="Calibri" w:hAnsi="Calibri" w:cs="Calibri"/>
          <w:color w:val="000000" w:themeColor="text1"/>
          <w:lang w:val="en-GB"/>
        </w:rPr>
        <w:t>, or as well as</w:t>
      </w:r>
      <w:r w:rsidRPr="004E70CE">
        <w:rPr>
          <w:rFonts w:ascii="Calibri" w:eastAsia="Calibri" w:hAnsi="Calibri" w:cs="Calibri"/>
          <w:color w:val="000000" w:themeColor="text1"/>
          <w:lang w:val="en-GB"/>
        </w:rPr>
        <w:t xml:space="preserve"> an A</w:t>
      </w:r>
      <w:r w:rsidR="00567509" w:rsidRPr="004E70CE">
        <w:rPr>
          <w:rFonts w:ascii="Calibri" w:eastAsia="Calibri" w:hAnsi="Calibri" w:cs="Calibri"/>
          <w:color w:val="000000" w:themeColor="text1"/>
          <w:lang w:val="en-GB"/>
        </w:rPr>
        <w:t xml:space="preserve">ustralian </w:t>
      </w:r>
      <w:r w:rsidRPr="004E70CE">
        <w:rPr>
          <w:rFonts w:ascii="Calibri" w:eastAsia="Calibri" w:hAnsi="Calibri" w:cs="Calibri"/>
          <w:color w:val="000000" w:themeColor="text1"/>
          <w:lang w:val="en-GB"/>
        </w:rPr>
        <w:t>C</w:t>
      </w:r>
      <w:r w:rsidR="00567509" w:rsidRPr="004E70CE">
        <w:rPr>
          <w:rFonts w:ascii="Calibri" w:eastAsia="Calibri" w:hAnsi="Calibri" w:cs="Calibri"/>
          <w:color w:val="000000" w:themeColor="text1"/>
          <w:lang w:val="en-GB"/>
        </w:rPr>
        <w:t xml:space="preserve">arbon </w:t>
      </w:r>
      <w:r w:rsidRPr="004E70CE">
        <w:rPr>
          <w:rFonts w:ascii="Calibri" w:eastAsia="Calibri" w:hAnsi="Calibri" w:cs="Calibri"/>
          <w:color w:val="000000" w:themeColor="text1"/>
          <w:lang w:val="en-GB"/>
        </w:rPr>
        <w:t>C</w:t>
      </w:r>
      <w:r w:rsidR="00567509" w:rsidRPr="004E70CE">
        <w:rPr>
          <w:rFonts w:ascii="Calibri" w:eastAsia="Calibri" w:hAnsi="Calibri" w:cs="Calibri"/>
          <w:color w:val="000000" w:themeColor="text1"/>
          <w:lang w:val="en-GB"/>
        </w:rPr>
        <w:t xml:space="preserve">redit </w:t>
      </w:r>
      <w:r w:rsidRPr="004E70CE">
        <w:rPr>
          <w:rFonts w:ascii="Calibri" w:eastAsia="Calibri" w:hAnsi="Calibri" w:cs="Calibri"/>
          <w:color w:val="000000" w:themeColor="text1"/>
          <w:lang w:val="en-GB"/>
        </w:rPr>
        <w:t>U</w:t>
      </w:r>
      <w:r w:rsidR="00567509" w:rsidRPr="004E70CE">
        <w:rPr>
          <w:rFonts w:ascii="Calibri" w:eastAsia="Calibri" w:hAnsi="Calibri" w:cs="Calibri"/>
          <w:color w:val="000000" w:themeColor="text1"/>
          <w:lang w:val="en-GB"/>
        </w:rPr>
        <w:t>nit (ACCU)</w:t>
      </w:r>
      <w:r w:rsidRPr="004E70CE">
        <w:rPr>
          <w:rFonts w:ascii="Calibri" w:eastAsia="Calibri" w:hAnsi="Calibri" w:cs="Calibri"/>
          <w:color w:val="000000" w:themeColor="text1"/>
          <w:lang w:val="en-GB"/>
        </w:rPr>
        <w:t xml:space="preserve"> surrender model. The amount of revenue is difficult to predict. </w:t>
      </w:r>
      <w:r w:rsidRPr="004E70CE">
        <w:rPr>
          <w:rFonts w:ascii="Calibri" w:eastAsia="Calibri" w:hAnsi="Calibri" w:cs="Calibri"/>
          <w:color w:val="000000" w:themeColor="text1"/>
        </w:rPr>
        <w:t xml:space="preserve">However, it is </w:t>
      </w:r>
      <w:r w:rsidR="00C35D51" w:rsidRPr="004E70CE">
        <w:rPr>
          <w:rFonts w:ascii="Calibri" w:eastAsia="Calibri" w:hAnsi="Calibri" w:cs="Calibri"/>
          <w:color w:val="000000" w:themeColor="text1"/>
        </w:rPr>
        <w:t xml:space="preserve">likely </w:t>
      </w:r>
      <w:r w:rsidRPr="004E70CE">
        <w:rPr>
          <w:rFonts w:ascii="Calibri" w:eastAsia="Calibri" w:hAnsi="Calibri" w:cs="Calibri"/>
          <w:color w:val="000000" w:themeColor="text1"/>
        </w:rPr>
        <w:t xml:space="preserve">that the amount of border revenue will be small relative to the overall value of imported products. </w:t>
      </w:r>
    </w:p>
    <w:p w14:paraId="55956ECC" w14:textId="1703A693" w:rsidR="78837851" w:rsidRPr="004E70CE" w:rsidRDefault="00EB51C9" w:rsidP="003C296C">
      <w:pPr>
        <w:rPr>
          <w:rFonts w:ascii="Calibri" w:eastAsia="Calibri" w:hAnsi="Calibri" w:cs="Calibri"/>
          <w:color w:val="000000" w:themeColor="text1"/>
        </w:rPr>
      </w:pPr>
      <w:r w:rsidRPr="004E70CE">
        <w:rPr>
          <w:rFonts w:ascii="Calibri" w:eastAsia="Calibri" w:hAnsi="Calibri" w:cs="Calibri"/>
          <w:color w:val="000000" w:themeColor="text1"/>
          <w:lang w:val="en-GB"/>
        </w:rPr>
        <w:t>If there is b</w:t>
      </w:r>
      <w:r w:rsidR="78837851" w:rsidRPr="004E70CE">
        <w:rPr>
          <w:rFonts w:ascii="Calibri" w:eastAsia="Calibri" w:hAnsi="Calibri" w:cs="Calibri"/>
          <w:color w:val="000000" w:themeColor="text1"/>
          <w:lang w:val="en-GB"/>
        </w:rPr>
        <w:t xml:space="preserve">order </w:t>
      </w:r>
      <w:r w:rsidR="0031573E" w:rsidRPr="004E70CE">
        <w:rPr>
          <w:rFonts w:ascii="Calibri" w:eastAsia="Calibri" w:hAnsi="Calibri" w:cs="Calibri"/>
          <w:color w:val="000000" w:themeColor="text1"/>
          <w:lang w:val="en-GB"/>
        </w:rPr>
        <w:t xml:space="preserve">carbon </w:t>
      </w:r>
      <w:r w:rsidR="78837851" w:rsidRPr="004E70CE">
        <w:rPr>
          <w:rFonts w:ascii="Calibri" w:eastAsia="Calibri" w:hAnsi="Calibri" w:cs="Calibri"/>
          <w:color w:val="000000" w:themeColor="text1"/>
          <w:lang w:val="en-GB"/>
        </w:rPr>
        <w:t>adjustment revenue</w:t>
      </w:r>
      <w:r w:rsidR="00F730C1">
        <w:rPr>
          <w:rFonts w:ascii="Calibri" w:eastAsia="Calibri" w:hAnsi="Calibri" w:cs="Calibri"/>
          <w:color w:val="000000" w:themeColor="text1"/>
          <w:lang w:val="en-GB"/>
        </w:rPr>
        <w:t>,</w:t>
      </w:r>
      <w:r w:rsidR="78837851" w:rsidRPr="004E70CE">
        <w:rPr>
          <w:rFonts w:ascii="Calibri" w:eastAsia="Calibri" w:hAnsi="Calibri" w:cs="Calibri"/>
          <w:color w:val="000000" w:themeColor="text1"/>
          <w:lang w:val="en-GB"/>
        </w:rPr>
        <w:t xml:space="preserve"> </w:t>
      </w:r>
      <w:r w:rsidRPr="004E70CE">
        <w:rPr>
          <w:rFonts w:ascii="Calibri" w:eastAsia="Calibri" w:hAnsi="Calibri" w:cs="Calibri"/>
          <w:color w:val="000000" w:themeColor="text1"/>
          <w:lang w:val="en-GB"/>
        </w:rPr>
        <w:t xml:space="preserve">it is relevant that </w:t>
      </w:r>
      <w:r w:rsidR="00333D64" w:rsidRPr="004E70CE">
        <w:rPr>
          <w:rFonts w:ascii="Calibri" w:eastAsia="Calibri" w:hAnsi="Calibri" w:cs="Calibri"/>
          <w:color w:val="000000" w:themeColor="text1"/>
          <w:lang w:val="en-GB"/>
        </w:rPr>
        <w:t>the costs of implementing the program</w:t>
      </w:r>
      <w:r w:rsidR="00AC25B9" w:rsidRPr="004E70CE">
        <w:rPr>
          <w:rFonts w:ascii="Calibri" w:eastAsia="Calibri" w:hAnsi="Calibri" w:cs="Calibri"/>
          <w:color w:val="000000" w:themeColor="text1"/>
          <w:lang w:val="en-GB"/>
        </w:rPr>
        <w:t xml:space="preserve"> need to be funded</w:t>
      </w:r>
      <w:r w:rsidR="00333D64" w:rsidRPr="004E70CE">
        <w:rPr>
          <w:rFonts w:ascii="Calibri" w:eastAsia="Calibri" w:hAnsi="Calibri" w:cs="Calibri"/>
          <w:color w:val="000000" w:themeColor="text1"/>
          <w:lang w:val="en-GB"/>
        </w:rPr>
        <w:t xml:space="preserve">. </w:t>
      </w:r>
      <w:r w:rsidRPr="004E70CE">
        <w:rPr>
          <w:rFonts w:ascii="Calibri" w:eastAsia="Calibri" w:hAnsi="Calibri" w:cs="Calibri"/>
          <w:color w:val="000000" w:themeColor="text1"/>
          <w:lang w:val="en-GB"/>
        </w:rPr>
        <w:t>A</w:t>
      </w:r>
      <w:r w:rsidR="00333D64" w:rsidRPr="004E70CE">
        <w:rPr>
          <w:rFonts w:ascii="Calibri" w:eastAsia="Calibri" w:hAnsi="Calibri" w:cs="Calibri"/>
          <w:color w:val="000000" w:themeColor="text1"/>
          <w:lang w:val="en-GB"/>
        </w:rPr>
        <w:t xml:space="preserve">dditional funding could go to support other policy priorities, including decarbonisation programs. </w:t>
      </w:r>
    </w:p>
    <w:p w14:paraId="60C87CEC" w14:textId="5E6FB3AE" w:rsidR="78837851" w:rsidRPr="004E70CE" w:rsidRDefault="00333D64" w:rsidP="003C296C">
      <w:pPr>
        <w:rPr>
          <w:rFonts w:ascii="Calibri" w:eastAsia="Calibri" w:hAnsi="Calibri" w:cs="Calibri"/>
          <w:color w:val="000000" w:themeColor="text1"/>
        </w:rPr>
      </w:pPr>
      <w:r w:rsidRPr="004E70CE">
        <w:rPr>
          <w:rFonts w:ascii="Calibri" w:eastAsia="Calibri" w:hAnsi="Calibri" w:cs="Calibri"/>
          <w:color w:val="000000" w:themeColor="text1"/>
          <w:lang w:val="en-GB"/>
        </w:rPr>
        <w:t>As part of the Review’s engagement,</w:t>
      </w:r>
      <w:r w:rsidR="78837851" w:rsidRPr="004E70CE">
        <w:rPr>
          <w:rFonts w:ascii="Calibri" w:eastAsia="Calibri" w:hAnsi="Calibri" w:cs="Calibri"/>
          <w:color w:val="000000" w:themeColor="text1"/>
          <w:lang w:val="en-GB"/>
        </w:rPr>
        <w:t xml:space="preserve"> </w:t>
      </w:r>
      <w:r w:rsidRPr="004E70CE">
        <w:rPr>
          <w:rFonts w:ascii="Calibri" w:eastAsia="Calibri" w:hAnsi="Calibri" w:cs="Calibri"/>
          <w:color w:val="000000" w:themeColor="text1"/>
          <w:lang w:val="en-GB"/>
        </w:rPr>
        <w:t xml:space="preserve">both domestic and international </w:t>
      </w:r>
      <w:r w:rsidR="00C932AB" w:rsidRPr="004E70CE">
        <w:rPr>
          <w:rFonts w:ascii="Calibri" w:eastAsia="Calibri" w:hAnsi="Calibri" w:cs="Calibri"/>
          <w:color w:val="000000" w:themeColor="text1"/>
          <w:lang w:val="en-GB"/>
        </w:rPr>
        <w:t xml:space="preserve">stakeholders have raised that </w:t>
      </w:r>
      <w:r w:rsidRPr="004E70CE">
        <w:rPr>
          <w:rFonts w:ascii="Calibri" w:eastAsia="Calibri" w:hAnsi="Calibri" w:cs="Calibri"/>
          <w:color w:val="000000" w:themeColor="text1"/>
          <w:lang w:val="en-GB"/>
        </w:rPr>
        <w:t xml:space="preserve">in conjunction with the introduction of a </w:t>
      </w:r>
      <w:r w:rsidR="003C34F2" w:rsidRPr="004E70CE">
        <w:rPr>
          <w:rFonts w:ascii="Calibri" w:eastAsia="Calibri" w:hAnsi="Calibri" w:cs="Calibri"/>
          <w:color w:val="000000" w:themeColor="text1"/>
          <w:lang w:val="en-GB"/>
        </w:rPr>
        <w:t>border carbon adjustment</w:t>
      </w:r>
      <w:r w:rsidRPr="004E70CE">
        <w:rPr>
          <w:rFonts w:ascii="Calibri" w:eastAsia="Calibri" w:hAnsi="Calibri" w:cs="Calibri"/>
          <w:color w:val="000000" w:themeColor="text1"/>
          <w:lang w:val="en-GB"/>
        </w:rPr>
        <w:t>,</w:t>
      </w:r>
      <w:r w:rsidR="008818AB" w:rsidRPr="004E70CE">
        <w:rPr>
          <w:rFonts w:ascii="Calibri" w:eastAsia="Calibri" w:hAnsi="Calibri" w:cs="Calibri"/>
          <w:color w:val="000000" w:themeColor="text1"/>
          <w:lang w:val="en-GB"/>
        </w:rPr>
        <w:t xml:space="preserve"> </w:t>
      </w:r>
      <w:r w:rsidR="78837851" w:rsidRPr="004E70CE">
        <w:rPr>
          <w:rFonts w:ascii="Calibri" w:eastAsia="Calibri" w:hAnsi="Calibri" w:cs="Calibri"/>
          <w:color w:val="000000" w:themeColor="text1"/>
          <w:lang w:val="en-GB"/>
        </w:rPr>
        <w:t>fund</w:t>
      </w:r>
      <w:r w:rsidRPr="004E70CE">
        <w:rPr>
          <w:rFonts w:ascii="Calibri" w:eastAsia="Calibri" w:hAnsi="Calibri" w:cs="Calibri"/>
          <w:color w:val="000000" w:themeColor="text1"/>
          <w:lang w:val="en-GB"/>
        </w:rPr>
        <w:t>ing for</w:t>
      </w:r>
      <w:r w:rsidR="78837851" w:rsidRPr="004E70CE">
        <w:rPr>
          <w:rFonts w:ascii="Calibri" w:eastAsia="Calibri" w:hAnsi="Calibri" w:cs="Calibri"/>
          <w:color w:val="000000" w:themeColor="text1"/>
          <w:lang w:val="en-GB"/>
        </w:rPr>
        <w:t xml:space="preserve"> technical assistance and capacity building programs to assist developing countries </w:t>
      </w:r>
      <w:r w:rsidRPr="004E70CE">
        <w:rPr>
          <w:rFonts w:ascii="Calibri" w:eastAsia="Calibri" w:hAnsi="Calibri" w:cs="Calibri"/>
          <w:color w:val="000000" w:themeColor="text1"/>
          <w:lang w:val="en-GB"/>
        </w:rPr>
        <w:t xml:space="preserve">could be increased, in particular to </w:t>
      </w:r>
      <w:r w:rsidR="78837851" w:rsidRPr="004E70CE">
        <w:rPr>
          <w:rFonts w:ascii="Calibri" w:eastAsia="Calibri" w:hAnsi="Calibri" w:cs="Calibri"/>
          <w:color w:val="000000" w:themeColor="text1"/>
          <w:lang w:val="en-GB"/>
        </w:rPr>
        <w:t xml:space="preserve">establish systems for monitoring, verification and reporting emissions intensity of production. It could also support programs to support clean industry transition in developing countries </w:t>
      </w:r>
      <w:r w:rsidR="156B55AC" w:rsidRPr="004E70CE">
        <w:rPr>
          <w:rFonts w:ascii="Calibri" w:eastAsia="Calibri" w:hAnsi="Calibri" w:cs="Calibri"/>
          <w:color w:val="000000" w:themeColor="text1"/>
          <w:lang w:val="en-GB"/>
        </w:rPr>
        <w:t>to</w:t>
      </w:r>
      <w:r w:rsidR="78837851" w:rsidRPr="004E70CE">
        <w:rPr>
          <w:rFonts w:ascii="Calibri" w:eastAsia="Calibri" w:hAnsi="Calibri" w:cs="Calibri"/>
          <w:color w:val="000000" w:themeColor="text1"/>
          <w:lang w:val="en-GB"/>
        </w:rPr>
        <w:t xml:space="preserve"> advance shared climate objectives.</w:t>
      </w:r>
    </w:p>
    <w:p w14:paraId="066D4A65" w14:textId="77777777" w:rsidR="104261CB" w:rsidRPr="004E70CE" w:rsidRDefault="00735CB2" w:rsidP="003C296C">
      <w:pPr>
        <w:rPr>
          <w:b/>
        </w:rPr>
      </w:pPr>
      <w:r w:rsidRPr="004E70CE">
        <w:rPr>
          <w:b/>
          <w:bCs/>
        </w:rPr>
        <w:t xml:space="preserve">Safeguard </w:t>
      </w:r>
      <w:r w:rsidR="11802A50" w:rsidRPr="004E70CE">
        <w:rPr>
          <w:b/>
          <w:bCs/>
        </w:rPr>
        <w:t>TEBA arrangements</w:t>
      </w:r>
    </w:p>
    <w:p w14:paraId="29CBC44F" w14:textId="052784A8" w:rsidR="00E21524" w:rsidRPr="004E70CE" w:rsidRDefault="00191665" w:rsidP="003C296C">
      <w:r w:rsidRPr="004E70CE">
        <w:t xml:space="preserve">Under the Safeguard Mechanism, </w:t>
      </w:r>
      <w:r w:rsidR="000177F2" w:rsidRPr="004E70CE">
        <w:t>trade</w:t>
      </w:r>
      <w:r w:rsidR="0032023E" w:rsidRPr="004E70CE">
        <w:t>-</w:t>
      </w:r>
      <w:r w:rsidR="000177F2" w:rsidRPr="004E70CE">
        <w:t>exposed baseline adjusted</w:t>
      </w:r>
      <w:r w:rsidR="00735CB2" w:rsidRPr="004E70CE">
        <w:t xml:space="preserve"> </w:t>
      </w:r>
      <w:r w:rsidR="000750B4" w:rsidRPr="004E70CE">
        <w:t>(TEBA)</w:t>
      </w:r>
      <w:r w:rsidR="00735CB2" w:rsidRPr="004E70CE">
        <w:t xml:space="preserve"> arrangements reduce baseline decline rates under the Safeguard Mechanism where there is a significant impact on </w:t>
      </w:r>
      <w:r w:rsidR="00735CB2" w:rsidRPr="004E70CE">
        <w:lastRenderedPageBreak/>
        <w:t xml:space="preserve">revenue </w:t>
      </w:r>
      <w:r w:rsidR="001A2097" w:rsidRPr="004E70CE">
        <w:t>(</w:t>
      </w:r>
      <w:r w:rsidR="00735CB2" w:rsidRPr="004E70CE">
        <w:t xml:space="preserve">EBIT for manufacturing facilities). </w:t>
      </w:r>
      <w:r w:rsidR="41B93042" w:rsidRPr="004E70CE">
        <w:t>A</w:t>
      </w:r>
      <w:r w:rsidR="00E21524" w:rsidRPr="004E70CE">
        <w:t xml:space="preserve"> border carbon adjustment for a particular sector would ensure that imports would receive equivalent policy treatment as domestic production</w:t>
      </w:r>
      <w:r w:rsidR="44BA717D" w:rsidRPr="004E70CE">
        <w:t xml:space="preserve">. </w:t>
      </w:r>
      <w:r w:rsidR="44BA717D" w:rsidRPr="004E70CE" w:rsidDel="00D84D6A">
        <w:t xml:space="preserve"> </w:t>
      </w:r>
      <w:r w:rsidR="00D27566" w:rsidRPr="004E70CE">
        <w:t xml:space="preserve">For import competing </w:t>
      </w:r>
      <w:r w:rsidR="00D27566" w:rsidRPr="004E70CE" w:rsidDel="009923F7">
        <w:t>sect</w:t>
      </w:r>
      <w:r w:rsidR="00952466" w:rsidRPr="004E70CE" w:rsidDel="009923F7">
        <w:t>or</w:t>
      </w:r>
      <w:r w:rsidR="00D27566" w:rsidRPr="004E70CE" w:rsidDel="009923F7">
        <w:t>s</w:t>
      </w:r>
      <w:r w:rsidR="00D27566" w:rsidRPr="004E70CE">
        <w:t>, as the underlying challenge of carbon leakage would be fully address</w:t>
      </w:r>
      <w:r w:rsidR="00952466" w:rsidRPr="004E70CE">
        <w:t>ed</w:t>
      </w:r>
      <w:r w:rsidR="00D27566" w:rsidRPr="004E70CE">
        <w:t>, it would become feasible to remove</w:t>
      </w:r>
      <w:r w:rsidR="00D65F96" w:rsidRPr="004E70CE">
        <w:t xml:space="preserve"> or phase out</w:t>
      </w:r>
      <w:r w:rsidR="00D27566" w:rsidRPr="004E70CE">
        <w:t xml:space="preserve"> TEBA</w:t>
      </w:r>
      <w:r w:rsidR="00B57A6A" w:rsidRPr="004E70CE">
        <w:t xml:space="preserve"> </w:t>
      </w:r>
      <w:r w:rsidR="00D27566" w:rsidRPr="004E70CE">
        <w:t xml:space="preserve">for those </w:t>
      </w:r>
      <w:r w:rsidR="00D27566" w:rsidRPr="004E70CE" w:rsidDel="00BC32F6">
        <w:t>sectors</w:t>
      </w:r>
      <w:r w:rsidR="00BAA2ED" w:rsidRPr="004E70CE" w:rsidDel="006321A9">
        <w:t>.</w:t>
      </w:r>
      <w:r w:rsidR="00725B17" w:rsidRPr="004E70CE">
        <w:t xml:space="preserve"> </w:t>
      </w:r>
    </w:p>
    <w:p w14:paraId="0936C659" w14:textId="485B84D0" w:rsidR="0042018B" w:rsidRPr="004E70CE" w:rsidRDefault="0042018B" w:rsidP="003C296C">
      <w:r w:rsidRPr="004E70CE">
        <w:t xml:space="preserve">TEBA is only available for facilities that meet a </w:t>
      </w:r>
      <w:r w:rsidR="00223CA5" w:rsidRPr="004E70CE">
        <w:t xml:space="preserve">threshold </w:t>
      </w:r>
      <w:r w:rsidR="00952466" w:rsidRPr="004E70CE">
        <w:t xml:space="preserve">impact </w:t>
      </w:r>
      <w:r w:rsidRPr="004E70CE">
        <w:t xml:space="preserve">of carbon costs. A border carbon adjustment </w:t>
      </w:r>
      <w:r w:rsidR="002B0BAE" w:rsidRPr="004E70CE">
        <w:t xml:space="preserve">reduces </w:t>
      </w:r>
      <w:r w:rsidR="291A461A" w:rsidRPr="004E70CE">
        <w:t xml:space="preserve">cost disadvantage to domestic </w:t>
      </w:r>
      <w:r w:rsidR="00D65544" w:rsidRPr="004E70CE">
        <w:t>Safeguard</w:t>
      </w:r>
      <w:r w:rsidR="291A461A" w:rsidRPr="004E70CE">
        <w:t xml:space="preserve"> producers </w:t>
      </w:r>
      <w:r w:rsidR="0BA7E7EB" w:rsidRPr="004E70CE">
        <w:t xml:space="preserve">relative to imports that may </w:t>
      </w:r>
      <w:r w:rsidR="291A461A" w:rsidRPr="004E70CE">
        <w:t>ari</w:t>
      </w:r>
      <w:r w:rsidR="61810F89" w:rsidRPr="004E70CE">
        <w:t>se</w:t>
      </w:r>
      <w:r w:rsidR="291A461A" w:rsidRPr="004E70CE">
        <w:t xml:space="preserve"> from </w:t>
      </w:r>
      <w:r w:rsidR="026A15DB" w:rsidRPr="004E70CE">
        <w:t>differences in</w:t>
      </w:r>
      <w:r w:rsidR="43D8347A" w:rsidRPr="004E70CE">
        <w:t xml:space="preserve"> climate change policy and</w:t>
      </w:r>
      <w:r w:rsidR="00881D8E" w:rsidRPr="004E70CE">
        <w:t xml:space="preserve"> </w:t>
      </w:r>
      <w:r w:rsidR="5F7D0964" w:rsidRPr="004E70CE">
        <w:t xml:space="preserve">facilitates </w:t>
      </w:r>
      <w:r w:rsidRPr="004E70CE">
        <w:t>pass-through of carbon costs</w:t>
      </w:r>
      <w:r w:rsidR="6AAFD448" w:rsidRPr="004E70CE">
        <w:t xml:space="preserve"> in product markets</w:t>
      </w:r>
      <w:r w:rsidRPr="004E70CE">
        <w:t>. This would significant</w:t>
      </w:r>
      <w:r w:rsidR="004E48C9" w:rsidRPr="004E70CE">
        <w:t>ly</w:t>
      </w:r>
      <w:r w:rsidRPr="004E70CE">
        <w:t xml:space="preserve"> decrease TEBA eligibility across facilities. If facilities have a higher cost base because they remain more carbon intensive than their competitors</w:t>
      </w:r>
      <w:r w:rsidR="005D09CC" w:rsidRPr="004E70CE">
        <w:t>,</w:t>
      </w:r>
      <w:r w:rsidRPr="004E70CE">
        <w:t xml:space="preserve"> then supporting such a facility would </w:t>
      </w:r>
      <w:r w:rsidR="00591C4E" w:rsidRPr="004E70CE">
        <w:t xml:space="preserve">need </w:t>
      </w:r>
      <w:r w:rsidRPr="004E70CE">
        <w:t xml:space="preserve">to be for reasons other than </w:t>
      </w:r>
      <w:r w:rsidR="4D4D3BB8" w:rsidRPr="004E70CE">
        <w:t xml:space="preserve">differential </w:t>
      </w:r>
      <w:r w:rsidRPr="004E70CE">
        <w:t>climate policy.</w:t>
      </w:r>
    </w:p>
    <w:p w14:paraId="1563E7ED" w14:textId="77777777" w:rsidR="006A4984" w:rsidRPr="004E70CE" w:rsidRDefault="006E4D36" w:rsidP="003C296C">
      <w:r w:rsidRPr="004E70CE">
        <w:t xml:space="preserve">Retaining </w:t>
      </w:r>
      <w:r w:rsidR="006A4984" w:rsidRPr="004E70CE">
        <w:t xml:space="preserve">or phasing out </w:t>
      </w:r>
      <w:r w:rsidRPr="004E70CE">
        <w:t xml:space="preserve">TEBA with a border carbon adjustment would </w:t>
      </w:r>
      <w:r w:rsidR="00314722" w:rsidRPr="004E70CE">
        <w:t>create</w:t>
      </w:r>
      <w:r w:rsidRPr="004E70CE">
        <w:t xml:space="preserve"> complexity in determining the </w:t>
      </w:r>
      <w:r w:rsidR="0094336C" w:rsidRPr="004E70CE">
        <w:t xml:space="preserve">relevant border carbon adjustment </w:t>
      </w:r>
      <w:r w:rsidRPr="004E70CE">
        <w:t xml:space="preserve">liability. Given </w:t>
      </w:r>
      <w:r w:rsidRPr="004E70CE" w:rsidDel="0029247D">
        <w:t xml:space="preserve">the </w:t>
      </w:r>
      <w:r w:rsidRPr="004E70CE">
        <w:t xml:space="preserve">intention to equalise costs across domestic production and imports, any TEBA allocation would need to be reflected in the liability calculation. This calculation would be particularly complex if different facilities </w:t>
      </w:r>
      <w:r w:rsidR="006A4984" w:rsidRPr="004E70CE">
        <w:t>producing a commodity</w:t>
      </w:r>
      <w:r w:rsidRPr="004E70CE" w:rsidDel="002B03D3">
        <w:t xml:space="preserve"> </w:t>
      </w:r>
      <w:r w:rsidRPr="004E70CE">
        <w:t>received different adjustments under TEBA.</w:t>
      </w:r>
    </w:p>
    <w:p w14:paraId="34C52D4A" w14:textId="7A0308FC" w:rsidR="00D30C05" w:rsidRPr="004E70CE" w:rsidRDefault="00EB704D" w:rsidP="003C296C">
      <w:r w:rsidRPr="004E70CE">
        <w:t xml:space="preserve">The retention of TEBA with a border carbon adjustment </w:t>
      </w:r>
      <w:r w:rsidR="0032107F" w:rsidRPr="004E70CE">
        <w:t>c</w:t>
      </w:r>
      <w:r w:rsidR="00C60F62" w:rsidRPr="004E70CE">
        <w:t xml:space="preserve">ould </w:t>
      </w:r>
      <w:r w:rsidRPr="004E70CE">
        <w:t>raise international trade law concerns, particularly regarding the principle of non-discrimination</w:t>
      </w:r>
      <w:r w:rsidR="00FE7479" w:rsidRPr="004E70CE">
        <w:t>.</w:t>
      </w:r>
      <w:r w:rsidR="006E4D36" w:rsidRPr="004E70CE">
        <w:t xml:space="preserve"> </w:t>
      </w:r>
    </w:p>
    <w:p w14:paraId="0B674096" w14:textId="6FBE127C" w:rsidR="00281833" w:rsidRPr="004E70CE" w:rsidRDefault="00281833" w:rsidP="003C296C">
      <w:pPr>
        <w:rPr>
          <w:rFonts w:ascii="CIDFont+F4" w:hAnsi="CIDFont+F4" w:cs="CIDFont+F4"/>
          <w:b/>
          <w:bCs/>
        </w:rPr>
      </w:pPr>
      <w:r w:rsidRPr="004E70CE">
        <w:rPr>
          <w:rFonts w:ascii="CIDFont+F4" w:hAnsi="CIDFont+F4" w:cs="CIDFont+F4"/>
          <w:b/>
          <w:bCs/>
        </w:rPr>
        <w:t>Administrative considerations</w:t>
      </w:r>
    </w:p>
    <w:p w14:paraId="13255FA9" w14:textId="77777777" w:rsidR="00E74C80" w:rsidRPr="004E70CE" w:rsidRDefault="00281833" w:rsidP="003C296C">
      <w:pPr>
        <w:pStyle w:val="Calloutbox"/>
        <w:spacing w:after="200" w:line="276" w:lineRule="auto"/>
        <w:rPr>
          <w:b/>
        </w:rPr>
      </w:pPr>
      <w:r w:rsidRPr="004E70CE">
        <w:rPr>
          <w:b/>
        </w:rPr>
        <w:t>Preliminary findings</w:t>
      </w:r>
      <w:r w:rsidR="00653837" w:rsidRPr="004E70CE">
        <w:rPr>
          <w:b/>
        </w:rPr>
        <w:t xml:space="preserve"> for consultation</w:t>
      </w:r>
    </w:p>
    <w:p w14:paraId="1BD38D78" w14:textId="77777777" w:rsidR="00745AE3" w:rsidRPr="004E70CE" w:rsidRDefault="009A31DA" w:rsidP="003C296C">
      <w:pPr>
        <w:pStyle w:val="Calloutbox"/>
        <w:spacing w:after="200" w:line="276" w:lineRule="auto"/>
      </w:pPr>
      <w:r w:rsidRPr="004E70CE">
        <w:t>Should a border carbon adjustment be pursued, f</w:t>
      </w:r>
      <w:r w:rsidR="00745AE3" w:rsidRPr="004E70CE">
        <w:t>rameworks relating to reporting and verification of emissions should minimise administrative burden, including through streamlined reporting processes that maintain confidentiality for producers; effective yet efficient emissions verification; and suitable emissions intensity default values.</w:t>
      </w:r>
    </w:p>
    <w:p w14:paraId="1DE6FB7A" w14:textId="77777777" w:rsidR="00745AE3" w:rsidRPr="004E70CE" w:rsidRDefault="00745AE3" w:rsidP="003C296C">
      <w:pPr>
        <w:pStyle w:val="Calloutbox"/>
        <w:spacing w:after="200" w:line="276" w:lineRule="auto"/>
      </w:pPr>
      <w:r w:rsidRPr="004E70CE">
        <w:t xml:space="preserve">These frameworks should align with existing and future international standards when possible, including supporting the development of frameworks for emissions monitoring and industrial </w:t>
      </w:r>
      <w:r w:rsidR="002263EE" w:rsidRPr="004E70CE">
        <w:t>de</w:t>
      </w:r>
      <w:r w:rsidRPr="004E70CE">
        <w:t>carbonisation for Australia’s trade partners.</w:t>
      </w:r>
    </w:p>
    <w:p w14:paraId="414A4AB7" w14:textId="77777777" w:rsidR="00533B57" w:rsidRPr="004E70CE" w:rsidRDefault="001558B5" w:rsidP="003C296C">
      <w:pPr>
        <w:rPr>
          <w:rFonts w:ascii="CIDFont+F4" w:hAnsi="CIDFont+F4" w:cs="CIDFont+F4"/>
        </w:rPr>
      </w:pPr>
      <w:r w:rsidRPr="004E70CE">
        <w:rPr>
          <w:rFonts w:ascii="CIDFont+F4" w:hAnsi="CIDFont+F4" w:cs="CIDFont+F4"/>
        </w:rPr>
        <w:t xml:space="preserve">Submissions to the Review’s first consultation paper </w:t>
      </w:r>
      <w:r w:rsidR="2515E027" w:rsidRPr="004E70CE">
        <w:rPr>
          <w:rFonts w:ascii="CIDFont+F4" w:hAnsi="CIDFont+F4" w:cs="CIDFont+F4"/>
        </w:rPr>
        <w:t>and subsequent consultations</w:t>
      </w:r>
      <w:r w:rsidRPr="004E70CE">
        <w:rPr>
          <w:rFonts w:ascii="CIDFont+F4" w:hAnsi="CIDFont+F4" w:cs="CIDFont+F4"/>
        </w:rPr>
        <w:t xml:space="preserve"> emphasised that a border carbon adjustment should have as low an administrative burden as possible and</w:t>
      </w:r>
      <w:r w:rsidR="000E76F4" w:rsidRPr="004E70CE">
        <w:rPr>
          <w:rFonts w:ascii="CIDFont+F4" w:hAnsi="CIDFont+F4" w:cs="CIDFont+F4"/>
        </w:rPr>
        <w:t xml:space="preserve"> not act as </w:t>
      </w:r>
      <w:r w:rsidR="00686A46" w:rsidRPr="004E70CE">
        <w:rPr>
          <w:rFonts w:ascii="CIDFont+F4" w:hAnsi="CIDFont+F4" w:cs="CIDFont+F4"/>
        </w:rPr>
        <w:t>a</w:t>
      </w:r>
      <w:r w:rsidR="00BD15BD" w:rsidRPr="004E70CE">
        <w:rPr>
          <w:rFonts w:ascii="CIDFont+F4" w:hAnsi="CIDFont+F4" w:cs="CIDFont+F4"/>
        </w:rPr>
        <w:t xml:space="preserve"> </w:t>
      </w:r>
      <w:r w:rsidR="000E76F4" w:rsidRPr="004E70CE">
        <w:rPr>
          <w:rFonts w:ascii="CIDFont+F4" w:hAnsi="CIDFont+F4" w:cs="CIDFont+F4"/>
        </w:rPr>
        <w:t>barrier to trade</w:t>
      </w:r>
      <w:r w:rsidR="00BE523D" w:rsidRPr="004E70CE">
        <w:rPr>
          <w:rFonts w:ascii="CIDFont+F4" w:hAnsi="CIDFont+F4" w:cs="CIDFont+F4"/>
        </w:rPr>
        <w:t>.</w:t>
      </w:r>
      <w:r w:rsidR="00E7488E" w:rsidRPr="004E70CE">
        <w:rPr>
          <w:rFonts w:ascii="CIDFont+F4" w:hAnsi="CIDFont+F4" w:cs="CIDFont+F4"/>
        </w:rPr>
        <w:t xml:space="preserve"> This includes </w:t>
      </w:r>
      <w:r w:rsidR="0028439A" w:rsidRPr="004E70CE">
        <w:rPr>
          <w:rFonts w:ascii="CIDFont+F4" w:hAnsi="CIDFont+F4" w:cs="CIDFont+F4"/>
        </w:rPr>
        <w:t xml:space="preserve">simplified and digitised </w:t>
      </w:r>
      <w:r w:rsidR="00E94963" w:rsidRPr="004E70CE">
        <w:rPr>
          <w:rFonts w:ascii="CIDFont+F4" w:hAnsi="CIDFont+F4" w:cs="CIDFont+F4"/>
        </w:rPr>
        <w:t xml:space="preserve">procedures which can </w:t>
      </w:r>
      <w:r w:rsidR="00617AD2" w:rsidRPr="004E70CE">
        <w:rPr>
          <w:rFonts w:ascii="CIDFont+F4" w:hAnsi="CIDFont+F4" w:cs="CIDFont+F4"/>
        </w:rPr>
        <w:t xml:space="preserve">support trade and </w:t>
      </w:r>
      <w:r w:rsidR="00624042" w:rsidRPr="004E70CE">
        <w:rPr>
          <w:rFonts w:ascii="CIDFont+F4" w:hAnsi="CIDFont+F4" w:cs="CIDFont+F4"/>
        </w:rPr>
        <w:t xml:space="preserve">enable </w:t>
      </w:r>
      <w:r w:rsidR="00617AD2" w:rsidRPr="004E70CE">
        <w:rPr>
          <w:rFonts w:ascii="CIDFont+F4" w:hAnsi="CIDFont+F4" w:cs="CIDFont+F4"/>
        </w:rPr>
        <w:t>interoperability with</w:t>
      </w:r>
      <w:r w:rsidR="00AB5771" w:rsidRPr="004E70CE">
        <w:rPr>
          <w:rFonts w:ascii="CIDFont+F4" w:hAnsi="CIDFont+F4" w:cs="CIDFont+F4"/>
        </w:rPr>
        <w:t xml:space="preserve"> emerging environment</w:t>
      </w:r>
      <w:r w:rsidR="00832596" w:rsidRPr="004E70CE">
        <w:rPr>
          <w:rFonts w:ascii="CIDFont+F4" w:hAnsi="CIDFont+F4" w:cs="CIDFont+F4"/>
        </w:rPr>
        <w:t xml:space="preserve"> and </w:t>
      </w:r>
      <w:r w:rsidR="00AB5771" w:rsidRPr="004E70CE">
        <w:rPr>
          <w:rFonts w:ascii="CIDFont+F4" w:hAnsi="CIDFont+F4" w:cs="CIDFont+F4"/>
        </w:rPr>
        <w:t>climate trade standards</w:t>
      </w:r>
      <w:r w:rsidR="00E0557F" w:rsidRPr="004E70CE">
        <w:rPr>
          <w:rFonts w:ascii="CIDFont+F4" w:hAnsi="CIDFont+F4" w:cs="CIDFont+F4"/>
        </w:rPr>
        <w:t xml:space="preserve"> and verification schemes</w:t>
      </w:r>
      <w:r w:rsidR="00AB5771" w:rsidRPr="004E70CE">
        <w:rPr>
          <w:rFonts w:ascii="CIDFont+F4" w:hAnsi="CIDFont+F4" w:cs="CIDFont+F4"/>
        </w:rPr>
        <w:t>, such as the Guarantee of Origin and</w:t>
      </w:r>
      <w:r w:rsidR="00624042" w:rsidRPr="004E70CE">
        <w:rPr>
          <w:rFonts w:ascii="CIDFont+F4" w:hAnsi="CIDFont+F4" w:cs="CIDFont+F4"/>
        </w:rPr>
        <w:t xml:space="preserve"> its</w:t>
      </w:r>
      <w:r w:rsidR="00AB5771" w:rsidRPr="004E70CE">
        <w:rPr>
          <w:rFonts w:ascii="CIDFont+F4" w:hAnsi="CIDFont+F4" w:cs="CIDFont+F4"/>
        </w:rPr>
        <w:t xml:space="preserve"> </w:t>
      </w:r>
      <w:r w:rsidR="00624042" w:rsidRPr="004E70CE">
        <w:rPr>
          <w:rFonts w:ascii="CIDFont+F4" w:hAnsi="CIDFont+F4" w:cs="CIDFont+F4"/>
        </w:rPr>
        <w:t>equivalents overseas</w:t>
      </w:r>
      <w:r w:rsidR="00AB5771" w:rsidRPr="004E70CE">
        <w:rPr>
          <w:rFonts w:ascii="CIDFont+F4" w:hAnsi="CIDFont+F4" w:cs="CIDFont+F4"/>
        </w:rPr>
        <w:t xml:space="preserve">. </w:t>
      </w:r>
    </w:p>
    <w:p w14:paraId="5A212EB0" w14:textId="77777777" w:rsidR="20CD272B" w:rsidRPr="004E70CE" w:rsidRDefault="6ECC9A96" w:rsidP="003C296C">
      <w:pPr>
        <w:rPr>
          <w:rFonts w:ascii="CIDFont+F4" w:hAnsi="CIDFont+F4" w:cs="CIDFont+F4"/>
        </w:rPr>
      </w:pPr>
      <w:r w:rsidRPr="004E70CE">
        <w:rPr>
          <w:rFonts w:ascii="CIDFont+F4" w:hAnsi="CIDFont+F4" w:cs="CIDFont+F4"/>
        </w:rPr>
        <w:t xml:space="preserve">In international consultations in the region, the importance of pragmatic, </w:t>
      </w:r>
      <w:r w:rsidR="465CD446" w:rsidRPr="004E70CE">
        <w:rPr>
          <w:rFonts w:ascii="CIDFont+F4" w:hAnsi="CIDFont+F4" w:cs="CIDFont+F4"/>
        </w:rPr>
        <w:t>low</w:t>
      </w:r>
      <w:r w:rsidR="009E6CFB" w:rsidRPr="004E70CE">
        <w:rPr>
          <w:rFonts w:ascii="CIDFont+F4" w:hAnsi="CIDFont+F4" w:cs="CIDFont+F4"/>
        </w:rPr>
        <w:t xml:space="preserve"> </w:t>
      </w:r>
      <w:r w:rsidR="465CD446" w:rsidRPr="004E70CE">
        <w:rPr>
          <w:rFonts w:ascii="CIDFont+F4" w:hAnsi="CIDFont+F4" w:cs="CIDFont+F4"/>
        </w:rPr>
        <w:t>cost procedures for emissions monitoring, reporting and verification for any border carbon adjustment was consistently highlighted. International consultations also emphasi</w:t>
      </w:r>
      <w:r w:rsidR="003A2D1E" w:rsidRPr="004E70CE">
        <w:rPr>
          <w:rFonts w:ascii="CIDFont+F4" w:hAnsi="CIDFont+F4" w:cs="CIDFont+F4"/>
        </w:rPr>
        <w:t>s</w:t>
      </w:r>
      <w:r w:rsidR="465CD446" w:rsidRPr="004E70CE">
        <w:rPr>
          <w:rFonts w:ascii="CIDFont+F4" w:hAnsi="CIDFont+F4" w:cs="CIDFont+F4"/>
        </w:rPr>
        <w:t>ed</w:t>
      </w:r>
      <w:r w:rsidRPr="004E70CE">
        <w:rPr>
          <w:rFonts w:ascii="CIDFont+F4" w:hAnsi="CIDFont+F4" w:cs="CIDFont+F4"/>
        </w:rPr>
        <w:t xml:space="preserve"> </w:t>
      </w:r>
      <w:r w:rsidR="465CD446" w:rsidRPr="004E70CE">
        <w:rPr>
          <w:rFonts w:ascii="CIDFont+F4" w:hAnsi="CIDFont+F4" w:cs="CIDFont+F4"/>
        </w:rPr>
        <w:t xml:space="preserve">the importance of </w:t>
      </w:r>
      <w:r w:rsidR="13B199BF" w:rsidRPr="004E70CE">
        <w:rPr>
          <w:rFonts w:ascii="CIDFont+F4" w:hAnsi="CIDFont+F4" w:cs="CIDFont+F4"/>
        </w:rPr>
        <w:t xml:space="preserve">preserving confidentiality of proprietary production data. </w:t>
      </w:r>
      <w:r w:rsidR="542CAA28" w:rsidRPr="004E70CE">
        <w:rPr>
          <w:rFonts w:ascii="CIDFont+F4" w:hAnsi="CIDFont+F4" w:cs="CIDFont+F4"/>
        </w:rPr>
        <w:t xml:space="preserve"> </w:t>
      </w:r>
      <w:r w:rsidRPr="004E70CE">
        <w:rPr>
          <w:rFonts w:ascii="CIDFont+F4" w:hAnsi="CIDFont+F4" w:cs="CIDFont+F4"/>
        </w:rPr>
        <w:t xml:space="preserve"> </w:t>
      </w:r>
    </w:p>
    <w:p w14:paraId="4608F878" w14:textId="77777777" w:rsidR="005A110F" w:rsidRPr="004E70CE" w:rsidRDefault="005A110F" w:rsidP="003C296C">
      <w:pPr>
        <w:rPr>
          <w:rFonts w:ascii="CIDFont+F4" w:hAnsi="CIDFont+F4" w:cs="CIDFont+F4"/>
        </w:rPr>
      </w:pPr>
      <w:r w:rsidRPr="004E70CE">
        <w:rPr>
          <w:rFonts w:ascii="CIDFont+F4" w:hAnsi="CIDFont+F4" w:cs="CIDFont+F4"/>
        </w:rPr>
        <w:t xml:space="preserve">While specific design and implementation decisions relating to a border carbon adjustment mechanism would occur after a government decision on whether to implement a border carbon </w:t>
      </w:r>
      <w:r w:rsidRPr="004E70CE">
        <w:rPr>
          <w:rFonts w:ascii="CIDFont+F4" w:hAnsi="CIDFont+F4" w:cs="CIDFont+F4"/>
        </w:rPr>
        <w:lastRenderedPageBreak/>
        <w:t>adjustment, the Review has considered key issues relating to administration as part of its overall feasibility assessment.</w:t>
      </w:r>
    </w:p>
    <w:p w14:paraId="6130E7F6" w14:textId="0811773F" w:rsidR="001C7133" w:rsidRPr="004E70CE" w:rsidRDefault="00A85D29" w:rsidP="003C296C">
      <w:pPr>
        <w:rPr>
          <w:rFonts w:ascii="CIDFont+F4" w:hAnsi="CIDFont+F4" w:cs="CIDFont+F4"/>
        </w:rPr>
      </w:pPr>
      <w:r w:rsidRPr="004E70CE">
        <w:rPr>
          <w:rFonts w:ascii="CIDFont+F4" w:hAnsi="CIDFont+F4" w:cs="CIDFont+F4"/>
        </w:rPr>
        <w:t xml:space="preserve">A confidential, efficient and </w:t>
      </w:r>
      <w:r w:rsidR="003217FB" w:rsidRPr="004E70CE">
        <w:rPr>
          <w:rFonts w:ascii="CIDFont+F4" w:hAnsi="CIDFont+F4" w:cs="CIDFont+F4"/>
        </w:rPr>
        <w:t xml:space="preserve">effective </w:t>
      </w:r>
      <w:r w:rsidR="2167CC97" w:rsidRPr="004E70CE">
        <w:rPr>
          <w:rFonts w:ascii="CIDFont+F4" w:hAnsi="CIDFont+F4" w:cs="CIDFont+F4"/>
        </w:rPr>
        <w:t xml:space="preserve">framework </w:t>
      </w:r>
      <w:r w:rsidR="003217FB" w:rsidRPr="004E70CE">
        <w:rPr>
          <w:rFonts w:ascii="CIDFont+F4" w:hAnsi="CIDFont+F4" w:cs="CIDFont+F4"/>
        </w:rPr>
        <w:t xml:space="preserve">for reporting and verifying emissions will be an important first step in </w:t>
      </w:r>
      <w:r w:rsidR="002014CA">
        <w:rPr>
          <w:rFonts w:ascii="CIDFont+F4" w:hAnsi="CIDFont+F4" w:cs="CIDFont+F4"/>
        </w:rPr>
        <w:t xml:space="preserve">the </w:t>
      </w:r>
      <w:r w:rsidR="003217FB" w:rsidRPr="004E70CE">
        <w:rPr>
          <w:rFonts w:ascii="CIDFont+F4" w:hAnsi="CIDFont+F4" w:cs="CIDFont+F4"/>
        </w:rPr>
        <w:t>implementation of a</w:t>
      </w:r>
      <w:r w:rsidR="00F44692" w:rsidRPr="004E70CE">
        <w:rPr>
          <w:rFonts w:ascii="CIDFont+F4" w:hAnsi="CIDFont+F4" w:cs="CIDFont+F4"/>
        </w:rPr>
        <w:t>ny</w:t>
      </w:r>
      <w:r w:rsidR="003217FB" w:rsidRPr="004E70CE">
        <w:rPr>
          <w:rFonts w:ascii="CIDFont+F4" w:hAnsi="CIDFont+F4" w:cs="CIDFont+F4"/>
        </w:rPr>
        <w:t xml:space="preserve"> border carbon adjustment. </w:t>
      </w:r>
    </w:p>
    <w:p w14:paraId="2C3FB670" w14:textId="77777777" w:rsidR="00D5500A" w:rsidRPr="004E70CE" w:rsidRDefault="008B19DE" w:rsidP="003C296C">
      <w:pPr>
        <w:rPr>
          <w:rFonts w:ascii="CIDFont+F4" w:hAnsi="CIDFont+F4" w:cs="CIDFont+F4"/>
        </w:rPr>
      </w:pPr>
      <w:r w:rsidRPr="004E70CE">
        <w:rPr>
          <w:rFonts w:ascii="CIDFont+F4" w:hAnsi="CIDFont+F4" w:cs="CIDFont+F4"/>
        </w:rPr>
        <w:t xml:space="preserve">Given the differences in emissions accounting systems internationally, it </w:t>
      </w:r>
      <w:r w:rsidR="00BD0004" w:rsidRPr="004E70CE">
        <w:rPr>
          <w:rFonts w:ascii="CIDFont+F4" w:hAnsi="CIDFont+F4" w:cs="CIDFont+F4"/>
        </w:rPr>
        <w:t xml:space="preserve">would </w:t>
      </w:r>
      <w:r w:rsidRPr="004E70CE">
        <w:rPr>
          <w:rFonts w:ascii="CIDFont+F4" w:hAnsi="CIDFont+F4" w:cs="CIDFont+F4"/>
        </w:rPr>
        <w:t>also be important to establish suitable emissions intensity default values</w:t>
      </w:r>
      <w:r w:rsidR="00EC068A" w:rsidRPr="004E70CE">
        <w:rPr>
          <w:rFonts w:ascii="CIDFont+F4" w:hAnsi="CIDFont+F4" w:cs="CIDFont+F4"/>
        </w:rPr>
        <w:t xml:space="preserve">. Emissions default values should prioritise accuracy while still maintaining incentives </w:t>
      </w:r>
      <w:r w:rsidR="001C7133" w:rsidRPr="004E70CE">
        <w:rPr>
          <w:rFonts w:ascii="CIDFont+F4" w:hAnsi="CIDFont+F4" w:cs="CIDFont+F4"/>
        </w:rPr>
        <w:t xml:space="preserve">to report </w:t>
      </w:r>
      <w:r w:rsidR="01E87F5A" w:rsidRPr="004E70CE">
        <w:rPr>
          <w:rFonts w:ascii="CIDFont+F4" w:hAnsi="CIDFont+F4" w:cs="CIDFont+F4"/>
        </w:rPr>
        <w:t xml:space="preserve">actual </w:t>
      </w:r>
      <w:r w:rsidR="001C7133" w:rsidRPr="004E70CE">
        <w:rPr>
          <w:rFonts w:ascii="CIDFont+F4" w:hAnsi="CIDFont+F4" w:cs="CIDFont+F4"/>
        </w:rPr>
        <w:t>emissions values.</w:t>
      </w:r>
      <w:r w:rsidR="00BF24C2" w:rsidRPr="004E70CE">
        <w:rPr>
          <w:rFonts w:ascii="CIDFont+F4" w:hAnsi="CIDFont+F4" w:cs="CIDFont+F4"/>
        </w:rPr>
        <w:t xml:space="preserve"> </w:t>
      </w:r>
      <w:r w:rsidR="00D5500A" w:rsidRPr="004E70CE">
        <w:rPr>
          <w:rFonts w:ascii="CIDFont+F4" w:hAnsi="CIDFont+F4" w:cs="CIDFont+F4"/>
        </w:rPr>
        <w:t>Interoperability with other countries</w:t>
      </w:r>
      <w:r w:rsidR="114C76ED" w:rsidRPr="004E70CE">
        <w:rPr>
          <w:rFonts w:ascii="CIDFont+F4" w:hAnsi="CIDFont+F4" w:cs="CIDFont+F4"/>
        </w:rPr>
        <w:t>’</w:t>
      </w:r>
      <w:r w:rsidR="00A27DBE" w:rsidRPr="004E70CE">
        <w:rPr>
          <w:rFonts w:ascii="CIDFont+F4" w:hAnsi="CIDFont+F4" w:cs="CIDFont+F4"/>
        </w:rPr>
        <w:t xml:space="preserve"> </w:t>
      </w:r>
      <w:r w:rsidR="00D5500A" w:rsidRPr="004E70CE">
        <w:rPr>
          <w:rFonts w:ascii="CIDFont+F4" w:hAnsi="CIDFont+F4" w:cs="CIDFont+F4"/>
        </w:rPr>
        <w:t>existing and future standards will also be an important consideration. This would support development of common frameworks for emissions monitoring and industrial decarbonisation policies with Australia’s trade and strategic partners, bilaterally and multilaterally.</w:t>
      </w:r>
    </w:p>
    <w:p w14:paraId="2346BA03" w14:textId="045A7328" w:rsidR="00DC55A0" w:rsidRPr="004E70CE" w:rsidRDefault="00DC55A0" w:rsidP="003C296C">
      <w:pPr>
        <w:rPr>
          <w:rFonts w:ascii="CIDFont+F4" w:hAnsi="CIDFont+F4" w:cs="CIDFont+F4"/>
        </w:rPr>
      </w:pPr>
      <w:r w:rsidRPr="004E70CE">
        <w:rPr>
          <w:rFonts w:ascii="CIDFont+F4" w:hAnsi="CIDFont+F4" w:cs="CIDFont+F4"/>
        </w:rPr>
        <w:t xml:space="preserve">In principle, importers </w:t>
      </w:r>
      <w:r w:rsidR="009F0DA1" w:rsidRPr="004E70CE">
        <w:rPr>
          <w:rFonts w:ascii="CIDFont+F4" w:hAnsi="CIDFont+F4" w:cs="CIDFont+F4"/>
        </w:rPr>
        <w:t xml:space="preserve">could </w:t>
      </w:r>
      <w:r w:rsidRPr="004E70CE">
        <w:rPr>
          <w:rFonts w:ascii="CIDFont+F4" w:hAnsi="CIDFont+F4" w:cs="CIDFont+F4"/>
        </w:rPr>
        <w:t xml:space="preserve">acquit the liability by paying a fee or surrendering ACCUs. </w:t>
      </w:r>
      <w:r w:rsidR="0032107F" w:rsidRPr="004E70CE">
        <w:rPr>
          <w:rFonts w:ascii="CIDFont+F4" w:hAnsi="CIDFont+F4" w:cs="CIDFont+F4"/>
        </w:rPr>
        <w:t xml:space="preserve">It would also be </w:t>
      </w:r>
      <w:r w:rsidR="009B3480" w:rsidRPr="004E70CE">
        <w:rPr>
          <w:rFonts w:ascii="CIDFont+F4" w:hAnsi="CIDFont+F4" w:cs="CIDFont+F4"/>
        </w:rPr>
        <w:t xml:space="preserve">theoretically </w:t>
      </w:r>
      <w:r w:rsidR="0032107F" w:rsidRPr="004E70CE">
        <w:rPr>
          <w:rFonts w:ascii="CIDFont+F4" w:hAnsi="CIDFont+F4" w:cs="CIDFont+F4"/>
        </w:rPr>
        <w:t xml:space="preserve">possible to provide importers the choice of a fee or surrendering ACCUs. </w:t>
      </w:r>
    </w:p>
    <w:p w14:paraId="01C0D60F" w14:textId="77777777" w:rsidR="0089512A" w:rsidRPr="004E70CE" w:rsidRDefault="0089512A" w:rsidP="0089512A">
      <w:pPr>
        <w:rPr>
          <w:b/>
          <w:u w:val="single"/>
        </w:rPr>
      </w:pPr>
      <w:r w:rsidRPr="004E70CE">
        <w:rPr>
          <w:b/>
          <w:u w:val="single"/>
        </w:rPr>
        <w:t>Modelling a border carbon adjustment for Australia</w:t>
      </w:r>
    </w:p>
    <w:p w14:paraId="5DE0C022" w14:textId="77777777" w:rsidR="0089512A" w:rsidRPr="004E70CE" w:rsidRDefault="0089512A" w:rsidP="0089512A">
      <w:pPr>
        <w:pStyle w:val="Calloutbox"/>
        <w:spacing w:after="200" w:line="276" w:lineRule="auto"/>
        <w:rPr>
          <w:b/>
        </w:rPr>
      </w:pPr>
      <w:r w:rsidRPr="004E70CE">
        <w:rPr>
          <w:b/>
        </w:rPr>
        <w:t>Preliminary findings for consultation</w:t>
      </w:r>
    </w:p>
    <w:p w14:paraId="1237CB86" w14:textId="77777777" w:rsidR="0089512A" w:rsidRPr="004E70CE" w:rsidRDefault="0089512A" w:rsidP="0089512A">
      <w:pPr>
        <w:pStyle w:val="Calloutbox"/>
        <w:spacing w:after="200" w:line="276" w:lineRule="auto"/>
      </w:pPr>
      <w:r w:rsidRPr="004E70CE">
        <w:t xml:space="preserve">The Review used a variety of analytical tools to assess the potential impacts of border carbon adjustments on prices and output.  </w:t>
      </w:r>
    </w:p>
    <w:p w14:paraId="01877EC5" w14:textId="77777777" w:rsidR="0089512A" w:rsidRPr="004E70CE" w:rsidRDefault="0089512A" w:rsidP="0089512A">
      <w:pPr>
        <w:pStyle w:val="Calloutbox"/>
        <w:spacing w:after="200" w:line="276" w:lineRule="auto"/>
      </w:pPr>
      <w:r w:rsidRPr="004E70CE">
        <w:t xml:space="preserve">None of this analysis found material impacts on the macroeconomy.  </w:t>
      </w:r>
    </w:p>
    <w:p w14:paraId="4616E9B0" w14:textId="77777777" w:rsidR="0089512A" w:rsidRPr="004E70CE" w:rsidRDefault="0089512A" w:rsidP="0089512A">
      <w:pPr>
        <w:pStyle w:val="Calloutbox"/>
        <w:spacing w:after="200" w:line="276" w:lineRule="auto"/>
        <w:rPr>
          <w:rStyle w:val="eop"/>
          <w:rFonts w:ascii="Calibri" w:hAnsi="Calibri" w:cs="Calibri"/>
        </w:rPr>
      </w:pPr>
      <w:r w:rsidRPr="004E70CE">
        <w:t xml:space="preserve">Computable General Equilibrium (CGE) modelling of a potential border carbon adjustment on cement, clinker, lime, steel, ammonia and ammonia derivatives shows </w:t>
      </w:r>
      <w:r w:rsidRPr="004E70CE">
        <w:rPr>
          <w:rStyle w:val="eop"/>
          <w:rFonts w:ascii="Calibri" w:hAnsi="Calibri" w:cs="Calibri"/>
        </w:rPr>
        <w:t xml:space="preserve">no material impact on aggregate economic activity and negligible changes to imports and exports when compared to current policy settings. </w:t>
      </w:r>
    </w:p>
    <w:p w14:paraId="780FDF86" w14:textId="77777777" w:rsidR="0089512A" w:rsidRPr="004E70CE" w:rsidRDefault="0089512A" w:rsidP="0089512A">
      <w:pPr>
        <w:pStyle w:val="Calloutbox"/>
        <w:spacing w:after="200" w:line="276" w:lineRule="auto"/>
      </w:pPr>
      <w:r w:rsidRPr="004E70CE">
        <w:t xml:space="preserve">Input-Output analysis indicates that the impact of a border carbon adjustment on downstream activity, such as construction, would be very limited. </w:t>
      </w:r>
    </w:p>
    <w:p w14:paraId="13FF1423" w14:textId="77777777" w:rsidR="0089512A" w:rsidRPr="004E70CE" w:rsidRDefault="0089512A" w:rsidP="0089512A">
      <w:pPr>
        <w:pStyle w:val="Calloutbox"/>
        <w:spacing w:after="200" w:line="276" w:lineRule="auto"/>
      </w:pPr>
      <w:r w:rsidRPr="004E70CE">
        <w:t>The analysis suggests that the maximum price impacts on goods, such as wind farms, house construction and crops like wheat, would also be very small.</w:t>
      </w:r>
    </w:p>
    <w:p w14:paraId="3BB45151" w14:textId="77777777" w:rsidR="0089512A" w:rsidRPr="004E70CE" w:rsidRDefault="0089512A" w:rsidP="0089512A">
      <w:r w:rsidRPr="004E70CE">
        <w:t xml:space="preserve">Indicative modelling of a border carbon adjustment was undertaken using an integrated modelling framework that combines sectoral, domestic and global models. Modelling presents an economic assessment of potential policies designed to address carbon leakage. The modelling is focused on </w:t>
      </w:r>
      <w:r w:rsidRPr="004E70CE" w:rsidDel="009A4B1D">
        <w:t xml:space="preserve">a </w:t>
      </w:r>
      <w:r w:rsidRPr="004E70CE">
        <w:t xml:space="preserve">border carbon adjustment in combination with current settings under the Safeguard Mechanism, and a comparison with the option to remove TEBA for sectors covered by a border carbon adjustment. This modelling complements the economic analysis of a border carbon adjustment (see </w:t>
      </w:r>
      <w:r w:rsidRPr="004E70CE">
        <w:rPr>
          <w:b/>
        </w:rPr>
        <w:t>Section 3.3</w:t>
      </w:r>
      <w:r w:rsidRPr="004E70CE">
        <w:t>).</w:t>
      </w:r>
    </w:p>
    <w:p w14:paraId="0FA058A9" w14:textId="77777777" w:rsidR="0089512A" w:rsidRPr="004E70CE" w:rsidRDefault="0089512A" w:rsidP="0089512A">
      <w:r w:rsidRPr="004E70CE">
        <w:t xml:space="preserve">Modelling has focused on cement, clinker, lime, steel, ammonia and ammonia derivatives to demonstrate the possible economic effects of a border carbon adjustment on multiple sectors. The Review’s preliminary assessment is that these sectors may be suitable for consideration for a border carbon adjustment (see </w:t>
      </w:r>
      <w:r w:rsidRPr="004E70CE">
        <w:rPr>
          <w:b/>
        </w:rPr>
        <w:t>Section 3.4</w:t>
      </w:r>
      <w:r w:rsidRPr="004E70CE">
        <w:t xml:space="preserve">). One set of scenarios applies a border carbon adjustment on cement, clinker and lime only, and a second set of scenarios applies the adjustment to all sectors. </w:t>
      </w:r>
    </w:p>
    <w:p w14:paraId="3652CF47" w14:textId="77777777" w:rsidR="0089512A" w:rsidRPr="004E70CE" w:rsidRDefault="0089512A" w:rsidP="0089512A">
      <w:r w:rsidRPr="004E70CE">
        <w:lastRenderedPageBreak/>
        <w:t>Climate policy modelling is highly complex. There are many data sources and assumptions that are used throughout this process. This modelling is illustrative of possible scenarios that could emerge, but each scenario represents only one possible outcome. Therefore, the economic outcomes of these scenarios should not be viewed as predictions or forecasts, but as an illustrative description of a possible future outcome given a potential carbon leakage policy.</w:t>
      </w:r>
    </w:p>
    <w:p w14:paraId="12506563" w14:textId="6B54FBF5" w:rsidR="001151F6" w:rsidRPr="004E70CE" w:rsidRDefault="000419CB" w:rsidP="0089512A">
      <w:pPr>
        <w:rPr>
          <w:b/>
          <w:u w:val="single"/>
        </w:rPr>
      </w:pPr>
      <w:r w:rsidRPr="004E70CE">
        <w:rPr>
          <w:b/>
          <w:u w:val="single"/>
        </w:rPr>
        <w:t xml:space="preserve">Mandatory </w:t>
      </w:r>
      <w:r w:rsidRPr="004E70CE">
        <w:rPr>
          <w:rFonts w:ascii="CIDFont+F4" w:hAnsi="CIDFont+F4" w:cs="CIDFont+F4"/>
          <w:b/>
          <w:u w:val="single"/>
        </w:rPr>
        <w:t>e</w:t>
      </w:r>
      <w:r w:rsidR="001151F6" w:rsidRPr="004E70CE">
        <w:rPr>
          <w:rFonts w:ascii="CIDFont+F4" w:hAnsi="CIDFont+F4" w:cs="CIDFont+F4"/>
          <w:b/>
          <w:u w:val="single"/>
        </w:rPr>
        <w:t>missions</w:t>
      </w:r>
      <w:r w:rsidR="001151F6" w:rsidRPr="004E70CE">
        <w:rPr>
          <w:b/>
          <w:u w:val="single"/>
        </w:rPr>
        <w:t xml:space="preserve"> </w:t>
      </w:r>
      <w:r w:rsidRPr="004E70CE">
        <w:rPr>
          <w:b/>
          <w:u w:val="single"/>
        </w:rPr>
        <w:t>p</w:t>
      </w:r>
      <w:r w:rsidR="001151F6" w:rsidRPr="004E70CE">
        <w:rPr>
          <w:b/>
          <w:u w:val="single"/>
        </w:rPr>
        <w:t xml:space="preserve">roduct </w:t>
      </w:r>
      <w:r w:rsidRPr="004E70CE">
        <w:rPr>
          <w:b/>
          <w:u w:val="single"/>
        </w:rPr>
        <w:t>s</w:t>
      </w:r>
      <w:r w:rsidR="001151F6" w:rsidRPr="004E70CE">
        <w:rPr>
          <w:b/>
          <w:u w:val="single"/>
        </w:rPr>
        <w:t>tandards</w:t>
      </w:r>
    </w:p>
    <w:p w14:paraId="314E34BF" w14:textId="77777777" w:rsidR="007E43B2" w:rsidRPr="004E70CE" w:rsidRDefault="007E43B2" w:rsidP="003C296C">
      <w:pPr>
        <w:pStyle w:val="Calloutbox"/>
        <w:spacing w:after="200" w:line="276" w:lineRule="auto"/>
        <w:rPr>
          <w:b/>
          <w:bCs/>
        </w:rPr>
      </w:pPr>
      <w:r w:rsidRPr="004E70CE">
        <w:rPr>
          <w:b/>
          <w:bCs/>
        </w:rPr>
        <w:t>Preliminary finding</w:t>
      </w:r>
      <w:r w:rsidR="00966023" w:rsidRPr="004E70CE">
        <w:rPr>
          <w:b/>
          <w:bCs/>
        </w:rPr>
        <w:t>s</w:t>
      </w:r>
      <w:r w:rsidR="00CA7574" w:rsidRPr="004E70CE">
        <w:rPr>
          <w:b/>
          <w:bCs/>
        </w:rPr>
        <w:t xml:space="preserve"> for consultation</w:t>
      </w:r>
    </w:p>
    <w:p w14:paraId="204A5C8E" w14:textId="77777777" w:rsidR="00A86002" w:rsidRPr="004E70CE" w:rsidRDefault="00A4472B" w:rsidP="003C296C">
      <w:pPr>
        <w:pStyle w:val="Calloutbox"/>
        <w:spacing w:after="200" w:line="276" w:lineRule="auto"/>
      </w:pPr>
      <w:r w:rsidRPr="004E70CE">
        <w:t xml:space="preserve">While </w:t>
      </w:r>
      <w:r w:rsidR="0079184B" w:rsidRPr="004E70CE">
        <w:t xml:space="preserve">mandatory emissions product standards </w:t>
      </w:r>
      <w:r w:rsidRPr="004E70CE">
        <w:t xml:space="preserve">can be suitable for other policy objectives, </w:t>
      </w:r>
      <w:r w:rsidR="0079184B" w:rsidRPr="004E70CE">
        <w:t>they</w:t>
      </w:r>
      <w:r w:rsidR="00A86002" w:rsidRPr="004E70CE">
        <w:t xml:space="preserve"> are not likely to be an effective policy intervention to address carbon leakage risk.</w:t>
      </w:r>
    </w:p>
    <w:p w14:paraId="5FCD6CE8" w14:textId="5A30BF41" w:rsidR="00E83B39" w:rsidRPr="004E70CE" w:rsidRDefault="00D8315C" w:rsidP="003C296C">
      <w:pPr>
        <w:rPr>
          <w:rFonts w:ascii="CIDFont+F4" w:hAnsi="CIDFont+F4" w:cs="CIDFont+F4"/>
        </w:rPr>
      </w:pPr>
      <w:r w:rsidRPr="004E70CE">
        <w:rPr>
          <w:rFonts w:ascii="CIDFont+F4" w:hAnsi="CIDFont+F4" w:cs="CIDFont+F4"/>
        </w:rPr>
        <w:t>A</w:t>
      </w:r>
      <w:r w:rsidR="003626EB" w:rsidRPr="004E70CE">
        <w:rPr>
          <w:rFonts w:ascii="CIDFont+F4" w:hAnsi="CIDFont+F4" w:cs="CIDFont+F4"/>
        </w:rPr>
        <w:t xml:space="preserve"> mandatory emissions product standard </w:t>
      </w:r>
      <w:r w:rsidR="009F0DA1" w:rsidRPr="004E70CE">
        <w:rPr>
          <w:rFonts w:ascii="CIDFont+F4" w:hAnsi="CIDFont+F4" w:cs="CIDFont+F4"/>
        </w:rPr>
        <w:t>c</w:t>
      </w:r>
      <w:r w:rsidR="003626EB" w:rsidRPr="004E70CE">
        <w:rPr>
          <w:rFonts w:ascii="CIDFont+F4" w:hAnsi="CIDFont+F4" w:cs="CIDFont+F4"/>
        </w:rPr>
        <w:t xml:space="preserve">ould operate similarly to a </w:t>
      </w:r>
      <w:r w:rsidR="00784B5B" w:rsidRPr="004E70CE">
        <w:rPr>
          <w:rFonts w:ascii="CIDFont+F4" w:hAnsi="CIDFont+F4" w:cs="CIDFont+F4"/>
        </w:rPr>
        <w:t>border carbon adjustment</w:t>
      </w:r>
      <w:r w:rsidR="6E5518E4" w:rsidRPr="004E70CE">
        <w:rPr>
          <w:rFonts w:ascii="CIDFont+F4" w:hAnsi="CIDFont+F4" w:cs="CIDFont+F4"/>
        </w:rPr>
        <w:t>,</w:t>
      </w:r>
      <w:r w:rsidR="00E83B39" w:rsidRPr="004E70CE">
        <w:rPr>
          <w:rFonts w:ascii="CIDFont+F4" w:hAnsi="CIDFont+F4" w:cs="CIDFont+F4"/>
        </w:rPr>
        <w:t xml:space="preserve"> with </w:t>
      </w:r>
      <w:r w:rsidR="0032107F" w:rsidRPr="004E70CE">
        <w:rPr>
          <w:rFonts w:ascii="CIDFont+F4" w:hAnsi="CIDFont+F4" w:cs="CIDFont+F4"/>
        </w:rPr>
        <w:t xml:space="preserve">similar </w:t>
      </w:r>
      <w:r w:rsidR="00E83B39" w:rsidRPr="004E70CE">
        <w:rPr>
          <w:rFonts w:ascii="CIDFont+F4" w:hAnsi="CIDFont+F4" w:cs="CIDFont+F4"/>
        </w:rPr>
        <w:t>emissions verification requirements and compliance costs</w:t>
      </w:r>
      <w:r w:rsidR="009C19A0" w:rsidRPr="004E70CE">
        <w:rPr>
          <w:rFonts w:ascii="CIDFont+F4" w:hAnsi="CIDFont+F4" w:cs="CIDFont+F4"/>
        </w:rPr>
        <w:t>,</w:t>
      </w:r>
      <w:r w:rsidR="00E34079" w:rsidRPr="004E70CE">
        <w:rPr>
          <w:rFonts w:ascii="CIDFont+F4" w:hAnsi="CIDFont+F4" w:cs="CIDFont+F4"/>
        </w:rPr>
        <w:t xml:space="preserve"> but without the flexibility that a border carbon adjustment mechanism could offer</w:t>
      </w:r>
      <w:r w:rsidR="27DF1948" w:rsidRPr="004E70CE">
        <w:rPr>
          <w:rFonts w:ascii="CIDFont+F4" w:hAnsi="CIDFont+F4" w:cs="CIDFont+F4"/>
        </w:rPr>
        <w:t xml:space="preserve">, and without </w:t>
      </w:r>
      <w:r w:rsidR="0019070C" w:rsidRPr="004E70CE">
        <w:rPr>
          <w:rFonts w:ascii="CIDFont+F4" w:hAnsi="CIDFont+F4" w:cs="CIDFont+F4"/>
        </w:rPr>
        <w:t xml:space="preserve">affecting </w:t>
      </w:r>
      <w:r w:rsidR="27DF1948" w:rsidRPr="004E70CE">
        <w:rPr>
          <w:rFonts w:ascii="CIDFont+F4" w:hAnsi="CIDFont+F4" w:cs="CIDFont+F4"/>
        </w:rPr>
        <w:t>carbon leakage risks for products that meet a minimum standard</w:t>
      </w:r>
      <w:r w:rsidR="00E34079" w:rsidRPr="004E70CE">
        <w:rPr>
          <w:rFonts w:ascii="CIDFont+F4" w:hAnsi="CIDFont+F4" w:cs="CIDFont+F4"/>
        </w:rPr>
        <w:t>.</w:t>
      </w:r>
      <w:r w:rsidR="0032107F" w:rsidRPr="004E70CE">
        <w:rPr>
          <w:rFonts w:ascii="CIDFont+F4" w:hAnsi="CIDFont+F4" w:cs="CIDFont+F4"/>
        </w:rPr>
        <w:t xml:space="preserve"> Noting that the Safeguard Mechanism only covers bulk commodities, it </w:t>
      </w:r>
      <w:r w:rsidR="009F0DA1" w:rsidRPr="004E70CE">
        <w:rPr>
          <w:rFonts w:ascii="CIDFont+F4" w:hAnsi="CIDFont+F4" w:cs="CIDFont+F4"/>
        </w:rPr>
        <w:t>c</w:t>
      </w:r>
      <w:r w:rsidR="0032107F" w:rsidRPr="004E70CE">
        <w:rPr>
          <w:rFonts w:ascii="CIDFont+F4" w:hAnsi="CIDFont+F4" w:cs="CIDFont+F4"/>
        </w:rPr>
        <w:t xml:space="preserve">ould </w:t>
      </w:r>
      <w:r w:rsidR="009F0DA1" w:rsidRPr="004E70CE">
        <w:rPr>
          <w:rFonts w:ascii="CIDFont+F4" w:hAnsi="CIDFont+F4" w:cs="CIDFont+F4"/>
        </w:rPr>
        <w:t xml:space="preserve">be designed to </w:t>
      </w:r>
      <w:r w:rsidR="0032107F" w:rsidRPr="004E70CE">
        <w:rPr>
          <w:rFonts w:ascii="CIDFont+F4" w:hAnsi="CIDFont+F4" w:cs="CIDFont+F4"/>
        </w:rPr>
        <w:t xml:space="preserve">restrict entry of products into the Australia market above </w:t>
      </w:r>
      <w:r w:rsidR="006C1D57" w:rsidRPr="004E70CE">
        <w:rPr>
          <w:rFonts w:ascii="CIDFont+F4" w:hAnsi="CIDFont+F4" w:cs="CIDFont+F4"/>
        </w:rPr>
        <w:t>some</w:t>
      </w:r>
      <w:r w:rsidR="0032107F" w:rsidRPr="004E70CE">
        <w:rPr>
          <w:rFonts w:ascii="CIDFont+F4" w:hAnsi="CIDFont+F4" w:cs="CIDFont+F4"/>
        </w:rPr>
        <w:t xml:space="preserve"> standard.</w:t>
      </w:r>
      <w:r w:rsidR="00E34079" w:rsidRPr="004E70CE">
        <w:rPr>
          <w:rFonts w:ascii="CIDFont+F4" w:hAnsi="CIDFont+F4" w:cs="CIDFont+F4"/>
        </w:rPr>
        <w:t xml:space="preserve"> </w:t>
      </w:r>
      <w:r w:rsidR="157C5FE0" w:rsidRPr="004E70CE">
        <w:rPr>
          <w:rFonts w:ascii="CIDFont+F4" w:hAnsi="CIDFont+F4" w:cs="CIDFont+F4"/>
        </w:rPr>
        <w:t xml:space="preserve">It </w:t>
      </w:r>
      <w:r w:rsidR="3EAE3AE2" w:rsidRPr="004E70CE">
        <w:rPr>
          <w:rFonts w:ascii="CIDFont+F4" w:hAnsi="CIDFont+F4" w:cs="CIDFont+F4"/>
        </w:rPr>
        <w:t>c</w:t>
      </w:r>
      <w:r w:rsidR="00E512DF" w:rsidRPr="004E70CE">
        <w:rPr>
          <w:rFonts w:ascii="CIDFont+F4" w:hAnsi="CIDFont+F4" w:cs="CIDFont+F4"/>
        </w:rPr>
        <w:t xml:space="preserve">ould have </w:t>
      </w:r>
      <w:r w:rsidR="7BF9326D" w:rsidRPr="004E70CE">
        <w:rPr>
          <w:rFonts w:ascii="CIDFont+F4" w:hAnsi="CIDFont+F4" w:cs="CIDFont+F4"/>
        </w:rPr>
        <w:t xml:space="preserve">adverse </w:t>
      </w:r>
      <w:r w:rsidR="0017673B" w:rsidRPr="004E70CE">
        <w:rPr>
          <w:rFonts w:ascii="CIDFont+F4" w:hAnsi="CIDFont+F4" w:cs="CIDFont+F4"/>
        </w:rPr>
        <w:t xml:space="preserve">consequences for </w:t>
      </w:r>
      <w:r w:rsidR="00E512DF" w:rsidRPr="004E70CE">
        <w:rPr>
          <w:rFonts w:ascii="CIDFont+F4" w:hAnsi="CIDFont+F4" w:cs="CIDFont+F4"/>
        </w:rPr>
        <w:t xml:space="preserve">importers and risk </w:t>
      </w:r>
      <w:r w:rsidR="0017673B" w:rsidRPr="004E70CE">
        <w:rPr>
          <w:rFonts w:ascii="CIDFont+F4" w:hAnsi="CIDFont+F4" w:cs="CIDFont+F4"/>
        </w:rPr>
        <w:t xml:space="preserve">detrimental </w:t>
      </w:r>
      <w:r w:rsidR="00E512DF" w:rsidRPr="004E70CE">
        <w:rPr>
          <w:rFonts w:ascii="CIDFont+F4" w:hAnsi="CIDFont+F4" w:cs="CIDFont+F4"/>
        </w:rPr>
        <w:t xml:space="preserve">supply chain </w:t>
      </w:r>
      <w:r w:rsidR="0017673B" w:rsidRPr="004E70CE">
        <w:rPr>
          <w:rFonts w:ascii="CIDFont+F4" w:hAnsi="CIDFont+F4" w:cs="CIDFont+F4"/>
        </w:rPr>
        <w:t xml:space="preserve">problems </w:t>
      </w:r>
      <w:r w:rsidR="00E512DF" w:rsidRPr="004E70CE">
        <w:rPr>
          <w:rFonts w:ascii="CIDFont+F4" w:hAnsi="CIDFont+F4" w:cs="CIDFont+F4"/>
        </w:rPr>
        <w:t xml:space="preserve">if </w:t>
      </w:r>
      <w:r w:rsidR="00E83B39" w:rsidRPr="004E70CE">
        <w:rPr>
          <w:rFonts w:ascii="CIDFont+F4" w:hAnsi="CIDFont+F4" w:cs="CIDFont+F4"/>
        </w:rPr>
        <w:t>there was insufficient supply of a commodity below the product standard to meet demand.</w:t>
      </w:r>
    </w:p>
    <w:p w14:paraId="66D7D865" w14:textId="1C9873B6" w:rsidR="0099765F" w:rsidRPr="004E70CE" w:rsidRDefault="0099765F" w:rsidP="003C296C">
      <w:pPr>
        <w:rPr>
          <w:rFonts w:ascii="CIDFont+F4" w:hAnsi="CIDFont+F4" w:cs="CIDFont+F4"/>
        </w:rPr>
      </w:pPr>
      <w:r w:rsidRPr="004E70CE">
        <w:rPr>
          <w:rFonts w:ascii="CIDFont+F4" w:hAnsi="CIDFont+F4" w:cs="CIDFont+F4"/>
        </w:rPr>
        <w:t>As a tool to address carbon leakage risk, submissions to the Review’s first consultation paper expressed concern about</w:t>
      </w:r>
      <w:r w:rsidR="00715A73" w:rsidRPr="004E70CE">
        <w:rPr>
          <w:rFonts w:ascii="CIDFont+F4" w:hAnsi="CIDFont+F4" w:cs="CIDFont+F4"/>
        </w:rPr>
        <w:t>, and only very limited support for,</w:t>
      </w:r>
      <w:r w:rsidR="0032107F" w:rsidRPr="004E70CE">
        <w:rPr>
          <w:rFonts w:ascii="CIDFont+F4" w:hAnsi="CIDFont+F4" w:cs="CIDFont+F4"/>
        </w:rPr>
        <w:t xml:space="preserve"> </w:t>
      </w:r>
      <w:r w:rsidRPr="004E70CE">
        <w:rPr>
          <w:rFonts w:ascii="CIDFont+F4" w:hAnsi="CIDFont+F4" w:cs="CIDFont+F4"/>
        </w:rPr>
        <w:t>mandatory emissions product standards</w:t>
      </w:r>
      <w:r w:rsidR="00896DDA" w:rsidRPr="004E70CE">
        <w:rPr>
          <w:rFonts w:ascii="CIDFont+F4" w:hAnsi="CIDFont+F4" w:cs="CIDFont+F4"/>
        </w:rPr>
        <w:t xml:space="preserve"> for commodities covered by the Safeguard Mechanism</w:t>
      </w:r>
      <w:r w:rsidRPr="004E70CE">
        <w:rPr>
          <w:rFonts w:ascii="CIDFont+F4" w:hAnsi="CIDFont+F4" w:cs="CIDFont+F4"/>
        </w:rPr>
        <w:t xml:space="preserve">. In particular, submissions expressed concern that a mandatory emissions product standard would be a blunt tool to address carbon leakage, with a high possibility of unintended and detrimental consequences. </w:t>
      </w:r>
    </w:p>
    <w:p w14:paraId="01958BEA" w14:textId="77777777" w:rsidR="00086E36" w:rsidRPr="004E70CE" w:rsidRDefault="0017673B" w:rsidP="003C296C">
      <w:pPr>
        <w:rPr>
          <w:rFonts w:ascii="CIDFont+F4" w:hAnsi="CIDFont+F4" w:cs="CIDFont+F4"/>
        </w:rPr>
      </w:pPr>
      <w:r w:rsidRPr="004E70CE">
        <w:rPr>
          <w:rFonts w:ascii="CIDFont+F4" w:hAnsi="CIDFont+F4" w:cs="CIDFont+F4"/>
        </w:rPr>
        <w:t xml:space="preserve">While </w:t>
      </w:r>
      <w:r w:rsidR="009C19A0" w:rsidRPr="004E70CE">
        <w:rPr>
          <w:rFonts w:ascii="CIDFont+F4" w:hAnsi="CIDFont+F4" w:cs="CIDFont+F4"/>
        </w:rPr>
        <w:t xml:space="preserve">mandatory </w:t>
      </w:r>
      <w:r w:rsidRPr="004E70CE">
        <w:rPr>
          <w:rFonts w:ascii="CIDFont+F4" w:hAnsi="CIDFont+F4" w:cs="CIDFont+F4"/>
        </w:rPr>
        <w:t xml:space="preserve">emissions product standards can be effective interventions </w:t>
      </w:r>
      <w:r w:rsidR="00833EB9" w:rsidRPr="004E70CE">
        <w:rPr>
          <w:rFonts w:ascii="CIDFont+F4" w:hAnsi="CIDFont+F4" w:cs="CIDFont+F4"/>
        </w:rPr>
        <w:t>to achieve other climate objectives, t</w:t>
      </w:r>
      <w:r w:rsidR="00E83B39" w:rsidRPr="004E70CE">
        <w:rPr>
          <w:rFonts w:ascii="CIDFont+F4" w:hAnsi="CIDFont+F4" w:cs="CIDFont+F4"/>
        </w:rPr>
        <w:t xml:space="preserve">he Review has not identified any instances in which </w:t>
      </w:r>
      <w:r w:rsidR="009C19A0" w:rsidRPr="004E70CE">
        <w:rPr>
          <w:rFonts w:ascii="CIDFont+F4" w:hAnsi="CIDFont+F4" w:cs="CIDFont+F4"/>
        </w:rPr>
        <w:t>they</w:t>
      </w:r>
      <w:r w:rsidR="00E83B39" w:rsidRPr="004E70CE">
        <w:rPr>
          <w:rFonts w:ascii="CIDFont+F4" w:hAnsi="CIDFont+F4" w:cs="CIDFont+F4"/>
        </w:rPr>
        <w:t xml:space="preserve"> would </w:t>
      </w:r>
      <w:r w:rsidRPr="004E70CE">
        <w:rPr>
          <w:rFonts w:ascii="CIDFont+F4" w:hAnsi="CIDFont+F4" w:cs="CIDFont+F4"/>
        </w:rPr>
        <w:t>be an effective policy instrument to address carbon leakage risk</w:t>
      </w:r>
      <w:r w:rsidR="00217757" w:rsidRPr="004E70CE">
        <w:rPr>
          <w:rFonts w:ascii="CIDFont+F4" w:hAnsi="CIDFont+F4" w:cs="CIDFont+F4"/>
        </w:rPr>
        <w:t>.</w:t>
      </w:r>
    </w:p>
    <w:p w14:paraId="61252EBA" w14:textId="77777777" w:rsidR="00B6506F" w:rsidRPr="004E70CE" w:rsidRDefault="001151F6" w:rsidP="003C296C">
      <w:pPr>
        <w:rPr>
          <w:rFonts w:ascii="CIDFont+F4" w:hAnsi="CIDFont+F4" w:cs="CIDFont+F4"/>
          <w:b/>
          <w:u w:val="single"/>
        </w:rPr>
      </w:pPr>
      <w:r w:rsidRPr="004E70CE">
        <w:rPr>
          <w:b/>
          <w:u w:val="single"/>
        </w:rPr>
        <w:t xml:space="preserve">Multilateral and </w:t>
      </w:r>
      <w:r w:rsidR="000419CB" w:rsidRPr="004E70CE">
        <w:rPr>
          <w:b/>
          <w:u w:val="single"/>
        </w:rPr>
        <w:t>p</w:t>
      </w:r>
      <w:r w:rsidRPr="004E70CE">
        <w:rPr>
          <w:b/>
          <w:u w:val="single"/>
        </w:rPr>
        <w:t xml:space="preserve">lurilateral </w:t>
      </w:r>
      <w:r w:rsidR="001A71C8" w:rsidRPr="004E70CE">
        <w:rPr>
          <w:b/>
          <w:u w:val="single"/>
        </w:rPr>
        <w:t>initiatives</w:t>
      </w:r>
    </w:p>
    <w:p w14:paraId="6A7E818A" w14:textId="77777777" w:rsidR="006321A9" w:rsidRPr="004E70CE" w:rsidRDefault="00966023" w:rsidP="003C296C">
      <w:pPr>
        <w:pStyle w:val="Calloutbox"/>
        <w:pBdr>
          <w:left w:val="single" w:sz="4" w:space="0" w:color="B8DCD7"/>
        </w:pBdr>
        <w:spacing w:after="200" w:line="276" w:lineRule="auto"/>
        <w:rPr>
          <w:b/>
          <w:bCs/>
        </w:rPr>
      </w:pPr>
      <w:r w:rsidRPr="004E70CE">
        <w:rPr>
          <w:b/>
          <w:bCs/>
        </w:rPr>
        <w:t>Preliminary findings</w:t>
      </w:r>
      <w:r w:rsidR="00C02B0D" w:rsidRPr="004E70CE">
        <w:rPr>
          <w:b/>
          <w:bCs/>
        </w:rPr>
        <w:t xml:space="preserve"> for consultation</w:t>
      </w:r>
    </w:p>
    <w:p w14:paraId="123C8CFD" w14:textId="77777777" w:rsidR="00243A9F" w:rsidRPr="004E70CE" w:rsidRDefault="00FF319E" w:rsidP="003C296C">
      <w:pPr>
        <w:pStyle w:val="Calloutbox"/>
        <w:pBdr>
          <w:left w:val="single" w:sz="4" w:space="0" w:color="B8DCD7"/>
        </w:pBdr>
        <w:spacing w:after="200" w:line="276" w:lineRule="auto"/>
      </w:pPr>
      <w:r w:rsidRPr="004E70CE">
        <w:t xml:space="preserve">Given Australia’s strong </w:t>
      </w:r>
      <w:r w:rsidR="00CD2F1E" w:rsidRPr="004E70CE">
        <w:t xml:space="preserve">stake </w:t>
      </w:r>
      <w:r w:rsidRPr="004E70CE">
        <w:t>in the international rules-based system</w:t>
      </w:r>
      <w:r w:rsidR="00243A9F" w:rsidRPr="004E70CE">
        <w:t>,</w:t>
      </w:r>
      <w:r w:rsidRPr="004E70CE" w:rsidDel="00243A9F">
        <w:t xml:space="preserve"> </w:t>
      </w:r>
      <w:r w:rsidRPr="004E70CE">
        <w:t>policy responses</w:t>
      </w:r>
      <w:r w:rsidR="003D3674" w:rsidRPr="004E70CE">
        <w:t xml:space="preserve"> to address carbon leakage risks</w:t>
      </w:r>
      <w:r w:rsidRPr="004E70CE">
        <w:t xml:space="preserve"> should advance and support the international system. </w:t>
      </w:r>
    </w:p>
    <w:p w14:paraId="37F97112" w14:textId="77777777" w:rsidR="00FF319E" w:rsidRPr="004E70CE" w:rsidRDefault="00FF319E" w:rsidP="003C296C">
      <w:pPr>
        <w:pStyle w:val="Calloutbox"/>
        <w:pBdr>
          <w:left w:val="single" w:sz="4" w:space="0" w:color="B8DCD7"/>
        </w:pBdr>
        <w:spacing w:after="200" w:line="276" w:lineRule="auto"/>
      </w:pPr>
      <w:r w:rsidRPr="004E70CE">
        <w:t xml:space="preserve">Enhanced global climate </w:t>
      </w:r>
      <w:r w:rsidR="00D95716" w:rsidRPr="004E70CE">
        <w:t xml:space="preserve">action </w:t>
      </w:r>
      <w:r w:rsidRPr="004E70CE">
        <w:t>would reduce carbon leakage</w:t>
      </w:r>
      <w:r w:rsidR="009C19A0" w:rsidRPr="004E70CE">
        <w:t>,</w:t>
      </w:r>
      <w:r w:rsidRPr="004E70CE">
        <w:t xml:space="preserve"> but divergences in ambition and policy approaches will persist</w:t>
      </w:r>
      <w:r w:rsidR="00D56659" w:rsidRPr="004E70CE">
        <w:t xml:space="preserve"> in the medium</w:t>
      </w:r>
      <w:r w:rsidR="009C19A0" w:rsidRPr="004E70CE">
        <w:t>-</w:t>
      </w:r>
      <w:r w:rsidR="00D56659" w:rsidRPr="004E70CE">
        <w:t>term</w:t>
      </w:r>
      <w:r w:rsidRPr="004E70CE">
        <w:t>.</w:t>
      </w:r>
    </w:p>
    <w:p w14:paraId="77738AFD" w14:textId="77777777" w:rsidR="00FF319E" w:rsidRPr="004E70CE" w:rsidRDefault="00FF319E" w:rsidP="003C296C">
      <w:pPr>
        <w:pStyle w:val="Calloutbox"/>
        <w:pBdr>
          <w:left w:val="single" w:sz="4" w:space="0" w:color="B8DCD7"/>
        </w:pBdr>
        <w:spacing w:after="200" w:line="276" w:lineRule="auto"/>
      </w:pPr>
      <w:r w:rsidRPr="004E70CE">
        <w:t>An internationally agreed solution to address carbon leakage risk</w:t>
      </w:r>
      <w:r w:rsidR="003C1B18" w:rsidRPr="004E70CE">
        <w:t xml:space="preserve"> </w:t>
      </w:r>
      <w:r w:rsidRPr="004E70CE">
        <w:t>developed through multilateral and plurilateral initiatives would be ideal</w:t>
      </w:r>
      <w:r w:rsidR="009C19A0" w:rsidRPr="004E70CE">
        <w:t>,</w:t>
      </w:r>
      <w:r w:rsidR="00ED7186" w:rsidRPr="004E70CE">
        <w:t xml:space="preserve"> but is uncertain and would take time to develop</w:t>
      </w:r>
      <w:r w:rsidR="00020581" w:rsidRPr="004E70CE">
        <w:t>. Possible long</w:t>
      </w:r>
      <w:r w:rsidR="009C19A0" w:rsidRPr="004E70CE">
        <w:t>-</w:t>
      </w:r>
      <w:r w:rsidR="00020581" w:rsidRPr="004E70CE">
        <w:t xml:space="preserve">term international solutions will not replace </w:t>
      </w:r>
      <w:r w:rsidRPr="004E70CE">
        <w:t>the ne</w:t>
      </w:r>
      <w:r w:rsidR="00D67AFB" w:rsidRPr="004E70CE">
        <w:t>ar</w:t>
      </w:r>
      <w:r w:rsidR="00E16301" w:rsidRPr="004E70CE">
        <w:t>-</w:t>
      </w:r>
      <w:r w:rsidR="00D67AFB" w:rsidRPr="004E70CE">
        <w:t xml:space="preserve"> and </w:t>
      </w:r>
      <w:r w:rsidR="00E16301" w:rsidRPr="004E70CE">
        <w:t>medium-term need</w:t>
      </w:r>
      <w:r w:rsidRPr="004E70CE">
        <w:t xml:space="preserve"> for domestic policy action.</w:t>
      </w:r>
    </w:p>
    <w:p w14:paraId="26A808BE" w14:textId="34ED9C41" w:rsidR="007776B7" w:rsidRPr="004E70CE" w:rsidRDefault="00FF319E" w:rsidP="003C296C">
      <w:pPr>
        <w:pStyle w:val="Calloutbox"/>
        <w:pBdr>
          <w:left w:val="single" w:sz="4" w:space="0" w:color="B8DCD7"/>
        </w:pBdr>
        <w:spacing w:after="200" w:line="276" w:lineRule="auto"/>
      </w:pPr>
      <w:r w:rsidRPr="004E70CE">
        <w:lastRenderedPageBreak/>
        <w:t>Multilateral and plurilateral initiatives c</w:t>
      </w:r>
      <w:r w:rsidR="00A6275B" w:rsidRPr="004E70CE">
        <w:t>ould</w:t>
      </w:r>
      <w:r w:rsidRPr="004E70CE">
        <w:t xml:space="preserve"> support the implementation of border carbon adjustment</w:t>
      </w:r>
      <w:r w:rsidR="00DD7826" w:rsidRPr="004E70CE">
        <w:t>s</w:t>
      </w:r>
      <w:r w:rsidRPr="004E70CE">
        <w:t xml:space="preserve"> through the development of interoperable standards and approaches</w:t>
      </w:r>
      <w:r w:rsidR="00184583" w:rsidRPr="004E70CE">
        <w:t>,</w:t>
      </w:r>
      <w:r w:rsidR="51F8540B" w:rsidRPr="004E70CE">
        <w:t xml:space="preserve"> </w:t>
      </w:r>
      <w:r w:rsidR="00692D8D" w:rsidRPr="004E70CE">
        <w:t>f</w:t>
      </w:r>
      <w:r w:rsidRPr="004E70CE">
        <w:t xml:space="preserve">or example, </w:t>
      </w:r>
      <w:r w:rsidR="00184583" w:rsidRPr="004E70CE">
        <w:t xml:space="preserve">the </w:t>
      </w:r>
      <w:r w:rsidRPr="004E70CE">
        <w:t>development of agreed default emissions intensities or standards to measure embedded emissions.</w:t>
      </w:r>
    </w:p>
    <w:p w14:paraId="17642C2E" w14:textId="77777777" w:rsidR="00FF319E" w:rsidRPr="004E70CE" w:rsidRDefault="006D2F36" w:rsidP="003C296C">
      <w:pPr>
        <w:pStyle w:val="Calloutbox"/>
        <w:pBdr>
          <w:left w:val="single" w:sz="4" w:space="0" w:color="B8DCD7"/>
        </w:pBdr>
        <w:spacing w:after="200" w:line="276" w:lineRule="auto"/>
      </w:pPr>
      <w:r w:rsidRPr="004E70CE">
        <w:t xml:space="preserve">Australia’s active </w:t>
      </w:r>
      <w:r w:rsidR="00FF319E" w:rsidRPr="004E70CE">
        <w:t>engagement in these initiatives would support the development of best practice policy to address carbon leakage.</w:t>
      </w:r>
      <w:r w:rsidR="00FF319E" w:rsidRPr="004E70CE" w:rsidDel="007C27E6">
        <w:t xml:space="preserve"> </w:t>
      </w:r>
      <w:r w:rsidR="007C27E6" w:rsidRPr="004E70CE">
        <w:t xml:space="preserve">Enhanced engagement is </w:t>
      </w:r>
      <w:r w:rsidR="00FF319E" w:rsidRPr="004E70CE">
        <w:t xml:space="preserve">an opportunity for Australia to contribute positively to international policy </w:t>
      </w:r>
      <w:r w:rsidR="007C27E6" w:rsidRPr="004E70CE">
        <w:t>development</w:t>
      </w:r>
      <w:r w:rsidR="00FF319E" w:rsidRPr="004E70CE">
        <w:t>.</w:t>
      </w:r>
    </w:p>
    <w:p w14:paraId="78FF9B4D" w14:textId="77777777" w:rsidR="00A818D3" w:rsidRPr="004E70CE" w:rsidRDefault="00A818D3" w:rsidP="003C296C">
      <w:r w:rsidRPr="004E70CE">
        <w:t xml:space="preserve">An Australian policy response to </w:t>
      </w:r>
      <w:r w:rsidR="009B4462" w:rsidRPr="004E70CE">
        <w:t xml:space="preserve">address </w:t>
      </w:r>
      <w:r w:rsidRPr="004E70CE">
        <w:t xml:space="preserve">carbon leakage risk </w:t>
      </w:r>
      <w:r w:rsidR="003E5BC5" w:rsidRPr="004E70CE">
        <w:t>should</w:t>
      </w:r>
      <w:r w:rsidRPr="004E70CE">
        <w:t xml:space="preserve"> support and advance Australia’s broader interests in the international system. </w:t>
      </w:r>
      <w:r w:rsidR="001A0488" w:rsidRPr="004E70CE">
        <w:t xml:space="preserve">Australia is an active participant in existing international discussions </w:t>
      </w:r>
      <w:r w:rsidR="00750DB0" w:rsidRPr="004E70CE">
        <w:t>on</w:t>
      </w:r>
      <w:r w:rsidR="001A0488" w:rsidRPr="004E70CE">
        <w:t xml:space="preserve"> carbon leakage</w:t>
      </w:r>
      <w:r w:rsidR="00F848D4" w:rsidRPr="004E70CE">
        <w:t>.</w:t>
      </w:r>
    </w:p>
    <w:p w14:paraId="00F5DAD4" w14:textId="77777777" w:rsidR="00414CA4" w:rsidRPr="004E70CE" w:rsidRDefault="00750DB0" w:rsidP="003C296C">
      <w:r w:rsidRPr="004E70CE">
        <w:t>Enhanced global climate action would be the</w:t>
      </w:r>
      <w:r w:rsidR="00414CA4" w:rsidRPr="004E70CE">
        <w:t xml:space="preserve"> most</w:t>
      </w:r>
      <w:r w:rsidRPr="004E70CE">
        <w:t xml:space="preserve"> </w:t>
      </w:r>
      <w:r w:rsidR="00414CA4" w:rsidRPr="004E70CE">
        <w:t>desirable way to reduce the risk of carbon leakage from a climate and trade perspective. But divergence in ambition and approaches will persist for some time.</w:t>
      </w:r>
    </w:p>
    <w:p w14:paraId="72D8A23F" w14:textId="77777777" w:rsidR="00750DB0" w:rsidRPr="004E70CE" w:rsidRDefault="00C76523" w:rsidP="003C296C">
      <w:r w:rsidRPr="004E70CE">
        <w:t>A multilateral or plurilateral solution to address carbon leakage</w:t>
      </w:r>
      <w:r w:rsidR="009A1BCA" w:rsidRPr="004E70CE">
        <w:t xml:space="preserve"> would be ideal</w:t>
      </w:r>
      <w:r w:rsidRPr="004E70CE">
        <w:t xml:space="preserve">, for example an internationally agreed approach </w:t>
      </w:r>
      <w:r w:rsidR="00223F41" w:rsidRPr="004E70CE">
        <w:t>for</w:t>
      </w:r>
      <w:r w:rsidRPr="004E70CE">
        <w:t xml:space="preserve"> border carbon adjustments. Whilst some international initiat</w:t>
      </w:r>
      <w:r w:rsidR="00223F41" w:rsidRPr="004E70CE">
        <w:t xml:space="preserve">ives </w:t>
      </w:r>
      <w:r w:rsidR="00DC24B6" w:rsidRPr="004E70CE">
        <w:t>focused on carbon leakage</w:t>
      </w:r>
      <w:r w:rsidR="00223F41" w:rsidRPr="004E70CE">
        <w:t xml:space="preserve"> </w:t>
      </w:r>
      <w:r w:rsidRPr="004E70CE">
        <w:t xml:space="preserve">are prospective, consensus or broad-based agreement on any </w:t>
      </w:r>
      <w:r w:rsidR="00DC24B6" w:rsidRPr="004E70CE">
        <w:t>international solution</w:t>
      </w:r>
      <w:r w:rsidRPr="004E70CE">
        <w:t xml:space="preserve"> will take time to develop and will not replace the need for domestic policy action</w:t>
      </w:r>
      <w:r w:rsidR="00223F41" w:rsidRPr="004E70CE">
        <w:t xml:space="preserve"> in the short</w:t>
      </w:r>
      <w:r w:rsidR="000418C3" w:rsidRPr="004E70CE">
        <w:t>-</w:t>
      </w:r>
      <w:r w:rsidR="00223F41" w:rsidRPr="004E70CE">
        <w:t xml:space="preserve"> to medium</w:t>
      </w:r>
      <w:r w:rsidR="000418C3" w:rsidRPr="004E70CE">
        <w:t>-</w:t>
      </w:r>
      <w:r w:rsidR="00223F41" w:rsidRPr="004E70CE">
        <w:t>term</w:t>
      </w:r>
      <w:r w:rsidRPr="004E70CE">
        <w:t>.</w:t>
      </w:r>
    </w:p>
    <w:p w14:paraId="7BD543AB" w14:textId="77777777" w:rsidR="00A818D3" w:rsidRPr="004E70CE" w:rsidRDefault="00A818D3" w:rsidP="003C296C">
      <w:r w:rsidRPr="004E70CE">
        <w:t>Multilateral and plurilateral initiatives</w:t>
      </w:r>
      <w:r w:rsidR="00773D76" w:rsidRPr="004E70CE">
        <w:t xml:space="preserve"> could play a more immediate role to support the implementation of border carbon adjustments by contributing to the development of commonly accepted and interoperable approaches. An Australia</w:t>
      </w:r>
      <w:r w:rsidR="3317D5DB" w:rsidRPr="004E70CE">
        <w:t>n</w:t>
      </w:r>
      <w:r w:rsidR="00773D76" w:rsidRPr="004E70CE">
        <w:t xml:space="preserve"> border </w:t>
      </w:r>
      <w:r w:rsidR="56E77741" w:rsidRPr="004E70CE">
        <w:t xml:space="preserve">carbon </w:t>
      </w:r>
      <w:r w:rsidR="00773D76" w:rsidRPr="004E70CE">
        <w:t>adjustment framework could draw on such internationally agreed approaches where and when they arise. For example, efforts underway internationally could support the development of common emissions accounting standards or agreed default emissions intensities that could contribute to more harmonious approaches to border carbon adjustments.</w:t>
      </w:r>
      <w:r w:rsidRPr="004E70CE">
        <w:t xml:space="preserve"> </w:t>
      </w:r>
    </w:p>
    <w:p w14:paraId="3F91FB5F" w14:textId="77777777" w:rsidR="00981CB0" w:rsidRPr="004E70CE" w:rsidRDefault="00501F3E" w:rsidP="003C296C">
      <w:r w:rsidRPr="004E70CE">
        <w:t>There is value in deepening collaboration with like-minded trade and climate partners. Existing initiatives focused on carbon leakage are at an early stage. Australia’s participation could contribute to positive international policy innovation in a manner that supports the international system</w:t>
      </w:r>
      <w:r w:rsidR="006625F9" w:rsidRPr="004E70CE">
        <w:t xml:space="preserve"> and</w:t>
      </w:r>
      <w:r w:rsidRPr="004E70CE">
        <w:t xml:space="preserve"> the development of interoperable policy </w:t>
      </w:r>
      <w:r w:rsidR="00A72BC8" w:rsidRPr="004E70CE">
        <w:t>approaches</w:t>
      </w:r>
      <w:r w:rsidRPr="004E70CE">
        <w:t>.</w:t>
      </w:r>
      <w:r w:rsidR="000A6CD2" w:rsidRPr="004E70CE">
        <w:t xml:space="preserve"> </w:t>
      </w:r>
      <w:r w:rsidR="00075AEF" w:rsidRPr="004E70CE">
        <w:t xml:space="preserve">This could occur in initiatives like the Climate Club, the </w:t>
      </w:r>
      <w:r w:rsidRPr="004E70CE">
        <w:t>Inclusive Forum on Carbon Mitigation Approaches</w:t>
      </w:r>
      <w:r w:rsidR="00075AEF" w:rsidRPr="004E70CE">
        <w:t>, at the UNFCC</w:t>
      </w:r>
      <w:r w:rsidR="003E7F81" w:rsidRPr="004E70CE">
        <w:t>C</w:t>
      </w:r>
      <w:r w:rsidR="00075AEF" w:rsidRPr="004E70CE">
        <w:t xml:space="preserve"> or WTO, or in regional or </w:t>
      </w:r>
      <w:r w:rsidR="002E02CF" w:rsidRPr="004E70CE">
        <w:t>other groupings.</w:t>
      </w:r>
      <w:r w:rsidR="00981CB0" w:rsidRPr="004E70CE">
        <w:br w:type="page"/>
      </w:r>
    </w:p>
    <w:p w14:paraId="5E6535EA" w14:textId="77777777" w:rsidR="007F7BEA" w:rsidRPr="004E70CE" w:rsidRDefault="007F7BEA" w:rsidP="006E1B7A">
      <w:pPr>
        <w:pStyle w:val="Heading2"/>
      </w:pPr>
      <w:bookmarkStart w:id="4" w:name="_Toc173997650"/>
      <w:r w:rsidRPr="004E70CE">
        <w:lastRenderedPageBreak/>
        <w:t>Introduction</w:t>
      </w:r>
      <w:bookmarkEnd w:id="4"/>
    </w:p>
    <w:p w14:paraId="6BD23A02" w14:textId="77777777" w:rsidR="00475275" w:rsidRPr="004E70CE" w:rsidRDefault="00475275" w:rsidP="00F83ED4">
      <w:pPr>
        <w:rPr>
          <w:lang w:val="en-GB" w:eastAsia="ja-JP"/>
        </w:rPr>
      </w:pPr>
      <w:r w:rsidRPr="004E70CE">
        <w:rPr>
          <w:lang w:val="en-GB" w:eastAsia="ja-JP"/>
        </w:rPr>
        <w:t>This consultation paper shares</w:t>
      </w:r>
      <w:r w:rsidR="00896DDA" w:rsidRPr="004E70CE">
        <w:rPr>
          <w:lang w:val="en-GB" w:eastAsia="ja-JP"/>
        </w:rPr>
        <w:t xml:space="preserve"> the Review’s</w:t>
      </w:r>
      <w:r w:rsidRPr="004E70CE">
        <w:rPr>
          <w:lang w:val="en-GB" w:eastAsia="ja-JP"/>
        </w:rPr>
        <w:t xml:space="preserve"> </w:t>
      </w:r>
      <w:r w:rsidR="00896DDA" w:rsidRPr="004E70CE">
        <w:rPr>
          <w:lang w:val="en-GB" w:eastAsia="ja-JP"/>
        </w:rPr>
        <w:t xml:space="preserve">preliminary </w:t>
      </w:r>
      <w:r w:rsidRPr="004E70CE">
        <w:rPr>
          <w:lang w:val="en-GB" w:eastAsia="ja-JP"/>
        </w:rPr>
        <w:t xml:space="preserve">findings on carbon leakage risks and </w:t>
      </w:r>
      <w:r w:rsidR="0081407F" w:rsidRPr="004E70CE">
        <w:rPr>
          <w:lang w:val="en-GB" w:eastAsia="ja-JP"/>
        </w:rPr>
        <w:t xml:space="preserve">potential </w:t>
      </w:r>
      <w:r w:rsidRPr="004E70CE">
        <w:rPr>
          <w:lang w:val="en-GB" w:eastAsia="ja-JP"/>
        </w:rPr>
        <w:t xml:space="preserve">additional policy options to address </w:t>
      </w:r>
      <w:r w:rsidR="0081407F" w:rsidRPr="004E70CE">
        <w:rPr>
          <w:lang w:val="en-GB" w:eastAsia="ja-JP"/>
        </w:rPr>
        <w:t>identified leakage risk</w:t>
      </w:r>
      <w:r w:rsidRPr="004E70CE">
        <w:rPr>
          <w:lang w:val="en-GB" w:eastAsia="ja-JP"/>
        </w:rPr>
        <w:t xml:space="preserve">. It also discusses the feasibility of these policy options. The paper seeks feedback on proposed findings and directions. </w:t>
      </w:r>
    </w:p>
    <w:p w14:paraId="7B083D0F" w14:textId="77777777" w:rsidR="00475275" w:rsidRPr="004E70CE" w:rsidRDefault="00475275" w:rsidP="00F83ED4">
      <w:pPr>
        <w:rPr>
          <w:lang w:val="en-GB" w:eastAsia="ja-JP"/>
        </w:rPr>
      </w:pPr>
      <w:r w:rsidRPr="004E70CE">
        <w:rPr>
          <w:lang w:val="en-GB" w:eastAsia="ja-JP"/>
        </w:rPr>
        <w:t xml:space="preserve">The paper has been informed by </w:t>
      </w:r>
      <w:r w:rsidR="0096092D" w:rsidRPr="004E70CE">
        <w:rPr>
          <w:lang w:val="en-GB" w:eastAsia="ja-JP"/>
        </w:rPr>
        <w:t>analysis and modelling undertaken as part of the Review</w:t>
      </w:r>
      <w:r w:rsidR="003B5217" w:rsidRPr="004E70CE">
        <w:rPr>
          <w:lang w:val="en-GB" w:eastAsia="ja-JP"/>
        </w:rPr>
        <w:t>,</w:t>
      </w:r>
      <w:r w:rsidR="0096092D" w:rsidRPr="004E70CE">
        <w:rPr>
          <w:lang w:val="en-GB" w:eastAsia="ja-JP"/>
        </w:rPr>
        <w:t xml:space="preserve"> and by </w:t>
      </w:r>
      <w:r w:rsidRPr="004E70CE">
        <w:rPr>
          <w:lang w:val="en-GB" w:eastAsia="ja-JP"/>
        </w:rPr>
        <w:t xml:space="preserve">stakeholder feedback </w:t>
      </w:r>
      <w:r w:rsidR="0096092D" w:rsidRPr="004E70CE">
        <w:rPr>
          <w:lang w:val="en-GB" w:eastAsia="ja-JP"/>
        </w:rPr>
        <w:t>on the Review’s first consultation paper.</w:t>
      </w:r>
    </w:p>
    <w:p w14:paraId="061B5CAB" w14:textId="77777777" w:rsidR="00475275" w:rsidRPr="004E70CE" w:rsidRDefault="00475275" w:rsidP="00F83ED4">
      <w:pPr>
        <w:rPr>
          <w:lang w:val="en-GB" w:eastAsia="ja-JP"/>
        </w:rPr>
      </w:pPr>
      <w:r w:rsidRPr="004E70CE">
        <w:rPr>
          <w:lang w:val="en-GB" w:eastAsia="ja-JP"/>
        </w:rPr>
        <w:t xml:space="preserve">Feedback </w:t>
      </w:r>
      <w:r w:rsidR="00F12D55" w:rsidRPr="004E70CE">
        <w:rPr>
          <w:lang w:val="en-GB" w:eastAsia="ja-JP"/>
        </w:rPr>
        <w:t>on this</w:t>
      </w:r>
      <w:r w:rsidRPr="004E70CE">
        <w:rPr>
          <w:lang w:val="en-GB" w:eastAsia="ja-JP"/>
        </w:rPr>
        <w:t xml:space="preserve"> consultation </w:t>
      </w:r>
      <w:r w:rsidR="00F12D55" w:rsidRPr="004E70CE">
        <w:rPr>
          <w:lang w:val="en-GB" w:eastAsia="ja-JP"/>
        </w:rPr>
        <w:t xml:space="preserve">paper </w:t>
      </w:r>
      <w:r w:rsidRPr="004E70CE">
        <w:rPr>
          <w:lang w:val="en-GB" w:eastAsia="ja-JP"/>
        </w:rPr>
        <w:t xml:space="preserve">will </w:t>
      </w:r>
      <w:r w:rsidR="00F12D55" w:rsidRPr="004E70CE">
        <w:rPr>
          <w:lang w:val="en-GB" w:eastAsia="ja-JP"/>
        </w:rPr>
        <w:t xml:space="preserve">inform </w:t>
      </w:r>
      <w:r w:rsidRPr="004E70CE">
        <w:rPr>
          <w:lang w:val="en-GB" w:eastAsia="ja-JP"/>
        </w:rPr>
        <w:t xml:space="preserve">the </w:t>
      </w:r>
      <w:r w:rsidR="00F12D55" w:rsidRPr="004E70CE">
        <w:rPr>
          <w:lang w:val="en-GB" w:eastAsia="ja-JP"/>
        </w:rPr>
        <w:t xml:space="preserve">Review’s </w:t>
      </w:r>
      <w:r w:rsidRPr="004E70CE">
        <w:rPr>
          <w:lang w:val="en-GB" w:eastAsia="ja-JP"/>
        </w:rPr>
        <w:t xml:space="preserve">final </w:t>
      </w:r>
      <w:r w:rsidR="00F12D55" w:rsidRPr="004E70CE">
        <w:rPr>
          <w:lang w:val="en-GB" w:eastAsia="ja-JP"/>
        </w:rPr>
        <w:t xml:space="preserve">recommendations </w:t>
      </w:r>
      <w:r w:rsidRPr="004E70CE">
        <w:rPr>
          <w:lang w:val="en-GB" w:eastAsia="ja-JP"/>
        </w:rPr>
        <w:t xml:space="preserve">to </w:t>
      </w:r>
      <w:r w:rsidR="00CE471C" w:rsidRPr="004E70CE">
        <w:rPr>
          <w:lang w:val="en-GB" w:eastAsia="ja-JP"/>
        </w:rPr>
        <w:t xml:space="preserve">the </w:t>
      </w:r>
      <w:r w:rsidR="00213396" w:rsidRPr="004E70CE">
        <w:rPr>
          <w:lang w:val="en-GB" w:eastAsia="ja-JP"/>
        </w:rPr>
        <w:t>g</w:t>
      </w:r>
      <w:r w:rsidRPr="004E70CE">
        <w:rPr>
          <w:lang w:val="en-GB" w:eastAsia="ja-JP"/>
        </w:rPr>
        <w:t>overnment.</w:t>
      </w:r>
    </w:p>
    <w:p w14:paraId="62BEB51B" w14:textId="77777777" w:rsidR="00475275" w:rsidRPr="004E70CE" w:rsidRDefault="00475275" w:rsidP="00D37AED">
      <w:pPr>
        <w:pStyle w:val="Heading3"/>
        <w:rPr>
          <w:lang w:val="en-GB"/>
        </w:rPr>
      </w:pPr>
      <w:bookmarkStart w:id="5" w:name="_Toc173997651"/>
      <w:r w:rsidRPr="004E70CE">
        <w:rPr>
          <w:lang w:val="en-GB"/>
        </w:rPr>
        <w:t>Carbon leakage in the context of the net zero transition</w:t>
      </w:r>
      <w:bookmarkEnd w:id="5"/>
    </w:p>
    <w:p w14:paraId="4936B45C" w14:textId="72EB7E9F" w:rsidR="00012057" w:rsidRPr="004E70CE" w:rsidRDefault="68E8A891" w:rsidP="00F83ED4">
      <w:pPr>
        <w:rPr>
          <w:lang w:val="en-GB" w:eastAsia="ja-JP"/>
        </w:rPr>
      </w:pPr>
      <w:r w:rsidRPr="004E70CE">
        <w:rPr>
          <w:lang w:val="en-GB" w:eastAsia="ja-JP"/>
        </w:rPr>
        <w:t>Australia has a</w:t>
      </w:r>
      <w:r w:rsidR="21AAD05E" w:rsidRPr="004E70CE">
        <w:rPr>
          <w:lang w:val="en-GB" w:eastAsia="ja-JP"/>
        </w:rPr>
        <w:t xml:space="preserve"> legislated</w:t>
      </w:r>
      <w:r w:rsidRPr="004E70CE">
        <w:rPr>
          <w:lang w:val="en-GB" w:eastAsia="ja-JP"/>
        </w:rPr>
        <w:t xml:space="preserve"> national target of reducing </w:t>
      </w:r>
      <w:r w:rsidR="7D1647AD" w:rsidRPr="004E70CE">
        <w:rPr>
          <w:lang w:val="en-GB" w:eastAsia="ja-JP"/>
        </w:rPr>
        <w:t>emissions by 43% below 2005 levels by 2030 and to net zero by 2050.</w:t>
      </w:r>
      <w:r w:rsidR="160059E2" w:rsidRPr="004E70CE">
        <w:rPr>
          <w:lang w:val="en-GB" w:eastAsia="ja-JP"/>
        </w:rPr>
        <w:t xml:space="preserve"> </w:t>
      </w:r>
      <w:r w:rsidR="299D2B33" w:rsidRPr="004E70CE">
        <w:rPr>
          <w:lang w:val="en-GB" w:eastAsia="ja-JP"/>
        </w:rPr>
        <w:t xml:space="preserve">The most recent </w:t>
      </w:r>
      <w:r w:rsidR="299D2B33" w:rsidRPr="004E70CE">
        <w:rPr>
          <w:i/>
          <w:iCs/>
          <w:lang w:val="en-GB" w:eastAsia="ja-JP"/>
        </w:rPr>
        <w:t>Annual Climate Change Statement 2023</w:t>
      </w:r>
      <w:r w:rsidR="299D2B33" w:rsidRPr="004E70CE">
        <w:rPr>
          <w:lang w:val="en-GB" w:eastAsia="ja-JP"/>
        </w:rPr>
        <w:t xml:space="preserve"> describes a range of policies already introduced to achieve this, including Rewiring the Nation, the Capacity Investment Scheme, the National Reconstruction Fund, Hydrogen Headstart and the reformed Safeguard Mechanism. To establish pathways for Australia’s transition to net zero</w:t>
      </w:r>
      <w:r w:rsidR="003B5217" w:rsidRPr="004E70CE">
        <w:rPr>
          <w:lang w:val="en-GB" w:eastAsia="ja-JP"/>
        </w:rPr>
        <w:t>,</w:t>
      </w:r>
      <w:r w:rsidR="299D2B33" w:rsidRPr="004E70CE">
        <w:rPr>
          <w:lang w:val="en-GB" w:eastAsia="ja-JP"/>
        </w:rPr>
        <w:t xml:space="preserve"> the </w:t>
      </w:r>
      <w:r w:rsidR="009424BA" w:rsidRPr="004E70CE">
        <w:rPr>
          <w:lang w:val="en-GB" w:eastAsia="ja-JP"/>
        </w:rPr>
        <w:t>government</w:t>
      </w:r>
      <w:r w:rsidR="299D2B33" w:rsidRPr="004E70CE">
        <w:rPr>
          <w:lang w:val="en-GB" w:eastAsia="ja-JP"/>
        </w:rPr>
        <w:t xml:space="preserve"> is also developing a Net Zero Plan</w:t>
      </w:r>
      <w:r w:rsidR="00DC7721" w:rsidRPr="004E70CE">
        <w:rPr>
          <w:lang w:val="en-GB" w:eastAsia="ja-JP"/>
        </w:rPr>
        <w:t xml:space="preserve"> and an emissions reduction target for 2035</w:t>
      </w:r>
      <w:r w:rsidR="299D2B33" w:rsidRPr="004E70CE">
        <w:rPr>
          <w:lang w:val="en-GB" w:eastAsia="ja-JP"/>
        </w:rPr>
        <w:t>,</w:t>
      </w:r>
      <w:r w:rsidR="00D94C79" w:rsidRPr="00D94C79">
        <w:rPr>
          <w:rStyle w:val="FootnoteReference"/>
          <w:lang w:val="en-GB" w:eastAsia="ja-JP"/>
        </w:rPr>
        <w:t xml:space="preserve"> </w:t>
      </w:r>
      <w:r w:rsidR="00D94C79" w:rsidRPr="004E70CE">
        <w:rPr>
          <w:rStyle w:val="FootnoteReference"/>
          <w:lang w:val="en-GB" w:eastAsia="ja-JP"/>
        </w:rPr>
        <w:footnoteReference w:id="2"/>
      </w:r>
      <w:r w:rsidR="299D2B33" w:rsidRPr="004E70CE">
        <w:rPr>
          <w:lang w:val="en-GB" w:eastAsia="ja-JP"/>
        </w:rPr>
        <w:t xml:space="preserve"> </w:t>
      </w:r>
      <w:r w:rsidR="00347C3E" w:rsidRPr="004E70CE">
        <w:rPr>
          <w:lang w:val="en-GB" w:eastAsia="ja-JP"/>
        </w:rPr>
        <w:t xml:space="preserve">both of which will be </w:t>
      </w:r>
      <w:r w:rsidR="299D2B33" w:rsidRPr="004E70CE">
        <w:rPr>
          <w:lang w:val="en-GB" w:eastAsia="ja-JP"/>
        </w:rPr>
        <w:t>underpinned by six sectoral decarbonisation plans</w:t>
      </w:r>
      <w:r w:rsidR="3C873215" w:rsidRPr="004E70CE">
        <w:rPr>
          <w:lang w:val="en-GB" w:eastAsia="ja-JP"/>
        </w:rPr>
        <w:t xml:space="preserve">, for which analysis and consultation </w:t>
      </w:r>
      <w:r w:rsidR="003B5217" w:rsidRPr="004E70CE">
        <w:rPr>
          <w:lang w:val="en-GB" w:eastAsia="ja-JP"/>
        </w:rPr>
        <w:t xml:space="preserve">are </w:t>
      </w:r>
      <w:r w:rsidR="3C873215" w:rsidRPr="004E70CE">
        <w:rPr>
          <w:lang w:val="en-GB" w:eastAsia="ja-JP"/>
        </w:rPr>
        <w:t>underway</w:t>
      </w:r>
      <w:r w:rsidR="00795250" w:rsidRPr="004E70CE">
        <w:rPr>
          <w:lang w:val="en-GB" w:eastAsia="ja-JP"/>
        </w:rPr>
        <w:t>.</w:t>
      </w:r>
      <w:r w:rsidR="00012057" w:rsidRPr="004E70CE">
        <w:rPr>
          <w:rStyle w:val="FootnoteReference"/>
          <w:lang w:val="en-GB" w:eastAsia="ja-JP"/>
        </w:rPr>
        <w:footnoteReference w:id="3"/>
      </w:r>
      <w:r w:rsidR="299D2B33" w:rsidRPr="004E70CE">
        <w:rPr>
          <w:lang w:val="en-GB" w:eastAsia="ja-JP"/>
        </w:rPr>
        <w:t xml:space="preserve"> </w:t>
      </w:r>
    </w:p>
    <w:p w14:paraId="52B2084F" w14:textId="77777777" w:rsidR="00712495" w:rsidRPr="004E70CE" w:rsidRDefault="7D1647AD" w:rsidP="00F83ED4">
      <w:pPr>
        <w:rPr>
          <w:lang w:eastAsia="ja-JP"/>
        </w:rPr>
      </w:pPr>
      <w:r w:rsidRPr="004E70CE">
        <w:rPr>
          <w:lang w:eastAsia="ja-JP"/>
        </w:rPr>
        <w:t>The transition will</w:t>
      </w:r>
      <w:r w:rsidR="299D2B33" w:rsidRPr="004E70CE">
        <w:rPr>
          <w:lang w:eastAsia="ja-JP"/>
        </w:rPr>
        <w:t xml:space="preserve"> also</w:t>
      </w:r>
      <w:r w:rsidRPr="004E70CE">
        <w:rPr>
          <w:lang w:eastAsia="ja-JP"/>
        </w:rPr>
        <w:t xml:space="preserve"> present </w:t>
      </w:r>
      <w:r w:rsidR="1D8F57D5" w:rsidRPr="004E70CE">
        <w:rPr>
          <w:lang w:eastAsia="ja-JP"/>
        </w:rPr>
        <w:t>opportunities and</w:t>
      </w:r>
      <w:r w:rsidRPr="004E70CE">
        <w:rPr>
          <w:lang w:eastAsia="ja-JP"/>
        </w:rPr>
        <w:t xml:space="preserve"> challenges for individual countries. Australia has </w:t>
      </w:r>
      <w:r w:rsidR="749160A4" w:rsidRPr="004E70CE">
        <w:rPr>
          <w:lang w:eastAsia="ja-JP"/>
        </w:rPr>
        <w:t xml:space="preserve">an ambition to become </w:t>
      </w:r>
      <w:r w:rsidRPr="004E70CE">
        <w:rPr>
          <w:lang w:eastAsia="ja-JP"/>
        </w:rPr>
        <w:t xml:space="preserve">a </w:t>
      </w:r>
      <w:r w:rsidR="001A782E" w:rsidRPr="004E70CE">
        <w:rPr>
          <w:lang w:eastAsia="ja-JP"/>
        </w:rPr>
        <w:t>r</w:t>
      </w:r>
      <w:r w:rsidR="13DA5956" w:rsidRPr="004E70CE">
        <w:rPr>
          <w:lang w:eastAsia="ja-JP"/>
        </w:rPr>
        <w:t>enewable energy superpower</w:t>
      </w:r>
      <w:r w:rsidR="000D7773" w:rsidRPr="004E70CE">
        <w:rPr>
          <w:lang w:eastAsia="ja-JP"/>
        </w:rPr>
        <w:t>.</w:t>
      </w:r>
      <w:r w:rsidR="00475275" w:rsidRPr="004E70CE">
        <w:rPr>
          <w:vertAlign w:val="superscript"/>
          <w:lang w:eastAsia="ja-JP"/>
        </w:rPr>
        <w:footnoteReference w:id="4"/>
      </w:r>
      <w:r w:rsidRPr="004E70CE">
        <w:rPr>
          <w:vertAlign w:val="superscript"/>
          <w:lang w:eastAsia="ja-JP"/>
        </w:rPr>
        <w:t xml:space="preserve">  </w:t>
      </w:r>
      <w:r w:rsidRPr="004E70CE">
        <w:rPr>
          <w:lang w:eastAsia="ja-JP"/>
        </w:rPr>
        <w:t xml:space="preserve">By harnessing our </w:t>
      </w:r>
      <w:r w:rsidR="4000A7EF" w:rsidRPr="004E70CE">
        <w:rPr>
          <w:lang w:eastAsia="ja-JP"/>
        </w:rPr>
        <w:t xml:space="preserve">potential </w:t>
      </w:r>
      <w:r w:rsidRPr="004E70CE">
        <w:rPr>
          <w:lang w:eastAsia="ja-JP"/>
        </w:rPr>
        <w:t xml:space="preserve">comparative advantages (including low-cost </w:t>
      </w:r>
      <w:r w:rsidR="4000A7EF" w:rsidRPr="004E70CE">
        <w:rPr>
          <w:lang w:eastAsia="ja-JP"/>
        </w:rPr>
        <w:t>firmed</w:t>
      </w:r>
      <w:r w:rsidRPr="004E70CE">
        <w:rPr>
          <w:lang w:eastAsia="ja-JP"/>
        </w:rPr>
        <w:t xml:space="preserve"> renewable energy, abundant land, and critical mineral and resource endowments), Australia could become a significant future exporter of low emissions energy and </w:t>
      </w:r>
      <w:r w:rsidR="2A69888C" w:rsidRPr="004E70CE">
        <w:rPr>
          <w:lang w:eastAsia="ja-JP"/>
        </w:rPr>
        <w:t>commodities</w:t>
      </w:r>
      <w:r w:rsidRPr="004E70CE">
        <w:rPr>
          <w:lang w:eastAsia="ja-JP"/>
        </w:rPr>
        <w:t>.</w:t>
      </w:r>
      <w:r w:rsidR="0878723C" w:rsidRPr="004E70CE">
        <w:t xml:space="preserve"> </w:t>
      </w:r>
      <w:r w:rsidR="234F8E53" w:rsidRPr="004E70CE">
        <w:rPr>
          <w:lang w:eastAsia="ja-JP"/>
        </w:rPr>
        <w:t xml:space="preserve">This would deliver significant economic benefits while supporting the global transition to net zero. </w:t>
      </w:r>
    </w:p>
    <w:p w14:paraId="12F5A534" w14:textId="77777777" w:rsidR="00E95394" w:rsidRPr="004E70CE" w:rsidRDefault="00C84503" w:rsidP="00F83ED4">
      <w:pPr>
        <w:rPr>
          <w:lang w:val="en-GB" w:eastAsia="ja-JP"/>
        </w:rPr>
      </w:pPr>
      <w:r w:rsidRPr="004E70CE">
        <w:rPr>
          <w:lang w:val="en-GB" w:eastAsia="ja-JP"/>
        </w:rPr>
        <w:t>I</w:t>
      </w:r>
      <w:r w:rsidR="00054343" w:rsidRPr="004E70CE">
        <w:rPr>
          <w:lang w:val="en-GB" w:eastAsia="ja-JP"/>
        </w:rPr>
        <w:t>ndustry has a central role in driving Australia’s transition to net zero and realising our potential as a renewable energy superpower.</w:t>
      </w:r>
      <w:r w:rsidR="00535351" w:rsidRPr="004E70CE">
        <w:rPr>
          <w:lang w:val="en-GB" w:eastAsia="ja-JP"/>
        </w:rPr>
        <w:t xml:space="preserve"> </w:t>
      </w:r>
      <w:r w:rsidR="00700DA1" w:rsidRPr="004E70CE">
        <w:rPr>
          <w:lang w:val="en-GB" w:eastAsia="ja-JP"/>
        </w:rPr>
        <w:t>Climate</w:t>
      </w:r>
      <w:r w:rsidR="00535351" w:rsidRPr="004E70CE">
        <w:rPr>
          <w:lang w:val="en-GB" w:eastAsia="ja-JP"/>
        </w:rPr>
        <w:t xml:space="preserve"> policies </w:t>
      </w:r>
      <w:r w:rsidR="00E95394" w:rsidRPr="004E70CE">
        <w:rPr>
          <w:lang w:val="en-GB" w:eastAsia="ja-JP"/>
        </w:rPr>
        <w:t xml:space="preserve">will also play a vital role in: </w:t>
      </w:r>
    </w:p>
    <w:p w14:paraId="74CF81F2" w14:textId="77777777" w:rsidR="00E95394" w:rsidRPr="004E70CE" w:rsidRDefault="00E95394" w:rsidP="00F83ED4">
      <w:pPr>
        <w:pStyle w:val="ListParagraph"/>
        <w:numPr>
          <w:ilvl w:val="0"/>
          <w:numId w:val="17"/>
        </w:numPr>
        <w:spacing w:line="276" w:lineRule="auto"/>
        <w:rPr>
          <w:lang w:val="en-GB" w:eastAsia="ja-JP"/>
        </w:rPr>
      </w:pPr>
      <w:r w:rsidRPr="004E70CE">
        <w:rPr>
          <w:lang w:val="en-GB" w:eastAsia="ja-JP"/>
        </w:rPr>
        <w:t>providing the right incentives for industry to transition to low and zero emissions production, especially through investment</w:t>
      </w:r>
    </w:p>
    <w:p w14:paraId="57B91ABF" w14:textId="77777777" w:rsidR="00054343" w:rsidRPr="004E70CE" w:rsidRDefault="008D7B36" w:rsidP="00F83ED4">
      <w:pPr>
        <w:pStyle w:val="ListParagraph"/>
        <w:numPr>
          <w:ilvl w:val="0"/>
          <w:numId w:val="17"/>
        </w:numPr>
        <w:spacing w:line="276" w:lineRule="auto"/>
        <w:rPr>
          <w:lang w:val="en-GB" w:eastAsia="ja-JP"/>
        </w:rPr>
      </w:pPr>
      <w:r w:rsidRPr="004E70CE">
        <w:rPr>
          <w:lang w:val="en-GB" w:eastAsia="ja-JP"/>
        </w:rPr>
        <w:t>creating</w:t>
      </w:r>
      <w:r w:rsidR="00746D9B" w:rsidRPr="004E70CE">
        <w:rPr>
          <w:lang w:val="en-GB" w:eastAsia="ja-JP"/>
        </w:rPr>
        <w:t xml:space="preserve"> </w:t>
      </w:r>
      <w:r w:rsidR="00F862B3" w:rsidRPr="004E70CE">
        <w:rPr>
          <w:lang w:val="en-GB" w:eastAsia="ja-JP"/>
        </w:rPr>
        <w:t>market</w:t>
      </w:r>
      <w:r w:rsidR="00746D9B" w:rsidRPr="004E70CE">
        <w:rPr>
          <w:lang w:val="en-GB" w:eastAsia="ja-JP"/>
        </w:rPr>
        <w:t xml:space="preserve"> premiums </w:t>
      </w:r>
      <w:r w:rsidR="00E95394" w:rsidRPr="004E70CE">
        <w:rPr>
          <w:lang w:val="en-GB" w:eastAsia="ja-JP"/>
        </w:rPr>
        <w:t xml:space="preserve">for low emission </w:t>
      </w:r>
      <w:r w:rsidR="00021B12" w:rsidRPr="004E70CE">
        <w:rPr>
          <w:lang w:val="en-GB" w:eastAsia="ja-JP"/>
        </w:rPr>
        <w:t>commodities</w:t>
      </w:r>
      <w:r w:rsidR="00E95394" w:rsidRPr="004E70CE">
        <w:rPr>
          <w:lang w:val="en-GB" w:eastAsia="ja-JP"/>
        </w:rPr>
        <w:t xml:space="preserve"> </w:t>
      </w:r>
    </w:p>
    <w:p w14:paraId="7343F8B6" w14:textId="77777777" w:rsidR="00E95394" w:rsidRPr="004E70CE" w:rsidRDefault="7624563F" w:rsidP="00F83ED4">
      <w:pPr>
        <w:pStyle w:val="ListParagraph"/>
        <w:numPr>
          <w:ilvl w:val="0"/>
          <w:numId w:val="17"/>
        </w:numPr>
        <w:spacing w:after="200" w:line="276" w:lineRule="auto"/>
        <w:rPr>
          <w:lang w:val="en-GB" w:eastAsia="ja-JP"/>
        </w:rPr>
      </w:pPr>
      <w:r w:rsidRPr="004E70CE">
        <w:rPr>
          <w:lang w:val="en-GB" w:eastAsia="ja-JP"/>
        </w:rPr>
        <w:t>supporting international trade of clean, energy-intensive commodities.</w:t>
      </w:r>
    </w:p>
    <w:p w14:paraId="11A94A77" w14:textId="77777777" w:rsidR="0CF4527D" w:rsidRPr="004E70CE" w:rsidRDefault="0CF4527D" w:rsidP="00F83ED4">
      <w:pPr>
        <w:rPr>
          <w:lang w:eastAsia="ja-JP"/>
        </w:rPr>
      </w:pPr>
      <w:r w:rsidRPr="004E70CE">
        <w:rPr>
          <w:lang w:eastAsia="ja-JP"/>
        </w:rPr>
        <w:t xml:space="preserve">Climate change ambition </w:t>
      </w:r>
      <w:r w:rsidR="539B5E4C" w:rsidRPr="004E70CE">
        <w:rPr>
          <w:lang w:eastAsia="ja-JP"/>
        </w:rPr>
        <w:t xml:space="preserve">is increasing globally. </w:t>
      </w:r>
      <w:r w:rsidR="249344D4" w:rsidRPr="004E70CE">
        <w:rPr>
          <w:lang w:eastAsia="ja-JP"/>
        </w:rPr>
        <w:t>Over 140 countries have made net zero commitments</w:t>
      </w:r>
      <w:r w:rsidR="00747331" w:rsidRPr="004E70CE">
        <w:rPr>
          <w:lang w:eastAsia="ja-JP"/>
        </w:rPr>
        <w:t>,</w:t>
      </w:r>
      <w:r w:rsidRPr="004E70CE">
        <w:rPr>
          <w:vertAlign w:val="superscript"/>
          <w:lang w:eastAsia="ja-JP"/>
        </w:rPr>
        <w:footnoteReference w:id="5"/>
      </w:r>
      <w:r w:rsidR="249344D4" w:rsidRPr="004E70CE">
        <w:rPr>
          <w:lang w:eastAsia="ja-JP"/>
        </w:rPr>
        <w:t xml:space="preserve"> including countries that are destinations for 97% of Australia’s exports</w:t>
      </w:r>
      <w:r w:rsidR="00B3009C" w:rsidRPr="004E70CE">
        <w:rPr>
          <w:lang w:eastAsia="ja-JP"/>
        </w:rPr>
        <w:t>.</w:t>
      </w:r>
      <w:r w:rsidRPr="004E70CE">
        <w:rPr>
          <w:vertAlign w:val="superscript"/>
          <w:lang w:eastAsia="ja-JP"/>
        </w:rPr>
        <w:footnoteReference w:id="6"/>
      </w:r>
      <w:r w:rsidR="1AE0E2AF" w:rsidRPr="004E70CE">
        <w:rPr>
          <w:lang w:eastAsia="ja-JP"/>
        </w:rPr>
        <w:t xml:space="preserve"> The majority </w:t>
      </w:r>
      <w:r w:rsidR="1AE0E2AF" w:rsidRPr="004E70CE">
        <w:rPr>
          <w:lang w:eastAsia="ja-JP"/>
        </w:rPr>
        <w:lastRenderedPageBreak/>
        <w:t xml:space="preserve">of countries have emissions targets for 2030 in place and </w:t>
      </w:r>
      <w:r w:rsidR="537A1E32" w:rsidRPr="004E70CE">
        <w:rPr>
          <w:lang w:eastAsia="ja-JP"/>
        </w:rPr>
        <w:t xml:space="preserve">are expected to communicate </w:t>
      </w:r>
      <w:r w:rsidR="1AE0E2AF" w:rsidRPr="004E70CE">
        <w:rPr>
          <w:lang w:eastAsia="ja-JP"/>
        </w:rPr>
        <w:t>strengthen</w:t>
      </w:r>
      <w:r w:rsidR="4CC3018C" w:rsidRPr="004E70CE">
        <w:rPr>
          <w:lang w:eastAsia="ja-JP"/>
        </w:rPr>
        <w:t>ed ambition</w:t>
      </w:r>
      <w:r w:rsidR="1AE0E2AF" w:rsidRPr="004E70CE">
        <w:rPr>
          <w:lang w:eastAsia="ja-JP"/>
        </w:rPr>
        <w:t xml:space="preserve"> for 2035. </w:t>
      </w:r>
      <w:r w:rsidR="5349F3D2" w:rsidRPr="004E70CE">
        <w:rPr>
          <w:lang w:eastAsia="ja-JP"/>
        </w:rPr>
        <w:t>In aggregate, a gap remains between stated ambition and the effect of climate policies, however the prevalence and effectiveness of climate change policies has been rising.</w:t>
      </w:r>
      <w:r w:rsidRPr="004E70CE">
        <w:rPr>
          <w:rStyle w:val="FootnoteReference"/>
          <w:lang w:eastAsia="ja-JP"/>
        </w:rPr>
        <w:footnoteReference w:id="7"/>
      </w:r>
      <w:r w:rsidR="5349F3D2" w:rsidRPr="004E70CE">
        <w:rPr>
          <w:lang w:eastAsia="ja-JP"/>
        </w:rPr>
        <w:t xml:space="preserve"> </w:t>
      </w:r>
      <w:r w:rsidR="0A438DB2" w:rsidRPr="004E70CE">
        <w:rPr>
          <w:lang w:eastAsia="ja-JP"/>
        </w:rPr>
        <w:t xml:space="preserve">As part of a multitude of policy approaches, carbon pricing is on the rise. </w:t>
      </w:r>
      <w:r w:rsidR="00BE73AD" w:rsidRPr="004E70CE">
        <w:rPr>
          <w:lang w:eastAsia="ja-JP"/>
        </w:rPr>
        <w:t>As of April 2024</w:t>
      </w:r>
      <w:r w:rsidR="0A438DB2" w:rsidRPr="004E70CE">
        <w:rPr>
          <w:lang w:eastAsia="ja-JP"/>
        </w:rPr>
        <w:t>,</w:t>
      </w:r>
      <w:r w:rsidR="0E908086" w:rsidRPr="004E70CE">
        <w:rPr>
          <w:lang w:eastAsia="ja-JP"/>
        </w:rPr>
        <w:t xml:space="preserve"> </w:t>
      </w:r>
      <w:r w:rsidR="00E562D0" w:rsidRPr="004E70CE">
        <w:rPr>
          <w:lang w:eastAsia="ja-JP"/>
        </w:rPr>
        <w:t>24</w:t>
      </w:r>
      <w:r w:rsidR="0E908086" w:rsidRPr="004E70CE">
        <w:rPr>
          <w:lang w:eastAsia="ja-JP"/>
        </w:rPr>
        <w:t>% of global greenhouse gas emissions were covered by</w:t>
      </w:r>
      <w:r w:rsidR="694DD003" w:rsidRPr="004E70CE">
        <w:rPr>
          <w:lang w:eastAsia="ja-JP"/>
        </w:rPr>
        <w:t xml:space="preserve"> a price signal, through </w:t>
      </w:r>
      <w:r w:rsidR="00A97F84" w:rsidRPr="004E70CE">
        <w:rPr>
          <w:lang w:eastAsia="ja-JP"/>
        </w:rPr>
        <w:t xml:space="preserve">75 </w:t>
      </w:r>
      <w:r w:rsidR="694DD003" w:rsidRPr="004E70CE">
        <w:rPr>
          <w:lang w:eastAsia="ja-JP"/>
        </w:rPr>
        <w:t>different</w:t>
      </w:r>
      <w:r w:rsidR="0E908086" w:rsidRPr="004E70CE">
        <w:rPr>
          <w:lang w:eastAsia="ja-JP"/>
        </w:rPr>
        <w:t xml:space="preserve"> emissions trading schemes or carbon taxes</w:t>
      </w:r>
      <w:r w:rsidR="06C8D89B" w:rsidRPr="004E70CE">
        <w:rPr>
          <w:lang w:eastAsia="ja-JP"/>
        </w:rPr>
        <w:t>.</w:t>
      </w:r>
      <w:r w:rsidRPr="004E70CE">
        <w:rPr>
          <w:rStyle w:val="FootnoteReference"/>
          <w:lang w:eastAsia="ja-JP"/>
        </w:rPr>
        <w:footnoteReference w:id="8"/>
      </w:r>
    </w:p>
    <w:p w14:paraId="269A83E2" w14:textId="77777777" w:rsidR="00475275" w:rsidRPr="004E70CE" w:rsidRDefault="7D1647AD" w:rsidP="00F83ED4">
      <w:pPr>
        <w:rPr>
          <w:rFonts w:ascii="Times New Roman" w:eastAsia="Cambria" w:hAnsi="Times New Roman" w:cs="Times New Roman"/>
          <w:sz w:val="24"/>
          <w:szCs w:val="24"/>
          <w:lang w:eastAsia="en-AU"/>
        </w:rPr>
      </w:pPr>
      <w:r w:rsidRPr="004E70CE">
        <w:rPr>
          <w:lang w:val="en-GB" w:eastAsia="ja-JP"/>
        </w:rPr>
        <w:t xml:space="preserve">At the same time, </w:t>
      </w:r>
      <w:r w:rsidRPr="004E70CE">
        <w:t>differences</w:t>
      </w:r>
      <w:r w:rsidR="2BE0295D" w:rsidRPr="004E70CE">
        <w:t xml:space="preserve"> remain</w:t>
      </w:r>
      <w:r w:rsidRPr="004E70CE">
        <w:rPr>
          <w:lang w:val="en-GB" w:eastAsia="ja-JP"/>
        </w:rPr>
        <w:t xml:space="preserve"> in the ambition</w:t>
      </w:r>
      <w:r w:rsidR="6EBE79A9" w:rsidRPr="004E70CE">
        <w:rPr>
          <w:lang w:val="en-GB" w:eastAsia="ja-JP"/>
        </w:rPr>
        <w:t xml:space="preserve">, </w:t>
      </w:r>
      <w:r w:rsidR="2C216559" w:rsidRPr="004E70CE">
        <w:rPr>
          <w:lang w:val="en-GB" w:eastAsia="ja-JP"/>
        </w:rPr>
        <w:t>effectiveness and coverage</w:t>
      </w:r>
      <w:r w:rsidRPr="004E70CE">
        <w:rPr>
          <w:lang w:val="en-GB" w:eastAsia="ja-JP"/>
        </w:rPr>
        <w:t xml:space="preserve"> of climate policies</w:t>
      </w:r>
      <w:r w:rsidR="2C22E0B0" w:rsidRPr="004E70CE">
        <w:rPr>
          <w:lang w:val="en-GB" w:eastAsia="ja-JP"/>
        </w:rPr>
        <w:t>, including</w:t>
      </w:r>
      <w:r w:rsidRPr="004E70CE">
        <w:rPr>
          <w:lang w:val="en-GB" w:eastAsia="ja-JP"/>
        </w:rPr>
        <w:t xml:space="preserve"> between Australia</w:t>
      </w:r>
      <w:r w:rsidR="7A286F5F" w:rsidRPr="004E70CE">
        <w:rPr>
          <w:lang w:val="en-GB" w:eastAsia="ja-JP"/>
        </w:rPr>
        <w:t>’s policies a</w:t>
      </w:r>
      <w:r w:rsidRPr="004E70CE">
        <w:rPr>
          <w:lang w:val="en-GB" w:eastAsia="ja-JP"/>
        </w:rPr>
        <w:t>nd</w:t>
      </w:r>
      <w:r w:rsidR="416D42EB" w:rsidRPr="004E70CE">
        <w:rPr>
          <w:lang w:val="en-GB" w:eastAsia="ja-JP"/>
        </w:rPr>
        <w:t xml:space="preserve"> those of</w:t>
      </w:r>
      <w:r w:rsidRPr="004E70CE">
        <w:rPr>
          <w:lang w:val="en-GB" w:eastAsia="ja-JP"/>
        </w:rPr>
        <w:t xml:space="preserve"> trading partners</w:t>
      </w:r>
      <w:r w:rsidR="542B029A" w:rsidRPr="004E70CE">
        <w:rPr>
          <w:lang w:val="en-GB" w:eastAsia="ja-JP"/>
        </w:rPr>
        <w:t>. Such differences</w:t>
      </w:r>
      <w:r w:rsidRPr="004E70CE">
        <w:rPr>
          <w:lang w:val="en-GB" w:eastAsia="ja-JP"/>
        </w:rPr>
        <w:t xml:space="preserve"> create a risk of carbon leakage</w:t>
      </w:r>
      <w:r w:rsidR="6C49B69F" w:rsidRPr="004E70CE">
        <w:rPr>
          <w:lang w:val="en-GB" w:eastAsia="ja-JP"/>
        </w:rPr>
        <w:t xml:space="preserve">, which in turn can hamper the effectiveness and efficiency of policy aimed at providing incentives </w:t>
      </w:r>
      <w:r w:rsidR="00A55159" w:rsidRPr="004E70CE">
        <w:rPr>
          <w:lang w:val="en-GB" w:eastAsia="ja-JP"/>
        </w:rPr>
        <w:t>to decarbonise</w:t>
      </w:r>
      <w:r w:rsidR="6C49B69F" w:rsidRPr="004E70CE">
        <w:rPr>
          <w:lang w:val="en-GB" w:eastAsia="ja-JP"/>
        </w:rPr>
        <w:t xml:space="preserve"> </w:t>
      </w:r>
      <w:r w:rsidR="60E2B409" w:rsidRPr="004E70CE">
        <w:rPr>
          <w:lang w:val="en-GB" w:eastAsia="ja-JP"/>
        </w:rPr>
        <w:t>industries producing tradable goods</w:t>
      </w:r>
      <w:r w:rsidRPr="004E70CE">
        <w:rPr>
          <w:lang w:val="en-GB" w:eastAsia="ja-JP"/>
        </w:rPr>
        <w:t xml:space="preserve">. </w:t>
      </w:r>
      <w:r w:rsidR="36A20674" w:rsidRPr="004E70CE">
        <w:rPr>
          <w:rFonts w:ascii="Times New Roman" w:eastAsia="Cambria" w:hAnsi="Times New Roman" w:cs="Times New Roman"/>
          <w:sz w:val="24"/>
          <w:szCs w:val="24"/>
          <w:lang w:eastAsia="en-AU"/>
        </w:rPr>
        <w:t xml:space="preserve"> </w:t>
      </w:r>
    </w:p>
    <w:p w14:paraId="10C247FA" w14:textId="77777777" w:rsidR="0036382D" w:rsidRPr="004E70CE" w:rsidRDefault="2BF8CC5B" w:rsidP="00F83ED4">
      <w:pPr>
        <w:rPr>
          <w:lang w:val="en-GB" w:eastAsia="ja-JP"/>
        </w:rPr>
      </w:pPr>
      <w:r w:rsidRPr="004E70CE">
        <w:rPr>
          <w:lang w:val="en-GB" w:eastAsia="ja-JP"/>
        </w:rPr>
        <w:t>As a trading nation, Australia’s international partnerships will be essential to our transition. Our economic prosperity will be underscored by maintaining a free, fair</w:t>
      </w:r>
      <w:r w:rsidR="00BD2B5C" w:rsidRPr="004E70CE">
        <w:rPr>
          <w:lang w:val="en-GB" w:eastAsia="ja-JP"/>
        </w:rPr>
        <w:t>,</w:t>
      </w:r>
      <w:r w:rsidRPr="004E70CE">
        <w:rPr>
          <w:lang w:val="en-GB" w:eastAsia="ja-JP"/>
        </w:rPr>
        <w:t xml:space="preserve"> open and rules-based international trading system. </w:t>
      </w:r>
      <w:r w:rsidR="038CC4EE" w:rsidRPr="004E70CE">
        <w:rPr>
          <w:lang w:val="en-GB" w:eastAsia="ja-JP"/>
        </w:rPr>
        <w:t xml:space="preserve">Internationally </w:t>
      </w:r>
      <w:r w:rsidRPr="004E70CE">
        <w:rPr>
          <w:lang w:val="en-GB" w:eastAsia="ja-JP"/>
        </w:rPr>
        <w:t>compatible approaches to emissions</w:t>
      </w:r>
      <w:r w:rsidR="595DF037" w:rsidRPr="004E70CE">
        <w:rPr>
          <w:lang w:val="en-GB" w:eastAsia="ja-JP"/>
        </w:rPr>
        <w:t xml:space="preserve"> measurement and policy</w:t>
      </w:r>
      <w:r w:rsidRPr="004E70CE">
        <w:rPr>
          <w:lang w:val="en-GB" w:eastAsia="ja-JP"/>
        </w:rPr>
        <w:t xml:space="preserve"> will be fundamental to a robust green international trading system.</w:t>
      </w:r>
      <w:r w:rsidRPr="004E70CE">
        <w:rPr>
          <w:rFonts w:ascii="Times New Roman" w:eastAsia="Times New Roman" w:hAnsi="Times New Roman" w:cs="Times New Roman"/>
        </w:rPr>
        <w:t xml:space="preserve"> </w:t>
      </w:r>
    </w:p>
    <w:p w14:paraId="084FF141" w14:textId="77777777" w:rsidR="0049253D" w:rsidRPr="004E70CE" w:rsidRDefault="2BF8CC5B" w:rsidP="00F83ED4">
      <w:pPr>
        <w:rPr>
          <w:lang w:val="en-GB" w:eastAsia="ja-JP"/>
        </w:rPr>
      </w:pPr>
      <w:r w:rsidRPr="004E70CE">
        <w:rPr>
          <w:lang w:val="en-GB" w:eastAsia="ja-JP"/>
        </w:rPr>
        <w:t xml:space="preserve">The Review is particularly cognisant of the need to carefully identify </w:t>
      </w:r>
      <w:r w:rsidR="00BD2B5C" w:rsidRPr="004E70CE">
        <w:rPr>
          <w:lang w:val="en-GB" w:eastAsia="ja-JP"/>
        </w:rPr>
        <w:t>the</w:t>
      </w:r>
      <w:r w:rsidR="0261DA7B" w:rsidRPr="004E70CE">
        <w:rPr>
          <w:lang w:val="en-GB" w:eastAsia="ja-JP"/>
        </w:rPr>
        <w:t xml:space="preserve"> conditions</w:t>
      </w:r>
      <w:r w:rsidRPr="004E70CE">
        <w:rPr>
          <w:lang w:val="en-GB" w:eastAsia="ja-JP"/>
        </w:rPr>
        <w:t xml:space="preserve"> </w:t>
      </w:r>
      <w:r w:rsidR="00BD2B5C" w:rsidRPr="004E70CE">
        <w:rPr>
          <w:lang w:val="en-GB" w:eastAsia="ja-JP"/>
        </w:rPr>
        <w:t xml:space="preserve">under which </w:t>
      </w:r>
      <w:r w:rsidRPr="004E70CE">
        <w:rPr>
          <w:lang w:val="en-GB" w:eastAsia="ja-JP"/>
        </w:rPr>
        <w:t xml:space="preserve">carbon leakage policies should apply to </w:t>
      </w:r>
      <w:r w:rsidR="62111371" w:rsidRPr="004E70CE">
        <w:rPr>
          <w:lang w:val="en-GB" w:eastAsia="ja-JP"/>
        </w:rPr>
        <w:t>particular</w:t>
      </w:r>
      <w:r w:rsidRPr="004E70CE">
        <w:rPr>
          <w:lang w:val="en-GB" w:eastAsia="ja-JP"/>
        </w:rPr>
        <w:t xml:space="preserve"> </w:t>
      </w:r>
      <w:r w:rsidR="54756D40" w:rsidRPr="004E70CE">
        <w:rPr>
          <w:lang w:val="en-GB" w:eastAsia="ja-JP"/>
        </w:rPr>
        <w:t>industries</w:t>
      </w:r>
      <w:r w:rsidRPr="004E70CE">
        <w:rPr>
          <w:lang w:val="en-GB" w:eastAsia="ja-JP"/>
        </w:rPr>
        <w:t>. As carbon leakage risks change over time, the need for a policy response to carbon leakage risk may materialise in the future. However,</w:t>
      </w:r>
      <w:r w:rsidR="11392E6F" w:rsidRPr="004E70CE">
        <w:rPr>
          <w:lang w:val="en-GB" w:eastAsia="ja-JP"/>
        </w:rPr>
        <w:t xml:space="preserve"> carbon leakage policies</w:t>
      </w:r>
      <w:r w:rsidR="0CE74D27" w:rsidRPr="004E70CE">
        <w:rPr>
          <w:lang w:val="en-GB" w:eastAsia="ja-JP"/>
        </w:rPr>
        <w:t xml:space="preserve"> now and in future</w:t>
      </w:r>
      <w:r w:rsidR="11392E6F" w:rsidRPr="004E70CE">
        <w:rPr>
          <w:lang w:val="en-GB" w:eastAsia="ja-JP"/>
        </w:rPr>
        <w:t xml:space="preserve"> should</w:t>
      </w:r>
      <w:r w:rsidR="599B7726" w:rsidRPr="004E70CE">
        <w:rPr>
          <w:lang w:val="en-GB" w:eastAsia="ja-JP"/>
        </w:rPr>
        <w:t xml:space="preserve"> </w:t>
      </w:r>
      <w:r w:rsidR="151094F9" w:rsidRPr="004E70CE">
        <w:rPr>
          <w:lang w:val="en-GB" w:eastAsia="ja-JP"/>
        </w:rPr>
        <w:t xml:space="preserve">be implemented only where a material leakage risk is identified and where such policies will both support climate policy objectives </w:t>
      </w:r>
      <w:r w:rsidR="5A9F2C3B" w:rsidRPr="004E70CE">
        <w:rPr>
          <w:lang w:val="en-GB" w:eastAsia="ja-JP"/>
        </w:rPr>
        <w:t>and be compatible with rules-based</w:t>
      </w:r>
      <w:r w:rsidR="11392E6F" w:rsidRPr="004E70CE">
        <w:rPr>
          <w:lang w:val="en-GB" w:eastAsia="ja-JP"/>
        </w:rPr>
        <w:t xml:space="preserve"> </w:t>
      </w:r>
      <w:r w:rsidR="3206236C" w:rsidRPr="004E70CE">
        <w:rPr>
          <w:lang w:val="en-GB" w:eastAsia="ja-JP"/>
        </w:rPr>
        <w:t xml:space="preserve">trade principles. </w:t>
      </w:r>
      <w:r w:rsidRPr="004E70CE">
        <w:rPr>
          <w:lang w:val="en-GB" w:eastAsia="ja-JP"/>
        </w:rPr>
        <w:t xml:space="preserve"> </w:t>
      </w:r>
    </w:p>
    <w:p w14:paraId="7DE6FD43" w14:textId="77777777" w:rsidR="0049253D" w:rsidRPr="004E70CE" w:rsidRDefault="5FB88007" w:rsidP="00F83ED4">
      <w:pPr>
        <w:rPr>
          <w:lang w:val="en-GB" w:eastAsia="ja-JP"/>
        </w:rPr>
      </w:pPr>
      <w:r w:rsidRPr="004E70CE">
        <w:rPr>
          <w:lang w:val="en-GB" w:eastAsia="ja-JP"/>
        </w:rPr>
        <w:t>T</w:t>
      </w:r>
      <w:r w:rsidR="2BF8CC5B" w:rsidRPr="004E70CE">
        <w:rPr>
          <w:lang w:val="en-GB" w:eastAsia="ja-JP"/>
        </w:rPr>
        <w:t>he Review is focused on durable policy settings</w:t>
      </w:r>
      <w:r w:rsidR="00BD2B5C" w:rsidRPr="004E70CE">
        <w:rPr>
          <w:lang w:val="en-GB" w:eastAsia="ja-JP"/>
        </w:rPr>
        <w:t>,</w:t>
      </w:r>
      <w:r w:rsidR="2BF8CC5B" w:rsidRPr="004E70CE">
        <w:rPr>
          <w:lang w:val="en-GB" w:eastAsia="ja-JP"/>
        </w:rPr>
        <w:t xml:space="preserve"> including establishing the criteria for any future policy action in a manner that can preserve Australia’s climate and trade policy objectives.</w:t>
      </w:r>
    </w:p>
    <w:p w14:paraId="218EEB74" w14:textId="77777777" w:rsidR="00404BE4" w:rsidRPr="004E70CE" w:rsidRDefault="00D4083B" w:rsidP="0084671A">
      <w:pPr>
        <w:pStyle w:val="Heading3"/>
        <w:ind w:left="851" w:hanging="851"/>
        <w:rPr>
          <w:sz w:val="32"/>
          <w:szCs w:val="20"/>
          <w:lang w:eastAsia="ja-JP"/>
        </w:rPr>
      </w:pPr>
      <w:bookmarkStart w:id="6" w:name="_Toc173997652"/>
      <w:r w:rsidRPr="004E70CE">
        <w:rPr>
          <w:sz w:val="32"/>
          <w:szCs w:val="20"/>
          <w:lang w:eastAsia="ja-JP"/>
        </w:rPr>
        <w:t xml:space="preserve">What is </w:t>
      </w:r>
      <w:r w:rsidR="00BD3A8A" w:rsidRPr="004E70CE">
        <w:rPr>
          <w:sz w:val="32"/>
          <w:szCs w:val="20"/>
          <w:lang w:eastAsia="ja-JP"/>
        </w:rPr>
        <w:t>c</w:t>
      </w:r>
      <w:r w:rsidRPr="004E70CE">
        <w:rPr>
          <w:sz w:val="32"/>
          <w:szCs w:val="20"/>
          <w:lang w:eastAsia="ja-JP"/>
        </w:rPr>
        <w:t xml:space="preserve">arbon </w:t>
      </w:r>
      <w:r w:rsidR="00BD3A8A" w:rsidRPr="004E70CE">
        <w:rPr>
          <w:sz w:val="32"/>
          <w:szCs w:val="20"/>
          <w:lang w:eastAsia="ja-JP"/>
        </w:rPr>
        <w:t>l</w:t>
      </w:r>
      <w:r w:rsidRPr="004E70CE">
        <w:rPr>
          <w:sz w:val="32"/>
          <w:szCs w:val="20"/>
          <w:lang w:eastAsia="ja-JP"/>
        </w:rPr>
        <w:t>eakage?</w:t>
      </w:r>
      <w:bookmarkEnd w:id="6"/>
    </w:p>
    <w:p w14:paraId="02EB7B37" w14:textId="77777777" w:rsidR="007E381C" w:rsidRPr="004E70CE" w:rsidRDefault="00D4083B" w:rsidP="00773DA8">
      <w:r w:rsidRPr="004E70CE">
        <w:t>Carbon leakage refers to shifts in the production of emissions</w:t>
      </w:r>
      <w:r w:rsidR="00AB39AA" w:rsidRPr="004E70CE">
        <w:t>-</w:t>
      </w:r>
      <w:r w:rsidRPr="004E70CE">
        <w:t>intensive trade</w:t>
      </w:r>
      <w:r w:rsidR="00AB39AA" w:rsidRPr="004E70CE">
        <w:t>-</w:t>
      </w:r>
      <w:r w:rsidRPr="004E70CE">
        <w:t xml:space="preserve">exposed </w:t>
      </w:r>
      <w:r w:rsidR="00021B12" w:rsidRPr="004E70CE">
        <w:t>commodities</w:t>
      </w:r>
      <w:r w:rsidRPr="004E70CE">
        <w:t xml:space="preserve"> from countries with more ambitious emissions reduction policies to those with weaker (or no) emissions reduction policies</w:t>
      </w:r>
      <w:r w:rsidR="0049620F" w:rsidRPr="004E70CE">
        <w:t>,</w:t>
      </w:r>
      <w:r w:rsidRPr="004E70CE">
        <w:t xml:space="preserve"> due only to differences in policy stringency across countries.</w:t>
      </w:r>
    </w:p>
    <w:p w14:paraId="1EE297B1" w14:textId="77777777" w:rsidR="00D4083B" w:rsidRPr="004E70CE" w:rsidRDefault="00680EAB" w:rsidP="00773DA8">
      <w:r w:rsidRPr="004E70CE">
        <w:t xml:space="preserve">Following </w:t>
      </w:r>
      <w:r w:rsidR="00D4083B" w:rsidRPr="004E70CE">
        <w:t>this definition, changes in production that occur due to other factors</w:t>
      </w:r>
      <w:r w:rsidR="0049620F" w:rsidRPr="004E70CE">
        <w:t>,</w:t>
      </w:r>
      <w:r w:rsidR="00D4083B" w:rsidRPr="004E70CE">
        <w:t xml:space="preserve"> such as differences in production costs or differences in emissions intensity under equal climate policy treatment</w:t>
      </w:r>
      <w:r w:rsidR="0049620F" w:rsidRPr="004E70CE">
        <w:t>,</w:t>
      </w:r>
      <w:r w:rsidR="00D4083B" w:rsidRPr="004E70CE">
        <w:t xml:space="preserve"> are not carbon leakage.</w:t>
      </w:r>
    </w:p>
    <w:p w14:paraId="75E2294E" w14:textId="77777777" w:rsidR="00D4083B" w:rsidRPr="004E70CE" w:rsidRDefault="00D4083B" w:rsidP="00773DA8">
      <w:r w:rsidRPr="004E70CE">
        <w:t xml:space="preserve">Carbon leakage can occur via two channels: </w:t>
      </w:r>
    </w:p>
    <w:p w14:paraId="00579B89" w14:textId="77777777" w:rsidR="00D4083B" w:rsidRPr="004E70CE" w:rsidRDefault="00D4083B" w:rsidP="00773DA8">
      <w:pPr>
        <w:pStyle w:val="ListParagraph"/>
        <w:numPr>
          <w:ilvl w:val="0"/>
          <w:numId w:val="17"/>
        </w:numPr>
        <w:spacing w:line="276" w:lineRule="auto"/>
      </w:pPr>
      <w:r w:rsidRPr="004E70CE">
        <w:rPr>
          <w:i/>
        </w:rPr>
        <w:t>Trade channel:</w:t>
      </w:r>
      <w:r w:rsidRPr="004E70CE">
        <w:t xml:space="preserve"> domestic climate policies can lead to increased domestic production costs, creating a cost advantage for traded products from jurisdictions with no or less stringent climate policies. </w:t>
      </w:r>
    </w:p>
    <w:p w14:paraId="3BF69689" w14:textId="77777777" w:rsidR="00D4083B" w:rsidRPr="004E70CE" w:rsidRDefault="00D4083B" w:rsidP="00773DA8">
      <w:pPr>
        <w:pStyle w:val="ListParagraph"/>
        <w:numPr>
          <w:ilvl w:val="0"/>
          <w:numId w:val="17"/>
        </w:numPr>
        <w:spacing w:after="200" w:line="276" w:lineRule="auto"/>
        <w:contextualSpacing/>
      </w:pPr>
      <w:r w:rsidRPr="004E70CE">
        <w:rPr>
          <w:i/>
        </w:rPr>
        <w:t>Investment channel:</w:t>
      </w:r>
      <w:r w:rsidRPr="004E70CE">
        <w:t xml:space="preserve"> </w:t>
      </w:r>
      <w:r w:rsidR="008229E2" w:rsidRPr="004E70CE">
        <w:t>current or expected</w:t>
      </w:r>
      <w:r w:rsidRPr="004E70CE">
        <w:t xml:space="preserve"> future policy differences can lead new investments to </w:t>
      </w:r>
      <w:r w:rsidR="008229E2" w:rsidRPr="004E70CE">
        <w:t>shift</w:t>
      </w:r>
      <w:r w:rsidRPr="004E70CE">
        <w:t xml:space="preserve"> towards countries with less stringent policies. </w:t>
      </w:r>
    </w:p>
    <w:p w14:paraId="7DF9CF59" w14:textId="77777777" w:rsidR="0081407F" w:rsidRPr="004E70CE" w:rsidRDefault="0081407F" w:rsidP="00773DA8">
      <w:pPr>
        <w:rPr>
          <w:rFonts w:ascii="Calibri" w:eastAsia="Cambria" w:hAnsi="Calibri" w:cs="Calibri"/>
          <w:lang w:eastAsia="en-AU"/>
        </w:rPr>
      </w:pPr>
      <w:r w:rsidRPr="004E70CE">
        <w:rPr>
          <w:rFonts w:ascii="Calibri" w:hAnsi="Calibri" w:cs="Calibri"/>
          <w:lang w:eastAsia="ja-JP"/>
        </w:rPr>
        <w:lastRenderedPageBreak/>
        <w:t xml:space="preserve">Carbon leakage could hinder the achievement of global net zero emissions. </w:t>
      </w:r>
      <w:r w:rsidR="00441970" w:rsidRPr="004E70CE">
        <w:rPr>
          <w:rFonts w:ascii="Calibri" w:hAnsi="Calibri" w:cs="Calibri"/>
          <w:lang w:eastAsia="ja-JP"/>
        </w:rPr>
        <w:t xml:space="preserve">A high </w:t>
      </w:r>
      <w:r w:rsidR="00C60E6B" w:rsidRPr="004E70CE">
        <w:rPr>
          <w:rFonts w:ascii="Calibri" w:hAnsi="Calibri" w:cs="Calibri"/>
          <w:lang w:eastAsia="ja-JP"/>
        </w:rPr>
        <w:t>amount</w:t>
      </w:r>
      <w:r w:rsidR="00441970" w:rsidRPr="004E70CE">
        <w:rPr>
          <w:rFonts w:ascii="Calibri" w:hAnsi="Calibri" w:cs="Calibri"/>
          <w:lang w:eastAsia="ja-JP"/>
        </w:rPr>
        <w:t xml:space="preserve"> of</w:t>
      </w:r>
      <w:r w:rsidR="00EE6903" w:rsidRPr="004E70CE">
        <w:rPr>
          <w:rFonts w:ascii="Calibri" w:hAnsi="Calibri" w:cs="Calibri"/>
          <w:lang w:eastAsia="ja-JP"/>
        </w:rPr>
        <w:t xml:space="preserve"> c</w:t>
      </w:r>
      <w:r w:rsidR="00DE0494" w:rsidRPr="004E70CE">
        <w:rPr>
          <w:rFonts w:ascii="Calibri" w:hAnsi="Calibri" w:cs="Calibri"/>
          <w:lang w:eastAsia="ja-JP"/>
        </w:rPr>
        <w:t>arbon leakage</w:t>
      </w:r>
      <w:r w:rsidR="00BE3BA4" w:rsidRPr="004E70CE">
        <w:rPr>
          <w:rFonts w:ascii="Calibri" w:hAnsi="Calibri" w:cs="Calibri"/>
          <w:lang w:eastAsia="ja-JP"/>
        </w:rPr>
        <w:t xml:space="preserve"> </w:t>
      </w:r>
      <w:r w:rsidR="00441970" w:rsidRPr="004E70CE">
        <w:rPr>
          <w:rFonts w:ascii="Calibri" w:hAnsi="Calibri" w:cs="Calibri"/>
          <w:lang w:eastAsia="ja-JP"/>
        </w:rPr>
        <w:t xml:space="preserve">over time </w:t>
      </w:r>
      <w:r w:rsidR="00EE6903" w:rsidRPr="004E70CE">
        <w:rPr>
          <w:rFonts w:ascii="Calibri" w:hAnsi="Calibri" w:cs="Calibri"/>
          <w:lang w:eastAsia="ja-JP"/>
        </w:rPr>
        <w:t>w</w:t>
      </w:r>
      <w:r w:rsidRPr="004E70CE">
        <w:rPr>
          <w:rFonts w:ascii="Calibri" w:hAnsi="Calibri" w:cs="Calibri"/>
          <w:lang w:eastAsia="ja-JP"/>
        </w:rPr>
        <w:t xml:space="preserve">ould see emissions </w:t>
      </w:r>
      <w:r w:rsidR="005678AB" w:rsidRPr="004E70CE">
        <w:rPr>
          <w:rFonts w:ascii="Calibri" w:hAnsi="Calibri" w:cs="Calibri"/>
          <w:lang w:eastAsia="ja-JP"/>
        </w:rPr>
        <w:t xml:space="preserve">reduction </w:t>
      </w:r>
      <w:r w:rsidRPr="004E70CE">
        <w:rPr>
          <w:rFonts w:ascii="Calibri" w:hAnsi="Calibri" w:cs="Calibri"/>
          <w:lang w:eastAsia="ja-JP"/>
        </w:rPr>
        <w:t xml:space="preserve">in </w:t>
      </w:r>
      <w:r w:rsidR="00EC50C6" w:rsidRPr="004E70CE">
        <w:rPr>
          <w:rFonts w:ascii="Calibri" w:hAnsi="Calibri" w:cs="Calibri"/>
          <w:lang w:eastAsia="ja-JP"/>
        </w:rPr>
        <w:t xml:space="preserve">a country with more stringent </w:t>
      </w:r>
      <w:r w:rsidR="005678AB" w:rsidRPr="004E70CE">
        <w:rPr>
          <w:rFonts w:ascii="Calibri" w:hAnsi="Calibri" w:cs="Calibri"/>
        </w:rPr>
        <w:t xml:space="preserve">climate policies </w:t>
      </w:r>
      <w:r w:rsidRPr="004E70CE">
        <w:rPr>
          <w:rFonts w:ascii="Calibri" w:hAnsi="Calibri" w:cs="Calibri"/>
          <w:lang w:eastAsia="ja-JP"/>
        </w:rPr>
        <w:t xml:space="preserve">being offset or exceeded by emissions increases overseas due to shifts in production. </w:t>
      </w:r>
      <w:r w:rsidR="006670CE" w:rsidRPr="004E70CE">
        <w:rPr>
          <w:rFonts w:ascii="Calibri" w:hAnsi="Calibri" w:cs="Calibri"/>
          <w:lang w:eastAsia="ja-JP"/>
        </w:rPr>
        <w:t>I</w:t>
      </w:r>
      <w:r w:rsidR="004C43E7" w:rsidRPr="004E70CE">
        <w:rPr>
          <w:rFonts w:ascii="Calibri" w:hAnsi="Calibri" w:cs="Calibri"/>
          <w:lang w:eastAsia="ja-JP"/>
        </w:rPr>
        <w:t xml:space="preserve">t could </w:t>
      </w:r>
      <w:r w:rsidR="006670CE" w:rsidRPr="004E70CE">
        <w:rPr>
          <w:rFonts w:ascii="Calibri" w:hAnsi="Calibri" w:cs="Calibri"/>
          <w:lang w:eastAsia="ja-JP"/>
        </w:rPr>
        <w:t>also</w:t>
      </w:r>
      <w:r w:rsidR="004C43E7" w:rsidRPr="004E70CE">
        <w:rPr>
          <w:rFonts w:ascii="Calibri" w:hAnsi="Calibri" w:cs="Calibri"/>
          <w:lang w:eastAsia="ja-JP"/>
        </w:rPr>
        <w:t xml:space="preserve"> undermine the economic, social and political foundations needed for sustained, effective and ambitious climate policy.</w:t>
      </w:r>
    </w:p>
    <w:p w14:paraId="73947FCA" w14:textId="77777777" w:rsidR="00D4083B" w:rsidRPr="004E70CE" w:rsidRDefault="00D4083B" w:rsidP="00773DA8">
      <w:pPr>
        <w:rPr>
          <w:rFonts w:ascii="Calibri" w:hAnsi="Calibri" w:cs="Calibri"/>
        </w:rPr>
      </w:pPr>
      <w:r w:rsidRPr="004E70CE">
        <w:rPr>
          <w:rFonts w:ascii="Calibri" w:hAnsi="Calibri" w:cs="Calibri"/>
        </w:rPr>
        <w:t xml:space="preserve">Emissions reductions policies that apply to traded, emissions intensive </w:t>
      </w:r>
      <w:r w:rsidR="00021B12" w:rsidRPr="004E70CE">
        <w:rPr>
          <w:rFonts w:ascii="Calibri" w:hAnsi="Calibri" w:cs="Calibri"/>
        </w:rPr>
        <w:t>commodities</w:t>
      </w:r>
      <w:r w:rsidRPr="004E70CE">
        <w:rPr>
          <w:rFonts w:ascii="Calibri" w:hAnsi="Calibri" w:cs="Calibri"/>
        </w:rPr>
        <w:t xml:space="preserve"> are typically accompanied by dedicated measures to prevent or minimise leakage.</w:t>
      </w:r>
    </w:p>
    <w:p w14:paraId="22F76F55" w14:textId="77777777" w:rsidR="00D4083B" w:rsidRPr="004E70CE" w:rsidRDefault="633179DD" w:rsidP="00773DA8">
      <w:pPr>
        <w:rPr>
          <w:rFonts w:ascii="Calibri" w:hAnsi="Calibri" w:cs="Calibri"/>
        </w:rPr>
      </w:pPr>
      <w:r w:rsidRPr="004E70CE">
        <w:rPr>
          <w:rFonts w:ascii="Calibri" w:hAnsi="Calibri" w:cs="Calibri"/>
        </w:rPr>
        <w:t xml:space="preserve">Policies to address leakage risk give firms greater confidence to invest in low and zero emissions technologies and can pave the way for stronger domestic emissions reductions and </w:t>
      </w:r>
      <w:r w:rsidR="50CD04D9" w:rsidRPr="004E70CE">
        <w:rPr>
          <w:rFonts w:ascii="Calibri" w:hAnsi="Calibri" w:cs="Calibri"/>
        </w:rPr>
        <w:t>investment in</w:t>
      </w:r>
      <w:r w:rsidRPr="004E70CE">
        <w:rPr>
          <w:rFonts w:ascii="Calibri" w:hAnsi="Calibri" w:cs="Calibri"/>
        </w:rPr>
        <w:t xml:space="preserve"> clean production capacity. </w:t>
      </w:r>
    </w:p>
    <w:p w14:paraId="0976C89A" w14:textId="77777777" w:rsidR="006D5F4A" w:rsidRPr="004E70CE" w:rsidRDefault="006D5F4A" w:rsidP="0084671A">
      <w:pPr>
        <w:pStyle w:val="Heading3"/>
        <w:ind w:left="851" w:hanging="851"/>
        <w:rPr>
          <w:sz w:val="32"/>
          <w:szCs w:val="20"/>
          <w:lang w:eastAsia="ja-JP"/>
        </w:rPr>
      </w:pPr>
      <w:bookmarkStart w:id="7" w:name="_Toc173997653"/>
      <w:r w:rsidRPr="004E70CE">
        <w:rPr>
          <w:sz w:val="32"/>
          <w:szCs w:val="20"/>
          <w:lang w:eastAsia="ja-JP"/>
        </w:rPr>
        <w:t>About the Review</w:t>
      </w:r>
      <w:bookmarkEnd w:id="7"/>
    </w:p>
    <w:p w14:paraId="2CFA82AE" w14:textId="59745855" w:rsidR="00475275" w:rsidRPr="004E70CE" w:rsidRDefault="7D1647AD" w:rsidP="00637461">
      <w:r w:rsidRPr="004E70CE">
        <w:t xml:space="preserve">The </w:t>
      </w:r>
      <w:r w:rsidR="134F6F10" w:rsidRPr="004E70CE">
        <w:t xml:space="preserve">Review </w:t>
      </w:r>
      <w:r w:rsidRPr="004E70CE">
        <w:t>originates from the reform</w:t>
      </w:r>
      <w:r w:rsidR="156E8A5F" w:rsidRPr="004E70CE">
        <w:t xml:space="preserve">s to </w:t>
      </w:r>
      <w:r w:rsidR="54E7CED1" w:rsidRPr="004E70CE">
        <w:t>Australia</w:t>
      </w:r>
      <w:r w:rsidR="00405F19" w:rsidRPr="004E70CE">
        <w:t xml:space="preserve">’s </w:t>
      </w:r>
      <w:r w:rsidRPr="004E70CE">
        <w:t>Safeguard Mechanism</w:t>
      </w:r>
      <w:r w:rsidR="0049620F" w:rsidRPr="004E70CE">
        <w:t>,</w:t>
      </w:r>
      <w:r w:rsidRPr="004E70CE">
        <w:t xml:space="preserve"> which came into effect on 1 July 2023. During the reform process</w:t>
      </w:r>
      <w:r w:rsidR="00B70A34" w:rsidRPr="004E70CE">
        <w:t>,</w:t>
      </w:r>
      <w:r w:rsidRPr="004E70CE">
        <w:t xml:space="preserve"> stakeholder feedback was received on additional policies to address carbon leakage risks over the long</w:t>
      </w:r>
      <w:r w:rsidR="00B70A34" w:rsidRPr="004E70CE">
        <w:t>-</w:t>
      </w:r>
      <w:r w:rsidRPr="004E70CE">
        <w:t xml:space="preserve">term. As part of the final reform package for the Safeguard Mechanism, the </w:t>
      </w:r>
      <w:r w:rsidR="009424BA" w:rsidRPr="004E70CE">
        <w:t>government</w:t>
      </w:r>
      <w:r w:rsidRPr="004E70CE">
        <w:t xml:space="preserve"> announced measures to address leakage</w:t>
      </w:r>
      <w:r w:rsidR="0BBCCC30" w:rsidRPr="004E70CE">
        <w:t xml:space="preserve"> and </w:t>
      </w:r>
      <w:r w:rsidRPr="004E70CE">
        <w:t xml:space="preserve">a commitment to undertake </w:t>
      </w:r>
      <w:r w:rsidR="66100D61" w:rsidRPr="004E70CE">
        <w:t>the</w:t>
      </w:r>
      <w:r w:rsidRPr="004E70CE">
        <w:t xml:space="preserve"> Review.</w:t>
      </w:r>
      <w:r w:rsidR="00475275" w:rsidRPr="004E70CE">
        <w:rPr>
          <w:rStyle w:val="FootnoteReference"/>
        </w:rPr>
        <w:footnoteReference w:id="9"/>
      </w:r>
      <w:r w:rsidRPr="004E70CE">
        <w:t xml:space="preserve"> </w:t>
      </w:r>
    </w:p>
    <w:p w14:paraId="217412AC" w14:textId="77777777" w:rsidR="00475275" w:rsidRPr="004E70CE" w:rsidRDefault="7D1647AD" w:rsidP="00637461">
      <w:r w:rsidRPr="004E70CE">
        <w:t xml:space="preserve">The </w:t>
      </w:r>
      <w:r w:rsidR="134F6F10" w:rsidRPr="004E70CE">
        <w:t>R</w:t>
      </w:r>
      <w:r w:rsidRPr="004E70CE">
        <w:t xml:space="preserve">eview’s scope includes an assessment of carbon leakage risks, </w:t>
      </w:r>
      <w:r w:rsidR="404F5B2F" w:rsidRPr="004E70CE">
        <w:t xml:space="preserve">current and potential </w:t>
      </w:r>
      <w:r w:rsidRPr="004E70CE">
        <w:t xml:space="preserve">policy options to address carbon leakage, and </w:t>
      </w:r>
      <w:r w:rsidR="35BE597A" w:rsidRPr="004E70CE">
        <w:t xml:space="preserve">assessment of </w:t>
      </w:r>
      <w:r w:rsidRPr="004E70CE">
        <w:t xml:space="preserve">the feasibility of </w:t>
      </w:r>
      <w:r w:rsidR="35BE597A" w:rsidRPr="004E70CE">
        <w:t xml:space="preserve">different policy options including </w:t>
      </w:r>
      <w:r w:rsidRPr="004E70CE">
        <w:t xml:space="preserve">a potential Australian border </w:t>
      </w:r>
      <w:r w:rsidR="0031573E" w:rsidRPr="004E70CE">
        <w:t xml:space="preserve">carbon </w:t>
      </w:r>
      <w:r w:rsidRPr="004E70CE">
        <w:t xml:space="preserve">adjustment </w:t>
      </w:r>
      <w:r w:rsidR="00164E22" w:rsidRPr="004E70CE">
        <w:t xml:space="preserve">(BCA) </w:t>
      </w:r>
      <w:r w:rsidRPr="004E70CE">
        <w:t>mechanism, particularly for steel and cement.</w:t>
      </w:r>
      <w:r w:rsidR="003C2697" w:rsidRPr="004E70CE">
        <w:rPr>
          <w:rStyle w:val="FootnoteReference"/>
        </w:rPr>
        <w:footnoteReference w:id="10"/>
      </w:r>
      <w:r w:rsidRPr="004E70CE">
        <w:t xml:space="preserve"> </w:t>
      </w:r>
    </w:p>
    <w:p w14:paraId="0695EFC8" w14:textId="5A386464" w:rsidR="00475275" w:rsidRPr="004E70CE" w:rsidRDefault="00475275" w:rsidP="00637461">
      <w:r w:rsidRPr="004E70CE">
        <w:t xml:space="preserve">The Review </w:t>
      </w:r>
      <w:r w:rsidR="001F0F95" w:rsidRPr="004E70CE">
        <w:t>i</w:t>
      </w:r>
      <w:r w:rsidRPr="004E70CE">
        <w:t>s being undertaken by the Department of Climate Change, Energy, the Environment and Water (</w:t>
      </w:r>
      <w:r w:rsidR="00AA0205" w:rsidRPr="004E70CE">
        <w:t>the Department</w:t>
      </w:r>
      <w:r w:rsidRPr="004E70CE">
        <w:t xml:space="preserve">) and led by Professor Frank Jotzo. </w:t>
      </w:r>
      <w:r w:rsidR="00896DDA" w:rsidRPr="004E70CE">
        <w:rPr>
          <w:lang w:eastAsia="ja-JP"/>
        </w:rPr>
        <w:t>The Review’s preliminary findings have not yet been considered by government and do not reflect government policy on the matters being reviewed.</w:t>
      </w:r>
      <w:r w:rsidR="00896DDA" w:rsidRPr="004E70CE" w:rsidDel="00896DDA">
        <w:t xml:space="preserve"> </w:t>
      </w:r>
      <w:r w:rsidR="0008036B" w:rsidRPr="004E70CE">
        <w:t xml:space="preserve">Following consultation on the basis of this paper, the </w:t>
      </w:r>
      <w:r w:rsidRPr="004E70CE">
        <w:t>Review</w:t>
      </w:r>
      <w:r w:rsidR="007F0894" w:rsidRPr="004E70CE">
        <w:t xml:space="preserve"> </w:t>
      </w:r>
      <w:r w:rsidRPr="004E70CE">
        <w:t xml:space="preserve">will </w:t>
      </w:r>
      <w:r w:rsidR="0008036B" w:rsidRPr="004E70CE">
        <w:t xml:space="preserve">make recommendations to </w:t>
      </w:r>
      <w:r w:rsidR="00BF5A22" w:rsidRPr="004E70CE">
        <w:t xml:space="preserve">the </w:t>
      </w:r>
      <w:r w:rsidR="009424BA" w:rsidRPr="004E70CE">
        <w:t>government</w:t>
      </w:r>
      <w:r w:rsidR="00725B2A" w:rsidRPr="004E70CE">
        <w:t xml:space="preserve"> </w:t>
      </w:r>
      <w:r w:rsidRPr="004E70CE">
        <w:t xml:space="preserve">by </w:t>
      </w:r>
      <w:r w:rsidR="00AA1905">
        <w:t xml:space="preserve">the end of </w:t>
      </w:r>
      <w:r w:rsidRPr="004E70CE">
        <w:t xml:space="preserve">2024. </w:t>
      </w:r>
      <w:r w:rsidR="00041A7B" w:rsidRPr="004E70CE">
        <w:t xml:space="preserve">The </w:t>
      </w:r>
      <w:r w:rsidR="00871D80" w:rsidRPr="004E70CE">
        <w:t>g</w:t>
      </w:r>
      <w:r w:rsidR="00041A7B" w:rsidRPr="004E70CE">
        <w:t xml:space="preserve">overnment will consider the findings of the Review following the completion of the final report. </w:t>
      </w:r>
    </w:p>
    <w:p w14:paraId="411C76D1" w14:textId="68EF92AB" w:rsidR="00475275" w:rsidRPr="004E70CE" w:rsidRDefault="00171521" w:rsidP="00475275">
      <w:pPr>
        <w:pStyle w:val="ListParagraph"/>
        <w:keepNext/>
        <w:spacing w:before="240"/>
        <w:ind w:left="0"/>
      </w:pPr>
      <w:r w:rsidRPr="00171521">
        <w:drawing>
          <wp:inline distT="0" distB="0" distL="0" distR="0" wp14:anchorId="49DA89E1" wp14:editId="34564D3A">
            <wp:extent cx="5759450" cy="929005"/>
            <wp:effectExtent l="0" t="0" r="0" b="4445"/>
            <wp:docPr id="904645003" name="Picture 1" descr="A green and white arrow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645003" name="Picture 1" descr="A green and white arrows with black text&#10;&#10;Description automatically generated"/>
                    <pic:cNvPicPr/>
                  </pic:nvPicPr>
                  <pic:blipFill>
                    <a:blip r:embed="rId17"/>
                    <a:stretch>
                      <a:fillRect/>
                    </a:stretch>
                  </pic:blipFill>
                  <pic:spPr>
                    <a:xfrm>
                      <a:off x="0" y="0"/>
                      <a:ext cx="5759450" cy="929005"/>
                    </a:xfrm>
                    <a:prstGeom prst="rect">
                      <a:avLst/>
                    </a:prstGeom>
                  </pic:spPr>
                </pic:pic>
              </a:graphicData>
            </a:graphic>
          </wp:inline>
        </w:drawing>
      </w:r>
    </w:p>
    <w:p w14:paraId="7C06FB60" w14:textId="3D40C8D1" w:rsidR="00614DC7" w:rsidRPr="004E70CE" w:rsidRDefault="00475275" w:rsidP="00920E25">
      <w:pPr>
        <w:pStyle w:val="Caption"/>
        <w:spacing w:before="120" w:after="200"/>
        <w:rPr>
          <w:sz w:val="20"/>
          <w:szCs w:val="20"/>
        </w:rPr>
      </w:pPr>
      <w:r w:rsidRPr="004E70CE">
        <w:rPr>
          <w:sz w:val="20"/>
          <w:szCs w:val="20"/>
        </w:rPr>
        <w:t xml:space="preserve">Figure </w:t>
      </w:r>
      <w:r w:rsidRPr="004E70CE">
        <w:rPr>
          <w:sz w:val="20"/>
          <w:szCs w:val="20"/>
        </w:rPr>
        <w:fldChar w:fldCharType="begin"/>
      </w:r>
      <w:r w:rsidRPr="004E70CE">
        <w:rPr>
          <w:sz w:val="20"/>
          <w:szCs w:val="20"/>
        </w:rPr>
        <w:instrText xml:space="preserve"> SEQ Figure \* ARABIC </w:instrText>
      </w:r>
      <w:r w:rsidRPr="004E70CE">
        <w:rPr>
          <w:sz w:val="20"/>
          <w:szCs w:val="20"/>
        </w:rPr>
        <w:fldChar w:fldCharType="separate"/>
      </w:r>
      <w:r w:rsidR="00155E96">
        <w:rPr>
          <w:noProof/>
          <w:sz w:val="20"/>
          <w:szCs w:val="20"/>
        </w:rPr>
        <w:t>1</w:t>
      </w:r>
      <w:r w:rsidRPr="004E70CE">
        <w:rPr>
          <w:noProof/>
          <w:sz w:val="20"/>
          <w:szCs w:val="20"/>
        </w:rPr>
        <w:fldChar w:fldCharType="end"/>
      </w:r>
      <w:r w:rsidRPr="004E70CE">
        <w:rPr>
          <w:sz w:val="20"/>
          <w:szCs w:val="20"/>
        </w:rPr>
        <w:t>: Timeline for the Review.</w:t>
      </w:r>
    </w:p>
    <w:p w14:paraId="370D261A" w14:textId="77777777" w:rsidR="004C289E" w:rsidRDefault="004C289E">
      <w:pPr>
        <w:spacing w:after="0" w:line="240" w:lineRule="auto"/>
        <w:rPr>
          <w:rFonts w:ascii="Calibri" w:eastAsia="Times New Roman" w:hAnsi="Calibri" w:cs="Times New Roman"/>
          <w:b/>
          <w:bCs/>
          <w:sz w:val="32"/>
          <w:szCs w:val="20"/>
          <w:lang w:eastAsia="ja-JP"/>
        </w:rPr>
      </w:pPr>
      <w:bookmarkStart w:id="8" w:name="_Toc173997654"/>
      <w:r>
        <w:rPr>
          <w:sz w:val="32"/>
          <w:szCs w:val="20"/>
          <w:lang w:eastAsia="ja-JP"/>
        </w:rPr>
        <w:br w:type="page"/>
      </w:r>
    </w:p>
    <w:p w14:paraId="32E68EB5" w14:textId="6B910F84" w:rsidR="00491EF2" w:rsidRPr="004E70CE" w:rsidRDefault="00491EF2" w:rsidP="009432DA">
      <w:pPr>
        <w:pStyle w:val="Heading3"/>
        <w:spacing w:line="276" w:lineRule="auto"/>
        <w:ind w:left="851" w:hanging="851"/>
        <w:rPr>
          <w:sz w:val="32"/>
          <w:szCs w:val="20"/>
          <w:lang w:eastAsia="ja-JP"/>
        </w:rPr>
      </w:pPr>
      <w:r w:rsidRPr="004E70CE">
        <w:rPr>
          <w:sz w:val="32"/>
          <w:szCs w:val="20"/>
          <w:lang w:eastAsia="ja-JP"/>
        </w:rPr>
        <w:lastRenderedPageBreak/>
        <w:t>Engagement to date</w:t>
      </w:r>
      <w:bookmarkEnd w:id="8"/>
    </w:p>
    <w:p w14:paraId="51FD80E8" w14:textId="77777777" w:rsidR="00E94E6D" w:rsidRPr="004E70CE" w:rsidRDefault="05D2E6FB" w:rsidP="009432DA">
      <w:r w:rsidRPr="004E70CE">
        <w:t xml:space="preserve">The Review has been consulting with a range of stakeholders including industry and international trade partners, as well as </w:t>
      </w:r>
      <w:r w:rsidR="67B8F3FC" w:rsidRPr="004E70CE">
        <w:t>NGOs and think tanks</w:t>
      </w:r>
      <w:r w:rsidRPr="004E70CE">
        <w:t xml:space="preserve">, research experts, and the </w:t>
      </w:r>
      <w:r w:rsidR="63E6F632" w:rsidRPr="004E70CE">
        <w:t>broader community</w:t>
      </w:r>
      <w:r w:rsidRPr="004E70CE">
        <w:t xml:space="preserve">. </w:t>
      </w:r>
      <w:r w:rsidR="0CAB717E" w:rsidRPr="004E70CE">
        <w:t xml:space="preserve">In response to the </w:t>
      </w:r>
      <w:r w:rsidR="0034490C" w:rsidRPr="004E70CE">
        <w:t>first c</w:t>
      </w:r>
      <w:r w:rsidR="7E936503" w:rsidRPr="004E70CE">
        <w:t>onsultation</w:t>
      </w:r>
      <w:r w:rsidR="563E85F1" w:rsidRPr="004E70CE">
        <w:t xml:space="preserve"> </w:t>
      </w:r>
      <w:r w:rsidR="0034490C" w:rsidRPr="004E70CE">
        <w:t>p</w:t>
      </w:r>
      <w:r w:rsidR="1C2EBB9C" w:rsidRPr="004E70CE">
        <w:t>aper released in November 2023</w:t>
      </w:r>
      <w:r w:rsidR="3F824FCB" w:rsidRPr="004E70CE">
        <w:t>, t</w:t>
      </w:r>
      <w:r w:rsidR="426CDA49" w:rsidRPr="004E70CE">
        <w:t xml:space="preserve">he </w:t>
      </w:r>
      <w:r w:rsidR="0CAB717E" w:rsidRPr="004E70CE">
        <w:t xml:space="preserve">Review </w:t>
      </w:r>
      <w:r w:rsidR="426CDA49" w:rsidRPr="004E70CE">
        <w:t xml:space="preserve">received 77 </w:t>
      </w:r>
      <w:r w:rsidR="60FB8621" w:rsidRPr="004E70CE">
        <w:t xml:space="preserve">submissions </w:t>
      </w:r>
      <w:r w:rsidR="402D2BE0" w:rsidRPr="004E70CE">
        <w:t xml:space="preserve">from businesses, industry associations, </w:t>
      </w:r>
      <w:r w:rsidR="21067FE6" w:rsidRPr="004E70CE">
        <w:t xml:space="preserve">academics, unions </w:t>
      </w:r>
      <w:r w:rsidR="4182F277" w:rsidRPr="004E70CE">
        <w:t>and private individuals.</w:t>
      </w:r>
      <w:r w:rsidR="002A315D" w:rsidRPr="004E70CE">
        <w:rPr>
          <w:vertAlign w:val="superscript"/>
        </w:rPr>
        <w:footnoteReference w:id="11"/>
      </w:r>
      <w:r w:rsidR="4182F277" w:rsidRPr="004E70CE">
        <w:t xml:space="preserve"> </w:t>
      </w:r>
      <w:r w:rsidR="0CAB717E" w:rsidRPr="004E70CE">
        <w:t xml:space="preserve">Feedback was also </w:t>
      </w:r>
      <w:r w:rsidR="6AB1EE1A" w:rsidRPr="004E70CE">
        <w:t>received in meetings with stakeholders and in a webinar</w:t>
      </w:r>
      <w:r w:rsidR="7ED48691" w:rsidRPr="004E70CE">
        <w:t>.</w:t>
      </w:r>
    </w:p>
    <w:p w14:paraId="0547253E" w14:textId="50586098" w:rsidR="008F1C24" w:rsidRPr="004E70CE" w:rsidRDefault="790A5F42" w:rsidP="009432DA">
      <w:r w:rsidRPr="004E70CE">
        <w:t>The Review has engaged with international partners, including government, industry and other stakeholders.</w:t>
      </w:r>
      <w:r w:rsidR="000D1BFD" w:rsidRPr="004E70CE">
        <w:t xml:space="preserve"> </w:t>
      </w:r>
      <w:r w:rsidR="01A9335F" w:rsidRPr="004E70CE">
        <w:t xml:space="preserve">The Review </w:t>
      </w:r>
      <w:r w:rsidR="003A1FCC" w:rsidRPr="004E70CE">
        <w:t xml:space="preserve">has </w:t>
      </w:r>
      <w:r w:rsidR="01A9335F" w:rsidRPr="004E70CE">
        <w:t xml:space="preserve">directly engaged with stakeholders in Canada, China, the European Union, India, Indonesia, Japan, </w:t>
      </w:r>
      <w:r w:rsidR="003F7A44" w:rsidRPr="004E70CE">
        <w:t xml:space="preserve">South </w:t>
      </w:r>
      <w:r w:rsidR="0FB258DD" w:rsidRPr="004E70CE">
        <w:t xml:space="preserve">Korea, </w:t>
      </w:r>
      <w:r w:rsidR="01A9335F" w:rsidRPr="004E70CE">
        <w:t xml:space="preserve">Malaysia, New Zealand, </w:t>
      </w:r>
      <w:r w:rsidR="71B843A1" w:rsidRPr="004E70CE">
        <w:t xml:space="preserve">Thailand, </w:t>
      </w:r>
      <w:r w:rsidR="003F7A44" w:rsidRPr="004E70CE">
        <w:t xml:space="preserve">the </w:t>
      </w:r>
      <w:r w:rsidR="01A9335F" w:rsidRPr="004E70CE">
        <w:t xml:space="preserve">United Kingdom, </w:t>
      </w:r>
      <w:r w:rsidR="003F7A44" w:rsidRPr="004E70CE">
        <w:t xml:space="preserve">the </w:t>
      </w:r>
      <w:r w:rsidR="01A9335F" w:rsidRPr="004E70CE">
        <w:t xml:space="preserve">United States and Vietnam. The Review has also engaged with international organisations including the World Trade Organisation (WTO), the Organisation for Economic Co-operation and Development (OECD) and the International Energy Agency (IEA). </w:t>
      </w:r>
      <w:r w:rsidR="0044009D" w:rsidRPr="004E70CE">
        <w:t>We welcome</w:t>
      </w:r>
      <w:r w:rsidR="5140FD21" w:rsidRPr="004E70CE">
        <w:t xml:space="preserve"> </w:t>
      </w:r>
      <w:r w:rsidR="3CB8563D" w:rsidRPr="004E70CE">
        <w:t>s</w:t>
      </w:r>
      <w:r w:rsidR="01A9335F" w:rsidRPr="004E70CE">
        <w:t xml:space="preserve">ubmissions to the Review </w:t>
      </w:r>
      <w:r w:rsidR="003677E8" w:rsidRPr="004E70CE">
        <w:t>from</w:t>
      </w:r>
      <w:r w:rsidR="01A9335F" w:rsidRPr="004E70CE">
        <w:t xml:space="preserve"> all </w:t>
      </w:r>
      <w:r w:rsidR="003677E8" w:rsidRPr="004E70CE">
        <w:t xml:space="preserve">international and domestic </w:t>
      </w:r>
      <w:r w:rsidR="01A9335F" w:rsidRPr="004E70CE">
        <w:t>stakeholders.</w:t>
      </w:r>
    </w:p>
    <w:p w14:paraId="156C70A7" w14:textId="77777777" w:rsidR="009432DA" w:rsidRPr="004E70CE" w:rsidRDefault="009432DA" w:rsidP="009432DA">
      <w:pPr>
        <w:pStyle w:val="Calloutbox"/>
        <w:shd w:val="clear" w:color="auto" w:fill="D7F5FA" w:themeFill="background2" w:themeFillTint="1A"/>
        <w:rPr>
          <w:b/>
          <w:lang w:eastAsia="ja-JP"/>
        </w:rPr>
      </w:pPr>
      <w:r w:rsidRPr="004E70CE">
        <w:rPr>
          <w:b/>
          <w:lang w:eastAsia="ja-JP"/>
        </w:rPr>
        <w:t>How to make a submission</w:t>
      </w:r>
    </w:p>
    <w:p w14:paraId="7C2A61D3" w14:textId="77777777" w:rsidR="009432DA" w:rsidRPr="004E70CE" w:rsidRDefault="00C02B0D" w:rsidP="00C44802">
      <w:pPr>
        <w:pStyle w:val="Calloutbox"/>
        <w:shd w:val="clear" w:color="auto" w:fill="D7F5FA" w:themeFill="background2" w:themeFillTint="1A"/>
        <w:spacing w:line="276" w:lineRule="auto"/>
        <w:rPr>
          <w:lang w:eastAsia="ja-JP"/>
        </w:rPr>
      </w:pPr>
      <w:r w:rsidRPr="004E70CE">
        <w:rPr>
          <w:lang w:eastAsia="ja-JP"/>
        </w:rPr>
        <w:t xml:space="preserve">This paper provides the Review’s analysis and preliminary findings for consultation. </w:t>
      </w:r>
      <w:r w:rsidR="009432DA" w:rsidRPr="004E70CE">
        <w:rPr>
          <w:lang w:eastAsia="ja-JP"/>
        </w:rPr>
        <w:t>Feedback is welcomed on the preliminary findings set out in this consultation paper, and any other matter raised in the paper.</w:t>
      </w:r>
    </w:p>
    <w:p w14:paraId="00F7CD79" w14:textId="3FB53FB1" w:rsidR="009432DA" w:rsidRPr="004E70CE" w:rsidRDefault="009432DA" w:rsidP="00C44802">
      <w:pPr>
        <w:pStyle w:val="Calloutbox"/>
        <w:shd w:val="clear" w:color="auto" w:fill="D7F5FA" w:themeFill="background2" w:themeFillTint="1A"/>
        <w:spacing w:line="276" w:lineRule="auto"/>
      </w:pPr>
      <w:r w:rsidRPr="004E70CE">
        <w:rPr>
          <w:lang w:eastAsia="ja-JP"/>
        </w:rPr>
        <w:t xml:space="preserve">Submissions to this consultation paper can be made via the Department’s Consultation Hub and by clicking the ’Make a Submission’ button. Submissions will be published online after the consultation closes. However, stakeholders may request that their submission is kept confidential and not published. The Department will also publish information on the outcome of the consultation on the Consultation Hub. This consultation will close on </w:t>
      </w:r>
      <w:r w:rsidR="00171521">
        <w:rPr>
          <w:lang w:eastAsia="ja-JP"/>
        </w:rPr>
        <w:t>3</w:t>
      </w:r>
      <w:r w:rsidR="006846C2" w:rsidRPr="00A71191">
        <w:rPr>
          <w:lang w:eastAsia="ja-JP"/>
        </w:rPr>
        <w:t xml:space="preserve"> December</w:t>
      </w:r>
      <w:r w:rsidR="00B23476" w:rsidRPr="00A71191">
        <w:rPr>
          <w:lang w:eastAsia="ja-JP"/>
        </w:rPr>
        <w:t xml:space="preserve"> </w:t>
      </w:r>
      <w:r w:rsidR="00CB5D32" w:rsidRPr="00A71191">
        <w:rPr>
          <w:lang w:eastAsia="ja-JP"/>
        </w:rPr>
        <w:t>2024</w:t>
      </w:r>
      <w:r w:rsidRPr="00A71191">
        <w:rPr>
          <w:lang w:eastAsia="ja-JP"/>
        </w:rPr>
        <w:t>.</w:t>
      </w:r>
    </w:p>
    <w:p w14:paraId="3D924B23" w14:textId="77777777" w:rsidR="004F7FD4" w:rsidRPr="004E70CE" w:rsidRDefault="004F7FD4" w:rsidP="009432DA">
      <w:pPr>
        <w:rPr>
          <w:lang w:eastAsia="ja-JP"/>
        </w:rPr>
      </w:pPr>
    </w:p>
    <w:p w14:paraId="30594FB0" w14:textId="77777777" w:rsidR="00A53D1B" w:rsidRPr="004E70CE" w:rsidRDefault="00A53D1B" w:rsidP="009432DA">
      <w:pPr>
        <w:pStyle w:val="Heading2"/>
        <w:spacing w:after="200" w:line="276" w:lineRule="auto"/>
      </w:pPr>
      <w:bookmarkStart w:id="9" w:name="_Toc173997655"/>
      <w:r w:rsidRPr="004E70CE">
        <w:lastRenderedPageBreak/>
        <w:t>Leakage under existing polic</w:t>
      </w:r>
      <w:r w:rsidR="00740E08" w:rsidRPr="004E70CE">
        <w:t>ies</w:t>
      </w:r>
      <w:bookmarkEnd w:id="9"/>
    </w:p>
    <w:p w14:paraId="6D52ED4C" w14:textId="77777777" w:rsidR="00BA4994" w:rsidRPr="004E70CE" w:rsidRDefault="00C63837" w:rsidP="009432DA">
      <w:pPr>
        <w:pStyle w:val="Heading3"/>
        <w:numPr>
          <w:ilvl w:val="1"/>
          <w:numId w:val="11"/>
        </w:numPr>
        <w:spacing w:line="276" w:lineRule="auto"/>
        <w:ind w:left="709" w:hanging="709"/>
        <w:rPr>
          <w:sz w:val="32"/>
          <w:szCs w:val="20"/>
        </w:rPr>
      </w:pPr>
      <w:bookmarkStart w:id="10" w:name="_Toc173997656"/>
      <w:r w:rsidRPr="004E70CE">
        <w:rPr>
          <w:sz w:val="32"/>
          <w:szCs w:val="20"/>
        </w:rPr>
        <w:t>The Safeguard Mechanism</w:t>
      </w:r>
      <w:bookmarkEnd w:id="10"/>
    </w:p>
    <w:p w14:paraId="21667F10" w14:textId="77777777" w:rsidR="00396C42" w:rsidRPr="004E70CE" w:rsidRDefault="00396C42" w:rsidP="009432DA">
      <w:pPr>
        <w:pStyle w:val="Calloutbox"/>
        <w:spacing w:after="200" w:line="276" w:lineRule="auto"/>
        <w:rPr>
          <w:b/>
          <w:bCs/>
        </w:rPr>
      </w:pPr>
      <w:r w:rsidRPr="004E70CE">
        <w:rPr>
          <w:b/>
          <w:bCs/>
        </w:rPr>
        <w:t>Preliminary findings</w:t>
      </w:r>
      <w:r w:rsidR="00327F3F" w:rsidRPr="004E70CE">
        <w:rPr>
          <w:b/>
          <w:bCs/>
        </w:rPr>
        <w:t xml:space="preserve"> for consultation</w:t>
      </w:r>
    </w:p>
    <w:p w14:paraId="7425456D" w14:textId="354C6C92" w:rsidR="004E5A2B" w:rsidRPr="004E70CE" w:rsidRDefault="004E5A2B" w:rsidP="009432DA">
      <w:pPr>
        <w:pStyle w:val="Calloutbox"/>
        <w:spacing w:after="200" w:line="276" w:lineRule="auto"/>
      </w:pPr>
      <w:r w:rsidRPr="004E70CE">
        <w:t xml:space="preserve">Current Safeguard Mechanism settings are effective at mitigating carbon leakage risk in the short- to medium-term. But settings for some sectors may need to be augmented with additional measures over time. Reduced baseline decline rates for Trade Exposed Baseline Adjusted </w:t>
      </w:r>
      <w:r w:rsidR="00617E2C" w:rsidRPr="004E70CE">
        <w:t xml:space="preserve">(TEBA) </w:t>
      </w:r>
      <w:r w:rsidRPr="004E70CE">
        <w:t>facilities</w:t>
      </w:r>
      <w:r w:rsidR="00771409" w:rsidRPr="004E70CE">
        <w:t xml:space="preserve"> </w:t>
      </w:r>
      <w:r w:rsidRPr="004E70CE">
        <w:t xml:space="preserve">constrain the contribution of Safeguard </w:t>
      </w:r>
      <w:r w:rsidRPr="004E70CE" w:rsidDel="004E5A2B">
        <w:t>Mechanism</w:t>
      </w:r>
      <w:r w:rsidRPr="004E70CE">
        <w:t xml:space="preserve"> sectors to Australia’s overall emissions reduction efforts.  </w:t>
      </w:r>
    </w:p>
    <w:p w14:paraId="54E564C7" w14:textId="77777777" w:rsidR="00E5352F" w:rsidRPr="004E70CE" w:rsidRDefault="00E5352F" w:rsidP="009432DA">
      <w:pPr>
        <w:shd w:val="clear" w:color="auto" w:fill="FFFFFF" w:themeFill="accent6"/>
        <w:rPr>
          <w:rFonts w:ascii="Open Sans" w:eastAsia="Times New Roman" w:hAnsi="Open Sans" w:cs="Open Sans"/>
          <w:color w:val="000000"/>
          <w:sz w:val="21"/>
          <w:szCs w:val="21"/>
          <w:lang w:eastAsia="en-AU"/>
        </w:rPr>
      </w:pPr>
      <w:r w:rsidRPr="004E70CE">
        <w:t xml:space="preserve">The Safeguard Mechanism </w:t>
      </w:r>
      <w:r w:rsidR="00E37C0F" w:rsidRPr="004E70CE">
        <w:t>provides incentives for</w:t>
      </w:r>
      <w:r w:rsidRPr="004E70CE">
        <w:t xml:space="preserve"> Australian industr</w:t>
      </w:r>
      <w:r w:rsidR="00E37C0F" w:rsidRPr="004E70CE">
        <w:t>ial producers to</w:t>
      </w:r>
      <w:r w:rsidRPr="004E70CE">
        <w:t xml:space="preserve"> reduce </w:t>
      </w:r>
      <w:r w:rsidR="002F3680" w:rsidRPr="004E70CE">
        <w:t xml:space="preserve">the </w:t>
      </w:r>
      <w:r w:rsidRPr="004E70CE">
        <w:t xml:space="preserve">emissions </w:t>
      </w:r>
      <w:r w:rsidR="00E37C0F" w:rsidRPr="004E70CE">
        <w:t xml:space="preserve">intensity of </w:t>
      </w:r>
      <w:r w:rsidR="002F3680" w:rsidRPr="004E70CE">
        <w:t xml:space="preserve">their </w:t>
      </w:r>
      <w:r w:rsidR="00E37C0F" w:rsidRPr="004E70CE">
        <w:t xml:space="preserve">production </w:t>
      </w:r>
      <w:r w:rsidRPr="004E70CE">
        <w:t xml:space="preserve">over time. It covers </w:t>
      </w:r>
      <w:r w:rsidR="00D85C72" w:rsidRPr="004E70CE">
        <w:t>around 220</w:t>
      </w:r>
      <w:r w:rsidRPr="004E70CE">
        <w:t xml:space="preserve"> of Australia’s largest industrial </w:t>
      </w:r>
      <w:r w:rsidR="008C5A4F" w:rsidRPr="004E70CE">
        <w:t>facilities</w:t>
      </w:r>
      <w:r w:rsidRPr="004E70CE">
        <w:t>, account</w:t>
      </w:r>
      <w:r w:rsidR="000F02CA" w:rsidRPr="004E70CE">
        <w:t>ing</w:t>
      </w:r>
      <w:r w:rsidRPr="004E70CE">
        <w:t xml:space="preserve"> for around </w:t>
      </w:r>
      <w:r w:rsidR="008E0811" w:rsidRPr="004E70CE">
        <w:t>30</w:t>
      </w:r>
      <w:r w:rsidR="008C5A4F" w:rsidRPr="004E70CE">
        <w:t>%</w:t>
      </w:r>
      <w:r w:rsidRPr="004E70CE">
        <w:t xml:space="preserve"> of annual national emissions. </w:t>
      </w:r>
    </w:p>
    <w:p w14:paraId="7F57FBA2" w14:textId="77777777" w:rsidR="00B46907" w:rsidRPr="004E70CE" w:rsidRDefault="00B46907" w:rsidP="009432DA">
      <w:pPr>
        <w:shd w:val="clear" w:color="auto" w:fill="FFFFFF" w:themeFill="accent6"/>
      </w:pPr>
      <w:r w:rsidRPr="004E70CE">
        <w:t>The Safeguard Mechanism sets annual limits, or baselines, on emissions from each facility. Baselines are set on a production-adjusted basis, meaning they vary as production volumes rise or fall. From 1</w:t>
      </w:r>
      <w:r w:rsidR="00374BA9" w:rsidRPr="004E70CE">
        <w:t> </w:t>
      </w:r>
      <w:r w:rsidRPr="004E70CE">
        <w:t>July 2023, baselines decline on a trajectory consistent with Australia’s 2030 emission reduction target and net zero by 2050</w:t>
      </w:r>
      <w:r w:rsidR="00C17E89" w:rsidRPr="004E70CE">
        <w:t xml:space="preserve"> target</w:t>
      </w:r>
      <w:r w:rsidRPr="004E70CE">
        <w:t>. Baselines will generally decline by 4.9% per year between 2023</w:t>
      </w:r>
      <w:r w:rsidR="0017162B" w:rsidRPr="004E70CE">
        <w:noBreakHyphen/>
      </w:r>
      <w:r w:rsidRPr="004E70CE">
        <w:t xml:space="preserve">24 and 2029-30. </w:t>
      </w:r>
    </w:p>
    <w:p w14:paraId="6D5D71C8" w14:textId="77777777" w:rsidR="00016898" w:rsidRPr="004E70CE" w:rsidRDefault="00B634C0" w:rsidP="009432DA">
      <w:pPr>
        <w:shd w:val="clear" w:color="auto" w:fill="FFFFFF" w:themeFill="accent6"/>
      </w:pPr>
      <w:r w:rsidRPr="004E70CE">
        <w:t xml:space="preserve">Safeguard facilities automatically </w:t>
      </w:r>
      <w:r w:rsidR="006D59CC" w:rsidRPr="004E70CE">
        <w:t xml:space="preserve">receive </w:t>
      </w:r>
      <w:r w:rsidRPr="004E70CE">
        <w:t>Safeguard Mechanism Credits (SMC</w:t>
      </w:r>
      <w:r w:rsidR="001178E2" w:rsidRPr="004E70CE">
        <w:t>s</w:t>
      </w:r>
      <w:r w:rsidRPr="004E70CE">
        <w:t>) when their emissions are below their baseline. SMCs can be sold to other Safeguard facilities to meet Safeguard obligations or held for future use.</w:t>
      </w:r>
    </w:p>
    <w:p w14:paraId="34E2F048" w14:textId="77777777" w:rsidR="00A44B43" w:rsidRPr="004E70CE" w:rsidRDefault="00A44B43" w:rsidP="009432DA">
      <w:pPr>
        <w:shd w:val="clear" w:color="auto" w:fill="FFFFFF" w:themeFill="accent6"/>
      </w:pPr>
      <w:r w:rsidRPr="004E70CE">
        <w:t xml:space="preserve">Facilities are required to keep emissions to their baselines or to cover excess emissions through the </w:t>
      </w:r>
      <w:r w:rsidR="002C1EA5" w:rsidRPr="004E70CE">
        <w:t xml:space="preserve">surrender </w:t>
      </w:r>
      <w:r w:rsidRPr="004E70CE">
        <w:t>of SMCs</w:t>
      </w:r>
      <w:r w:rsidRPr="004E70CE" w:rsidDel="002C1EA5">
        <w:t xml:space="preserve"> </w:t>
      </w:r>
      <w:r w:rsidRPr="004E70CE">
        <w:t>or</w:t>
      </w:r>
      <w:r w:rsidRPr="004E70CE" w:rsidDel="002C1EA5">
        <w:t xml:space="preserve"> </w:t>
      </w:r>
      <w:r w:rsidRPr="004E70CE">
        <w:t>Australian Carbon Credit Unit</w:t>
      </w:r>
      <w:r w:rsidR="002C1EA5" w:rsidRPr="004E70CE">
        <w:t>s (ACCUs)</w:t>
      </w:r>
      <w:r w:rsidRPr="004E70CE">
        <w:t>.</w:t>
      </w:r>
      <w:r w:rsidR="009E651D" w:rsidRPr="004E70CE" w:rsidDel="002C1EA5">
        <w:t xml:space="preserve"> </w:t>
      </w:r>
      <w:r w:rsidR="009E651D" w:rsidRPr="004E70CE">
        <w:t xml:space="preserve">Emissions up to the baseline </w:t>
      </w:r>
      <w:r w:rsidR="00AB4C41" w:rsidRPr="004E70CE">
        <w:t>do not attract any compliance costs</w:t>
      </w:r>
      <w:r w:rsidR="00404010" w:rsidRPr="004E70CE">
        <w:t xml:space="preserve">. </w:t>
      </w:r>
    </w:p>
    <w:p w14:paraId="0128BFEB" w14:textId="77777777" w:rsidR="00E5352F" w:rsidRPr="004E70CE" w:rsidRDefault="00E5352F" w:rsidP="009432DA">
      <w:r w:rsidRPr="004E70CE">
        <w:t>The Safeguard Mechanism includes several elements to mitigate risk</w:t>
      </w:r>
      <w:r w:rsidR="00754890" w:rsidRPr="004E70CE">
        <w:t>s</w:t>
      </w:r>
      <w:r w:rsidRPr="004E70CE">
        <w:t xml:space="preserve"> of carbon leakage.</w:t>
      </w:r>
    </w:p>
    <w:p w14:paraId="135751F9" w14:textId="77777777" w:rsidR="00E5352F" w:rsidRPr="004E70CE" w:rsidRDefault="00BE3955" w:rsidP="009432DA">
      <w:pPr>
        <w:pStyle w:val="ListParagraph"/>
        <w:numPr>
          <w:ilvl w:val="0"/>
          <w:numId w:val="12"/>
        </w:numPr>
        <w:spacing w:after="200" w:line="276" w:lineRule="auto"/>
        <w:ind w:left="357" w:hanging="357"/>
      </w:pPr>
      <w:r w:rsidRPr="004E70CE">
        <w:t>Facilities can</w:t>
      </w:r>
      <w:r w:rsidR="00E5352F" w:rsidRPr="004E70CE">
        <w:t xml:space="preserve"> emit up to </w:t>
      </w:r>
      <w:r w:rsidRPr="004E70CE">
        <w:t xml:space="preserve">their </w:t>
      </w:r>
      <w:r w:rsidR="00E5352F" w:rsidRPr="004E70CE">
        <w:t>baseline level</w:t>
      </w:r>
      <w:r w:rsidRPr="004E70CE">
        <w:t>.</w:t>
      </w:r>
      <w:r w:rsidR="00E5352F" w:rsidRPr="004E70CE">
        <w:t xml:space="preserve"> </w:t>
      </w:r>
      <w:r w:rsidRPr="004E70CE">
        <w:t xml:space="preserve">This </w:t>
      </w:r>
      <w:r w:rsidR="00E5352F" w:rsidRPr="004E70CE">
        <w:t xml:space="preserve">is </w:t>
      </w:r>
      <w:r w:rsidR="00497C92" w:rsidRPr="004E70CE">
        <w:t xml:space="preserve">equivalent </w:t>
      </w:r>
      <w:r w:rsidR="00E5352F" w:rsidRPr="004E70CE">
        <w:t>to the role that free allowances play under emissions trading schemes</w:t>
      </w:r>
      <w:r w:rsidR="000F02CA" w:rsidRPr="004E70CE">
        <w:t>. The production-adjusted nature of baselines</w:t>
      </w:r>
      <w:r w:rsidR="00567167" w:rsidRPr="004E70CE">
        <w:t xml:space="preserve"> </w:t>
      </w:r>
      <w:r w:rsidR="003F4A2F" w:rsidRPr="004E70CE">
        <w:t>flexib</w:t>
      </w:r>
      <w:r w:rsidR="00E31A23" w:rsidRPr="004E70CE">
        <w:t>ly a</w:t>
      </w:r>
      <w:r w:rsidR="00567167" w:rsidRPr="004E70CE">
        <w:t xml:space="preserve">llows for </w:t>
      </w:r>
      <w:r w:rsidR="00E31A23" w:rsidRPr="004E70CE">
        <w:t xml:space="preserve">changes in </w:t>
      </w:r>
      <w:r w:rsidR="00567167" w:rsidRPr="004E70CE">
        <w:t>production</w:t>
      </w:r>
      <w:r w:rsidR="000F02CA" w:rsidRPr="004E70CE">
        <w:t xml:space="preserve"> and </w:t>
      </w:r>
      <w:r w:rsidR="003F4A2F" w:rsidRPr="004E70CE">
        <w:t>emission</w:t>
      </w:r>
      <w:r w:rsidR="000F02CA" w:rsidRPr="004E70CE">
        <w:t>s</w:t>
      </w:r>
      <w:r w:rsidR="00E5352F" w:rsidRPr="004E70CE">
        <w:t>.</w:t>
      </w:r>
    </w:p>
    <w:p w14:paraId="17F06865" w14:textId="77777777" w:rsidR="00E5352F" w:rsidRPr="004E70CE" w:rsidRDefault="00E5352F" w:rsidP="009432DA">
      <w:pPr>
        <w:pStyle w:val="ListParagraph"/>
        <w:numPr>
          <w:ilvl w:val="0"/>
          <w:numId w:val="12"/>
        </w:numPr>
        <w:spacing w:after="200" w:line="276" w:lineRule="auto"/>
        <w:ind w:left="357" w:hanging="357"/>
      </w:pPr>
      <w:r w:rsidRPr="004E70CE">
        <w:t>Facilities that are trade</w:t>
      </w:r>
      <w:r w:rsidR="002F3680" w:rsidRPr="004E70CE">
        <w:t>-</w:t>
      </w:r>
      <w:r w:rsidRPr="004E70CE">
        <w:t xml:space="preserve">exposed and experience particular cost impacts – also referred to as TEBA facilities – can have their baseline decline rates reduced, from the default 4.9% down to a minimum of 2% for non-manufacturing sectors or 1% for manufacturing sectors. </w:t>
      </w:r>
    </w:p>
    <w:p w14:paraId="7CE1ACBD" w14:textId="756A3B53" w:rsidR="00A54724" w:rsidRPr="004E70CE" w:rsidRDefault="00A54724" w:rsidP="009432DA">
      <w:pPr>
        <w:pStyle w:val="ListParagraph"/>
        <w:numPr>
          <w:ilvl w:val="0"/>
          <w:numId w:val="12"/>
        </w:numPr>
        <w:shd w:val="clear" w:color="auto" w:fill="FFFFFF" w:themeFill="accent6"/>
        <w:spacing w:after="200" w:line="276" w:lineRule="auto"/>
        <w:rPr>
          <w:b/>
        </w:rPr>
      </w:pPr>
      <w:r w:rsidRPr="004E70CE">
        <w:t xml:space="preserve">A cost-containment measure enables eligible facilities to purchase ACCUs from the </w:t>
      </w:r>
      <w:r w:rsidR="009424BA" w:rsidRPr="004E70CE">
        <w:t>government</w:t>
      </w:r>
      <w:r w:rsidRPr="004E70CE">
        <w:t xml:space="preserve"> at a price of $75 in 2023-24, increasing with CPI plus 2% per year. This provides certainty to facilities on maximum compliance costs. </w:t>
      </w:r>
    </w:p>
    <w:p w14:paraId="78ACC023" w14:textId="77777777" w:rsidR="00097E5C" w:rsidRPr="004E70CE" w:rsidRDefault="00A67420" w:rsidP="009432DA">
      <w:pPr>
        <w:pStyle w:val="ListParagraph"/>
        <w:numPr>
          <w:ilvl w:val="0"/>
          <w:numId w:val="12"/>
        </w:numPr>
        <w:spacing w:after="200" w:line="276" w:lineRule="auto"/>
        <w:ind w:hanging="357"/>
      </w:pPr>
      <w:r w:rsidRPr="004E70CE">
        <w:lastRenderedPageBreak/>
        <w:t>Federal</w:t>
      </w:r>
      <w:r w:rsidR="00097E5C" w:rsidRPr="004E70CE">
        <w:t xml:space="preserve"> funding to assist Safeguard facilities to reduce their emissions. This includes various funding streams under the Powering the Regions Fund, including the Safeguard Transformation Stream ($600 million) and Critical Inputs to Clean Energy Industry Stream ($400 million).</w:t>
      </w:r>
    </w:p>
    <w:p w14:paraId="1653EF7C" w14:textId="77777777" w:rsidR="002B58E0" w:rsidRPr="004E70CE" w:rsidRDefault="48F166D2" w:rsidP="009432DA">
      <w:r w:rsidRPr="004E70CE">
        <w:t>A key</w:t>
      </w:r>
      <w:r w:rsidR="295B6A86" w:rsidRPr="004E70CE">
        <w:t xml:space="preserve"> question for the Review is whether these policy settings will be sufficient to prevent or minimise leakage risk</w:t>
      </w:r>
      <w:r w:rsidR="2E1DD3DB" w:rsidRPr="004E70CE">
        <w:t xml:space="preserve"> over the long</w:t>
      </w:r>
      <w:r w:rsidR="002F3680" w:rsidRPr="004E70CE">
        <w:t>-</w:t>
      </w:r>
      <w:r w:rsidR="2E1DD3DB" w:rsidRPr="004E70CE">
        <w:t>term</w:t>
      </w:r>
      <w:r w:rsidR="00D015AC" w:rsidRPr="004E70CE">
        <w:t>,</w:t>
      </w:r>
      <w:r w:rsidR="295B6A86" w:rsidRPr="004E70CE">
        <w:t xml:space="preserve"> and whether and what form of additional or alternative policy approaches may be required for specific commodities.</w:t>
      </w:r>
      <w:r w:rsidR="3EBC783B" w:rsidRPr="004E70CE">
        <w:t xml:space="preserve"> The Review has undertaken extensive analysis on these questions, </w:t>
      </w:r>
      <w:r w:rsidR="00D015AC" w:rsidRPr="004E70CE">
        <w:t xml:space="preserve">as </w:t>
      </w:r>
      <w:r w:rsidR="3EBC783B" w:rsidRPr="004E70CE">
        <w:t>detailed below.</w:t>
      </w:r>
    </w:p>
    <w:p w14:paraId="2D1729C3" w14:textId="77777777" w:rsidR="001178E2" w:rsidRPr="004E70CE" w:rsidRDefault="1761E7CE" w:rsidP="009432DA">
      <w:r w:rsidRPr="004E70CE">
        <w:t xml:space="preserve">Stakeholder feedback has indicated that </w:t>
      </w:r>
      <w:r w:rsidR="3716602E" w:rsidRPr="004E70CE">
        <w:t xml:space="preserve">existing </w:t>
      </w:r>
      <w:r w:rsidRPr="004E70CE">
        <w:t xml:space="preserve">settings </w:t>
      </w:r>
      <w:r w:rsidR="2AE53A44" w:rsidRPr="004E70CE">
        <w:t xml:space="preserve">may be </w:t>
      </w:r>
      <w:r w:rsidRPr="004E70CE">
        <w:t>sufficient to prevent carbon leakage risk over the short</w:t>
      </w:r>
      <w:r w:rsidR="00D015AC" w:rsidRPr="004E70CE">
        <w:t>-</w:t>
      </w:r>
      <w:r w:rsidRPr="004E70CE">
        <w:t>term</w:t>
      </w:r>
      <w:r w:rsidR="45E8BEF9" w:rsidRPr="004E70CE">
        <w:t>,</w:t>
      </w:r>
      <w:r w:rsidR="531ED73C" w:rsidRPr="004E70CE">
        <w:t xml:space="preserve"> but</w:t>
      </w:r>
      <w:r w:rsidR="4DCE6B73" w:rsidRPr="004E70CE">
        <w:t xml:space="preserve"> as</w:t>
      </w:r>
      <w:r w:rsidR="67AEC1BF" w:rsidRPr="004E70CE">
        <w:t xml:space="preserve"> baseline</w:t>
      </w:r>
      <w:r w:rsidR="00C13514" w:rsidRPr="004E70CE">
        <w:t>s</w:t>
      </w:r>
      <w:r w:rsidR="67AEC1BF" w:rsidRPr="004E70CE">
        <w:t xml:space="preserve"> decline </w:t>
      </w:r>
      <w:r w:rsidR="45E8BEF9" w:rsidRPr="004E70CE">
        <w:t xml:space="preserve">and compliance </w:t>
      </w:r>
      <w:r w:rsidR="531ED73C" w:rsidRPr="004E70CE">
        <w:t xml:space="preserve">costs </w:t>
      </w:r>
      <w:r w:rsidR="45E8BEF9" w:rsidRPr="004E70CE">
        <w:t xml:space="preserve">rise, </w:t>
      </w:r>
      <w:r w:rsidR="67AEC1BF" w:rsidRPr="004E70CE">
        <w:t xml:space="preserve">leakage </w:t>
      </w:r>
      <w:r w:rsidR="45E8BEF9" w:rsidRPr="004E70CE">
        <w:t xml:space="preserve">risks </w:t>
      </w:r>
      <w:r w:rsidR="4DCE6B73" w:rsidRPr="004E70CE">
        <w:t xml:space="preserve">may </w:t>
      </w:r>
      <w:r w:rsidR="67AEC1BF" w:rsidRPr="004E70CE">
        <w:t>become more significant</w:t>
      </w:r>
      <w:r w:rsidR="45E8BEF9" w:rsidRPr="004E70CE">
        <w:t xml:space="preserve"> and</w:t>
      </w:r>
      <w:r w:rsidR="7C8EF37F" w:rsidRPr="004E70CE">
        <w:t xml:space="preserve"> </w:t>
      </w:r>
      <w:r w:rsidR="45E8BEF9" w:rsidRPr="004E70CE">
        <w:t>e</w:t>
      </w:r>
      <w:r w:rsidR="7A581F74" w:rsidRPr="004E70CE">
        <w:t xml:space="preserve">xisting settings may not be sufficient to address </w:t>
      </w:r>
      <w:r w:rsidR="45E8BEF9" w:rsidRPr="004E70CE">
        <w:t>them</w:t>
      </w:r>
      <w:r w:rsidRPr="004E70CE">
        <w:t xml:space="preserve">. </w:t>
      </w:r>
    </w:p>
    <w:p w14:paraId="6CA9DCC7" w14:textId="77777777" w:rsidR="009432DA" w:rsidRPr="004E70CE" w:rsidRDefault="00063FBE" w:rsidP="009432DA">
      <w:pPr>
        <w:spacing w:after="0"/>
        <w:ind w:left="720"/>
        <w:rPr>
          <w:i/>
          <w:iCs/>
        </w:rPr>
      </w:pPr>
      <w:r w:rsidRPr="004E70CE">
        <w:rPr>
          <w:i/>
          <w:iCs/>
        </w:rPr>
        <w:t>ACSI considers that the Safeguard Mechanism on its own is insufficient to respond to the risks of carbon leakage. A suite of policy levers, which operate in support of Australian climate policy goals, is required to fully address the risk of carbon leakage in the long-term.</w:t>
      </w:r>
      <w:r w:rsidR="009432DA" w:rsidRPr="004E70CE">
        <w:rPr>
          <w:i/>
          <w:iCs/>
        </w:rPr>
        <w:t xml:space="preserve"> </w:t>
      </w:r>
    </w:p>
    <w:p w14:paraId="4B87AE4F" w14:textId="77777777" w:rsidR="00C66FA3" w:rsidRPr="004E70CE" w:rsidRDefault="009432DA" w:rsidP="009432DA">
      <w:pPr>
        <w:ind w:left="720"/>
        <w:rPr>
          <w:b/>
        </w:rPr>
      </w:pPr>
      <w:r w:rsidRPr="004E70CE">
        <w:rPr>
          <w:b/>
          <w:bCs/>
        </w:rPr>
        <w:t>–</w:t>
      </w:r>
      <w:r w:rsidR="00063FBE" w:rsidRPr="004E70CE">
        <w:t xml:space="preserve"> </w:t>
      </w:r>
      <w:r w:rsidR="00063FBE" w:rsidRPr="004E70CE">
        <w:rPr>
          <w:b/>
        </w:rPr>
        <w:t xml:space="preserve">Australian Chamber of </w:t>
      </w:r>
      <w:r w:rsidR="00AD1D75" w:rsidRPr="004E70CE">
        <w:rPr>
          <w:b/>
          <w:bCs/>
        </w:rPr>
        <w:t>Superannuation Investors</w:t>
      </w:r>
    </w:p>
    <w:p w14:paraId="2F36FBD2" w14:textId="77777777" w:rsidR="00AD1D75" w:rsidRPr="004E70CE" w:rsidRDefault="008F6AEC" w:rsidP="009432DA">
      <w:pPr>
        <w:ind w:left="720"/>
        <w:rPr>
          <w:b/>
        </w:rPr>
      </w:pPr>
      <w:r w:rsidRPr="004E70CE">
        <w:rPr>
          <w:i/>
          <w:iCs/>
        </w:rPr>
        <w:t xml:space="preserve">There are a range of significant costs associated with meeting Safeguard Mechanism emission reduction requirements … </w:t>
      </w:r>
      <w:r w:rsidR="00346014" w:rsidRPr="004E70CE">
        <w:rPr>
          <w:i/>
          <w:iCs/>
        </w:rPr>
        <w:t>Over the medium</w:t>
      </w:r>
      <w:r w:rsidR="00696693" w:rsidRPr="004E70CE">
        <w:rPr>
          <w:i/>
          <w:iCs/>
        </w:rPr>
        <w:t>-</w:t>
      </w:r>
      <w:r w:rsidR="00346014" w:rsidRPr="004E70CE">
        <w:rPr>
          <w:i/>
          <w:iCs/>
        </w:rPr>
        <w:t xml:space="preserve"> to long</w:t>
      </w:r>
      <w:r w:rsidR="00696693" w:rsidRPr="004E70CE">
        <w:rPr>
          <w:i/>
          <w:iCs/>
        </w:rPr>
        <w:t>-</w:t>
      </w:r>
      <w:r w:rsidR="00346014" w:rsidRPr="004E70CE">
        <w:rPr>
          <w:i/>
          <w:iCs/>
        </w:rPr>
        <w:t xml:space="preserve">term, the relative competitive disadvantage and reduced profitability outlook will likely result in a lack of capital investment and/or closure of higher cost facilities. </w:t>
      </w:r>
      <w:r w:rsidR="00346014" w:rsidRPr="004E70CE">
        <w:rPr>
          <w:b/>
          <w:bCs/>
        </w:rPr>
        <w:t>– Australian Steel Institute</w:t>
      </w:r>
    </w:p>
    <w:p w14:paraId="6B676913" w14:textId="77777777" w:rsidR="00284E8A" w:rsidRPr="004E70CE" w:rsidRDefault="0065205A" w:rsidP="009432DA">
      <w:pPr>
        <w:ind w:left="720"/>
        <w:rPr>
          <w:b/>
          <w:bCs/>
        </w:rPr>
      </w:pPr>
      <w:r w:rsidRPr="004E70CE">
        <w:rPr>
          <w:i/>
          <w:iCs/>
        </w:rPr>
        <w:t>The current provisions under the Safeguard Mechanism do not adequately mitigate carbon leakage</w:t>
      </w:r>
      <w:r w:rsidR="00026182" w:rsidRPr="004E70CE">
        <w:rPr>
          <w:i/>
          <w:iCs/>
        </w:rPr>
        <w:t xml:space="preserve"> … </w:t>
      </w:r>
      <w:r w:rsidR="0025157D" w:rsidRPr="004E70CE">
        <w:rPr>
          <w:i/>
          <w:iCs/>
        </w:rPr>
        <w:t>TEBA arrangements will need to be supplemented to provide</w:t>
      </w:r>
      <w:r w:rsidR="004532DD" w:rsidRPr="004E70CE">
        <w:rPr>
          <w:i/>
          <w:iCs/>
        </w:rPr>
        <w:t xml:space="preserve"> long-term certainty for covered facilities to maintain viability and underpin the confidence to invest in new low carbon production. </w:t>
      </w:r>
      <w:r w:rsidR="00284E8A" w:rsidRPr="004E70CE">
        <w:rPr>
          <w:i/>
          <w:iCs/>
        </w:rPr>
        <w:t xml:space="preserve">– </w:t>
      </w:r>
      <w:r w:rsidR="00284E8A" w:rsidRPr="004E70CE">
        <w:rPr>
          <w:b/>
          <w:bCs/>
        </w:rPr>
        <w:t>Cement Industry Federation</w:t>
      </w:r>
    </w:p>
    <w:p w14:paraId="7936EA2C" w14:textId="77777777" w:rsidR="009432DA" w:rsidRPr="004E70CE" w:rsidRDefault="00CC28AD" w:rsidP="009432DA">
      <w:pPr>
        <w:spacing w:after="0"/>
        <w:ind w:left="720"/>
        <w:rPr>
          <w:b/>
          <w:bCs/>
        </w:rPr>
      </w:pPr>
      <w:r w:rsidRPr="004E70CE">
        <w:rPr>
          <w:i/>
          <w:iCs/>
        </w:rPr>
        <w:t>An ideal carbon leakage policy achieves lower emissions in Australia</w:t>
      </w:r>
      <w:r w:rsidR="00A338B7" w:rsidRPr="004E70CE">
        <w:rPr>
          <w:i/>
          <w:iCs/>
        </w:rPr>
        <w:t xml:space="preserve"> and preserves the economic viability of exposed industries by ensuring they remain competitive in a global market …</w:t>
      </w:r>
      <w:r w:rsidR="00A338B7" w:rsidRPr="004E70CE">
        <w:rPr>
          <w:b/>
          <w:bCs/>
        </w:rPr>
        <w:t xml:space="preserve"> </w:t>
      </w:r>
      <w:r w:rsidR="00A338B7" w:rsidRPr="004E70CE">
        <w:rPr>
          <w:i/>
          <w:iCs/>
        </w:rPr>
        <w:t xml:space="preserve">It is unlikely that the Safeguard Mechanism alone could address Australia’s carbon leakage concerns and still maintain the allocated emissions budget to the mechanism. </w:t>
      </w:r>
      <w:r w:rsidR="004041C6" w:rsidRPr="004E70CE">
        <w:rPr>
          <w:b/>
          <w:bCs/>
        </w:rPr>
        <w:t xml:space="preserve"> </w:t>
      </w:r>
    </w:p>
    <w:p w14:paraId="4AC285F5" w14:textId="77777777" w:rsidR="00482627" w:rsidRPr="004E70CE" w:rsidRDefault="0031573E" w:rsidP="009432DA">
      <w:pPr>
        <w:ind w:left="720"/>
      </w:pPr>
      <w:r w:rsidRPr="004E70CE">
        <w:t>–</w:t>
      </w:r>
      <w:r w:rsidR="004041C6" w:rsidRPr="004E70CE">
        <w:t xml:space="preserve"> </w:t>
      </w:r>
      <w:r w:rsidR="004041C6" w:rsidRPr="004E70CE">
        <w:rPr>
          <w:b/>
          <w:bCs/>
        </w:rPr>
        <w:t>Fortescue</w:t>
      </w:r>
    </w:p>
    <w:p w14:paraId="2399D81B" w14:textId="77777777" w:rsidR="005B0078" w:rsidRPr="004E70CE" w:rsidRDefault="001178E2" w:rsidP="00C80285">
      <w:r w:rsidRPr="004E70CE">
        <w:t>For these reasons, there is benefit in consideration of additional policy measures for the medium</w:t>
      </w:r>
      <w:r w:rsidR="00931B5F" w:rsidRPr="004E70CE">
        <w:t>-</w:t>
      </w:r>
      <w:r w:rsidRPr="004E70CE">
        <w:t xml:space="preserve"> to longer</w:t>
      </w:r>
      <w:r w:rsidR="00931B5F" w:rsidRPr="004E70CE">
        <w:t>-</w:t>
      </w:r>
      <w:r w:rsidRPr="004E70CE">
        <w:t>term</w:t>
      </w:r>
      <w:r w:rsidR="005B0078" w:rsidRPr="004E70CE">
        <w:t>.</w:t>
      </w:r>
    </w:p>
    <w:p w14:paraId="3715A095" w14:textId="77777777" w:rsidR="006A22EB" w:rsidRDefault="006A22EB">
      <w:pPr>
        <w:spacing w:after="0" w:line="240" w:lineRule="auto"/>
        <w:rPr>
          <w:rFonts w:ascii="Calibri" w:eastAsia="Times New Roman" w:hAnsi="Calibri" w:cs="Times New Roman"/>
          <w:b/>
          <w:bCs/>
          <w:sz w:val="32"/>
          <w:szCs w:val="20"/>
        </w:rPr>
      </w:pPr>
      <w:bookmarkStart w:id="11" w:name="_Toc166871084"/>
      <w:bookmarkStart w:id="12" w:name="_Toc173997657"/>
      <w:r>
        <w:rPr>
          <w:sz w:val="32"/>
          <w:szCs w:val="20"/>
        </w:rPr>
        <w:br w:type="page"/>
      </w:r>
    </w:p>
    <w:p w14:paraId="60043DF4" w14:textId="485D1C5B" w:rsidR="00AC47EB" w:rsidRPr="004E70CE" w:rsidRDefault="00AC47EB" w:rsidP="00C80285">
      <w:pPr>
        <w:pStyle w:val="Heading3"/>
        <w:spacing w:line="276" w:lineRule="auto"/>
        <w:ind w:left="709" w:hanging="709"/>
        <w:rPr>
          <w:sz w:val="32"/>
          <w:szCs w:val="20"/>
        </w:rPr>
      </w:pPr>
      <w:r w:rsidRPr="004E70CE">
        <w:rPr>
          <w:sz w:val="32"/>
          <w:szCs w:val="20"/>
        </w:rPr>
        <w:lastRenderedPageBreak/>
        <w:t>Public investment</w:t>
      </w:r>
      <w:bookmarkEnd w:id="11"/>
      <w:bookmarkEnd w:id="12"/>
    </w:p>
    <w:p w14:paraId="1DC991AF" w14:textId="77777777" w:rsidR="00BB420A" w:rsidRPr="004E70CE" w:rsidRDefault="00BB420A" w:rsidP="00C80285">
      <w:pPr>
        <w:pStyle w:val="Calloutbox"/>
        <w:spacing w:after="200" w:line="276" w:lineRule="auto"/>
        <w:rPr>
          <w:b/>
          <w:bCs/>
        </w:rPr>
      </w:pPr>
      <w:r w:rsidRPr="004E70CE">
        <w:rPr>
          <w:b/>
          <w:bCs/>
        </w:rPr>
        <w:t>Preliminary findings</w:t>
      </w:r>
      <w:r w:rsidR="00327F3F" w:rsidRPr="004E70CE">
        <w:rPr>
          <w:b/>
          <w:bCs/>
        </w:rPr>
        <w:t xml:space="preserve"> for consultation</w:t>
      </w:r>
    </w:p>
    <w:p w14:paraId="58E6AA75" w14:textId="77777777" w:rsidR="004E5A2B" w:rsidRPr="004E70CE" w:rsidRDefault="004E5A2B" w:rsidP="00C80285">
      <w:pPr>
        <w:pStyle w:val="Calloutbox"/>
        <w:spacing w:after="200" w:line="276" w:lineRule="auto"/>
      </w:pPr>
      <w:r w:rsidRPr="004E70CE">
        <w:t>Public investment to help reduce emissions intensity can help address the risk of carbon leakage in specific cases and is particularly relevant for export-oriented industries. A range of such programs exist in Australia.</w:t>
      </w:r>
    </w:p>
    <w:p w14:paraId="36915E0F" w14:textId="77777777" w:rsidR="00B77C58" w:rsidRPr="004E70CE" w:rsidRDefault="00B77C58" w:rsidP="00B77C58">
      <w:pPr>
        <w:pStyle w:val="Calloutbox"/>
        <w:spacing w:after="200" w:line="276" w:lineRule="auto"/>
      </w:pPr>
      <w:r w:rsidRPr="004E70CE">
        <w:t>While fulfilling a range of functions, public investment would not be sufficient as a systematic and fiscally sustainable standalone solution for commodities with high carbon leakage risk.</w:t>
      </w:r>
    </w:p>
    <w:p w14:paraId="284B8C1F" w14:textId="6CA6E99A" w:rsidR="00C2239D" w:rsidRPr="004E70CE" w:rsidRDefault="00A141FD" w:rsidP="00C2239D">
      <w:r w:rsidRPr="004E70CE">
        <w:t xml:space="preserve">The </w:t>
      </w:r>
      <w:r w:rsidR="009424BA" w:rsidRPr="004E70CE">
        <w:t>government</w:t>
      </w:r>
      <w:r w:rsidRPr="004E70CE">
        <w:t xml:space="preserve">’s Future Made in Australia National Interest Framework outlines the </w:t>
      </w:r>
      <w:r w:rsidR="00792E95" w:rsidRPr="004E70CE">
        <w:t>g</w:t>
      </w:r>
      <w:r w:rsidRPr="004E70CE">
        <w:t>overnment’s approach to unlocking private investment at scale in industries that are in the public interest. This includes a Net Zero Transformation Stream which will be used to identify sectors assessed to have grounds for sustained comparative advantage in a net zero global economy, and public investment is needed for the sector to make a significant contribution to emissions reduction at an efficient cost. It also includes an Economic Resilience and Security Stream for sectors where some level of domestic capability is necessary or efficient to deliver adequate economic resilience and security, and the private sector would not invest in this capability in the absence of public investment.</w:t>
      </w:r>
      <w:r w:rsidR="0022429F" w:rsidRPr="004E70CE">
        <w:rPr>
          <w:rStyle w:val="FootnoteReference"/>
        </w:rPr>
        <w:footnoteReference w:id="12"/>
      </w:r>
      <w:r w:rsidR="309D0252" w:rsidRPr="004E70CE">
        <w:t xml:space="preserve"> </w:t>
      </w:r>
    </w:p>
    <w:p w14:paraId="754B5B8C" w14:textId="3057AE13" w:rsidR="00004F87" w:rsidRPr="004E70CE" w:rsidRDefault="00C2239D" w:rsidP="00C80285">
      <w:r w:rsidRPr="004E70CE">
        <w:t xml:space="preserve">Several of the programs announced in the 2024-25 Budget as part of Future Made in Australia, and previously announced programs such as the Powering the Regions Fund, include public investment targeted at sectors at risk of carbon leakage. </w:t>
      </w:r>
      <w:r w:rsidRPr="004E70CE">
        <w:rPr>
          <w:rFonts w:ascii="Calibri" w:eastAsia="Calibri" w:hAnsi="Calibri" w:cs="Calibri"/>
        </w:rPr>
        <w:t>These programs will help reduce emissions intensity of domestic production, and thereby can make contributions to alleviating carbon leakage risk, in particular for green export-oriented industries.</w:t>
      </w:r>
      <w:r w:rsidR="00AA573D" w:rsidRPr="004E70CE">
        <w:rPr>
          <w:rStyle w:val="FootnoteReference"/>
        </w:rPr>
        <w:footnoteReference w:id="13"/>
      </w:r>
      <w:r w:rsidR="1AF58F60" w:rsidRPr="004E70CE">
        <w:t xml:space="preserve"> </w:t>
      </w:r>
    </w:p>
    <w:p w14:paraId="67040557" w14:textId="77777777" w:rsidR="00BB420A" w:rsidRPr="004E70CE" w:rsidDel="00AA573D" w:rsidRDefault="59D430B7" w:rsidP="00C80285">
      <w:r w:rsidRPr="004E70CE" w:rsidDel="00AA573D">
        <w:t>R</w:t>
      </w:r>
      <w:r w:rsidR="53381472" w:rsidRPr="004E70CE" w:rsidDel="00AA573D">
        <w:t>ole</w:t>
      </w:r>
      <w:r w:rsidR="149D1587" w:rsidRPr="004E70CE" w:rsidDel="00AA573D">
        <w:t>s</w:t>
      </w:r>
      <w:r w:rsidR="53381472" w:rsidRPr="004E70CE" w:rsidDel="00AA573D">
        <w:t xml:space="preserve"> of </w:t>
      </w:r>
      <w:r w:rsidR="54895037" w:rsidRPr="004E70CE" w:rsidDel="00AA573D">
        <w:t>government</w:t>
      </w:r>
      <w:r w:rsidR="53381472" w:rsidRPr="004E70CE" w:rsidDel="00AA573D">
        <w:t xml:space="preserve"> investment in supporting the net zero transition</w:t>
      </w:r>
      <w:r w:rsidR="0E460F84" w:rsidRPr="004E70CE" w:rsidDel="00AA573D">
        <w:t xml:space="preserve"> include:</w:t>
      </w:r>
    </w:p>
    <w:p w14:paraId="204DC1A2" w14:textId="77777777" w:rsidR="00BB420A" w:rsidRPr="004E70CE" w:rsidDel="00AA573D" w:rsidRDefault="00BB420A" w:rsidP="00C80285">
      <w:pPr>
        <w:pStyle w:val="ListParagraph"/>
        <w:numPr>
          <w:ilvl w:val="0"/>
          <w:numId w:val="16"/>
        </w:numPr>
        <w:spacing w:after="200" w:line="276" w:lineRule="auto"/>
        <w:ind w:left="357" w:hanging="357"/>
        <w:rPr>
          <w:i/>
          <w:iCs/>
        </w:rPr>
      </w:pPr>
      <w:r w:rsidRPr="004E70CE" w:rsidDel="00AA573D">
        <w:rPr>
          <w:i/>
          <w:iCs/>
        </w:rPr>
        <w:t>Accelerating innovation</w:t>
      </w:r>
      <w:r w:rsidR="00EB5F93" w:rsidRPr="004E70CE" w:rsidDel="00AA573D">
        <w:rPr>
          <w:i/>
          <w:iCs/>
        </w:rPr>
        <w:t xml:space="preserve"> and cost reductions</w:t>
      </w:r>
      <w:r w:rsidR="00A5407C" w:rsidRPr="004E70CE" w:rsidDel="00AA573D">
        <w:rPr>
          <w:i/>
          <w:iCs/>
        </w:rPr>
        <w:t xml:space="preserve"> of low emissions technologies</w:t>
      </w:r>
      <w:r w:rsidRPr="004E70CE" w:rsidDel="00AA573D">
        <w:rPr>
          <w:i/>
          <w:iCs/>
        </w:rPr>
        <w:t>:</w:t>
      </w:r>
      <w:r w:rsidRPr="004E70CE" w:rsidDel="00AA573D">
        <w:t xml:space="preserve"> Public investment helps </w:t>
      </w:r>
      <w:r w:rsidR="00D12413" w:rsidRPr="004E70CE" w:rsidDel="00AA573D">
        <w:t>address</w:t>
      </w:r>
      <w:r w:rsidRPr="004E70CE" w:rsidDel="00AA573D">
        <w:t xml:space="preserve"> market failures that would otherwise prevent sufficient investment in </w:t>
      </w:r>
      <w:r w:rsidR="00BB1226" w:rsidRPr="004E70CE" w:rsidDel="00AA573D">
        <w:t>research and development</w:t>
      </w:r>
      <w:r w:rsidRPr="004E70CE" w:rsidDel="00AA573D">
        <w:t xml:space="preserve">, piloting and early commercial deployment of </w:t>
      </w:r>
      <w:r w:rsidR="00EB5F93" w:rsidRPr="004E70CE" w:rsidDel="00AA573D">
        <w:t>nascent</w:t>
      </w:r>
      <w:r w:rsidRPr="004E70CE" w:rsidDel="00AA573D">
        <w:t xml:space="preserve"> low emission technologies. It helps defray and derisk the high capital costs for pilots and early</w:t>
      </w:r>
      <w:r w:rsidR="00F42D27" w:rsidRPr="004E70CE" w:rsidDel="00AA573D">
        <w:t>-</w:t>
      </w:r>
      <w:r w:rsidRPr="004E70CE" w:rsidDel="00AA573D">
        <w:t xml:space="preserve">stage deployments, which in turn drive technologies along their learning curves and brings costs down. </w:t>
      </w:r>
    </w:p>
    <w:p w14:paraId="620A3453" w14:textId="3622ED52" w:rsidR="00BB420A" w:rsidRPr="004E70CE" w:rsidDel="00AA573D" w:rsidRDefault="0B567A1B" w:rsidP="00C80285">
      <w:pPr>
        <w:pStyle w:val="ListParagraph"/>
        <w:numPr>
          <w:ilvl w:val="0"/>
          <w:numId w:val="16"/>
        </w:numPr>
        <w:spacing w:after="200" w:line="276" w:lineRule="auto"/>
        <w:ind w:left="357" w:hanging="357"/>
      </w:pPr>
      <w:r w:rsidRPr="004E70CE" w:rsidDel="00AA573D">
        <w:rPr>
          <w:i/>
          <w:iCs/>
        </w:rPr>
        <w:t>Supporting low emissions production:</w:t>
      </w:r>
      <w:r w:rsidRPr="004E70CE" w:rsidDel="00AA573D">
        <w:t xml:space="preserve"> </w:t>
      </w:r>
      <w:r w:rsidR="747CA251" w:rsidRPr="004E70CE" w:rsidDel="00AA573D">
        <w:t>Public investment can help</w:t>
      </w:r>
      <w:r w:rsidRPr="004E70CE" w:rsidDel="00AA573D">
        <w:t xml:space="preserve"> bring forward low emissions production whilst </w:t>
      </w:r>
      <w:r w:rsidR="747CA251" w:rsidRPr="004E70CE" w:rsidDel="00AA573D">
        <w:t>green</w:t>
      </w:r>
      <w:r w:rsidRPr="004E70CE" w:rsidDel="00AA573D">
        <w:t xml:space="preserve"> premiums </w:t>
      </w:r>
      <w:r w:rsidR="73554B3B" w:rsidRPr="004E70CE" w:rsidDel="00AA573D">
        <w:t>exist,</w:t>
      </w:r>
      <w:r w:rsidRPr="004E70CE" w:rsidDel="00AA573D">
        <w:t xml:space="preserve"> </w:t>
      </w:r>
      <w:r w:rsidR="747CA251" w:rsidRPr="004E70CE" w:rsidDel="00AA573D">
        <w:t xml:space="preserve">and </w:t>
      </w:r>
      <w:r w:rsidRPr="004E70CE" w:rsidDel="00AA573D">
        <w:t xml:space="preserve">markets </w:t>
      </w:r>
      <w:r w:rsidR="747CA251" w:rsidRPr="004E70CE" w:rsidDel="00AA573D">
        <w:t>do</w:t>
      </w:r>
      <w:r w:rsidRPr="004E70CE" w:rsidDel="00AA573D">
        <w:t xml:space="preserve"> not </w:t>
      </w:r>
      <w:r w:rsidR="747CA251" w:rsidRPr="004E70CE" w:rsidDel="00AA573D">
        <w:t>price negative externalities from emissions</w:t>
      </w:r>
      <w:r w:rsidRPr="004E70CE" w:rsidDel="00AA573D">
        <w:t xml:space="preserve">. </w:t>
      </w:r>
      <w:r w:rsidR="149D1587" w:rsidRPr="004E70CE" w:rsidDel="00AA573D">
        <w:t xml:space="preserve">In these </w:t>
      </w:r>
      <w:r w:rsidR="0C5567A8" w:rsidRPr="004E70CE" w:rsidDel="00AA573D">
        <w:t>cases</w:t>
      </w:r>
      <w:r w:rsidR="149D1587" w:rsidRPr="004E70CE" w:rsidDel="00AA573D">
        <w:t>, public investment in the form of</w:t>
      </w:r>
      <w:r w:rsidRPr="004E70CE" w:rsidDel="00AA573D">
        <w:t xml:space="preserve"> production </w:t>
      </w:r>
      <w:r w:rsidR="78D66A44" w:rsidRPr="004E70CE" w:rsidDel="00AA573D">
        <w:t xml:space="preserve">or tax </w:t>
      </w:r>
      <w:r w:rsidRPr="004E70CE" w:rsidDel="00AA573D">
        <w:t>credits</w:t>
      </w:r>
      <w:r w:rsidR="78D66A44" w:rsidRPr="004E70CE" w:rsidDel="00AA573D">
        <w:t>,</w:t>
      </w:r>
      <w:r w:rsidRPr="004E70CE" w:rsidDel="00AA573D">
        <w:t xml:space="preserve"> such as </w:t>
      </w:r>
      <w:r w:rsidR="78D66A44" w:rsidRPr="004E70CE" w:rsidDel="00AA573D">
        <w:t xml:space="preserve">those announced under </w:t>
      </w:r>
      <w:r w:rsidR="390EAB2F" w:rsidRPr="004E70CE" w:rsidDel="00AA573D">
        <w:t>Future Made in Australia</w:t>
      </w:r>
      <w:r w:rsidR="149D1587" w:rsidRPr="004E70CE" w:rsidDel="00AA573D">
        <w:t xml:space="preserve">, can </w:t>
      </w:r>
      <w:r w:rsidR="0C5567A8" w:rsidRPr="004E70CE" w:rsidDel="00AA573D">
        <w:t xml:space="preserve">help </w:t>
      </w:r>
      <w:r w:rsidR="149D1587" w:rsidRPr="004E70CE" w:rsidDel="00AA573D">
        <w:t>bridge the green premium gap that would otherwise discourage private investment in low emissions production</w:t>
      </w:r>
      <w:r w:rsidRPr="004E70CE" w:rsidDel="00AA573D">
        <w:t xml:space="preserve">. </w:t>
      </w:r>
      <w:r w:rsidR="149D1587" w:rsidRPr="004E70CE" w:rsidDel="00AA573D">
        <w:t xml:space="preserve">This support would be </w:t>
      </w:r>
      <w:r w:rsidRPr="004E70CE" w:rsidDel="00AA573D">
        <w:t xml:space="preserve">time-limited and phased down as </w:t>
      </w:r>
      <w:r w:rsidR="4A34829C" w:rsidRPr="004E70CE" w:rsidDel="00AA573D">
        <w:t xml:space="preserve">green premium </w:t>
      </w:r>
      <w:r w:rsidR="149D1587" w:rsidRPr="004E70CE" w:rsidDel="00AA573D">
        <w:t>gap</w:t>
      </w:r>
      <w:r w:rsidR="0C5567A8" w:rsidRPr="004E70CE" w:rsidDel="00AA573D">
        <w:t>s</w:t>
      </w:r>
      <w:r w:rsidR="149D1587" w:rsidRPr="004E70CE" w:rsidDel="00AA573D">
        <w:t xml:space="preserve"> </w:t>
      </w:r>
      <w:r w:rsidR="4A34829C" w:rsidRPr="004E70CE" w:rsidDel="00AA573D">
        <w:t>reduce</w:t>
      </w:r>
      <w:r w:rsidR="4DABEB6B" w:rsidRPr="004E70CE" w:rsidDel="00AA573D">
        <w:t>.</w:t>
      </w:r>
    </w:p>
    <w:p w14:paraId="3C863124" w14:textId="77777777" w:rsidR="00AA573D" w:rsidRPr="004E70CE" w:rsidDel="00AA573D" w:rsidRDefault="00AA573D" w:rsidP="00AA573D">
      <w:r w:rsidRPr="004E70CE" w:rsidDel="00AA573D">
        <w:rPr>
          <w:rFonts w:ascii="Calibri" w:eastAsia="Calibri" w:hAnsi="Calibri" w:cs="Calibri"/>
        </w:rPr>
        <w:t xml:space="preserve">In feedback received from the first consultation period, stakeholders highlighted three specific roles for well-calibrated public investment to support industry’s transition to net zero and mitigate carbon leakage risks. These are accelerating innovation, supporting low emissions production, and enabling </w:t>
      </w:r>
      <w:r w:rsidRPr="004E70CE" w:rsidDel="00AA573D">
        <w:rPr>
          <w:rFonts w:ascii="Calibri" w:eastAsia="Calibri" w:hAnsi="Calibri" w:cs="Calibri"/>
        </w:rPr>
        <w:lastRenderedPageBreak/>
        <w:t xml:space="preserve">infrastructure for decarbonisation.  Stakeholders also identified Australia’s fiscal limitations as a mid-sized economy and need for finite public funds to be effectively targeted and efficiently delivered. </w:t>
      </w:r>
    </w:p>
    <w:p w14:paraId="0317F585" w14:textId="77777777" w:rsidR="00AA573D" w:rsidRPr="004E70CE" w:rsidDel="00AA573D" w:rsidRDefault="00AA573D" w:rsidP="00AA573D">
      <w:r w:rsidRPr="004E70CE" w:rsidDel="00AA573D">
        <w:t>Some stakeholders also noted potential synergies between public investment and other policies such as a border carbon adjustment. For example, pass through of carbon costs enabled by a border carbon adjustment supports growth of new low emissions industries, while reducing the need for financial support by government.</w:t>
      </w:r>
    </w:p>
    <w:p w14:paraId="49328EB6" w14:textId="77777777" w:rsidR="00AA573D" w:rsidRPr="004E70CE" w:rsidDel="00AA573D" w:rsidRDefault="00AA573D" w:rsidP="00AA573D">
      <w:pPr>
        <w:spacing w:after="0"/>
        <w:ind w:left="720"/>
      </w:pPr>
      <w:r w:rsidRPr="004E70CE" w:rsidDel="00AA573D">
        <w:rPr>
          <w:i/>
          <w:iCs/>
        </w:rPr>
        <w:t>The prompt development and implementation of an Australian CBAM is therefore essential, irrespective of public investment and/or product standards deployed concurrently.</w:t>
      </w:r>
      <w:r w:rsidRPr="004E70CE" w:rsidDel="00AA573D">
        <w:t xml:space="preserve"> </w:t>
      </w:r>
    </w:p>
    <w:p w14:paraId="3399BA15" w14:textId="77777777" w:rsidR="00AA573D" w:rsidRPr="004E70CE" w:rsidDel="00AA573D" w:rsidRDefault="00AA573D" w:rsidP="00AA573D">
      <w:pPr>
        <w:ind w:left="720"/>
        <w:rPr>
          <w:b/>
          <w:bCs/>
        </w:rPr>
      </w:pPr>
      <w:r w:rsidRPr="004E70CE" w:rsidDel="00AA573D">
        <w:t xml:space="preserve">– </w:t>
      </w:r>
      <w:r w:rsidRPr="004E70CE" w:rsidDel="00AA573D">
        <w:rPr>
          <w:b/>
          <w:bCs/>
        </w:rPr>
        <w:t>Australian Workers Union</w:t>
      </w:r>
    </w:p>
    <w:p w14:paraId="2B847991" w14:textId="77777777" w:rsidR="00AA573D" w:rsidRPr="004E70CE" w:rsidDel="00AA573D" w:rsidRDefault="00AA573D" w:rsidP="00AA573D">
      <w:pPr>
        <w:ind w:left="720"/>
        <w:rPr>
          <w:b/>
          <w:bCs/>
        </w:rPr>
      </w:pPr>
      <w:r w:rsidRPr="004E70CE" w:rsidDel="00AA573D">
        <w:rPr>
          <w:i/>
          <w:iCs/>
        </w:rPr>
        <w:t>Targeted public funding should be considered as a critical component of Australia’s decarbonisation policy alongside CBAM.</w:t>
      </w:r>
      <w:r w:rsidRPr="004E70CE" w:rsidDel="00AA573D">
        <w:t xml:space="preserve"> – </w:t>
      </w:r>
      <w:r w:rsidRPr="004E70CE" w:rsidDel="00AA573D">
        <w:rPr>
          <w:b/>
          <w:bCs/>
        </w:rPr>
        <w:t>Boral</w:t>
      </w:r>
    </w:p>
    <w:p w14:paraId="14388386" w14:textId="77777777" w:rsidR="00A141FD" w:rsidRPr="004E70CE" w:rsidRDefault="00A141FD" w:rsidP="00A141FD">
      <w:pPr>
        <w:spacing w:after="120"/>
        <w:rPr>
          <w:rFonts w:ascii="Calibri" w:eastAsia="Calibri" w:hAnsi="Calibri" w:cs="Calibri"/>
        </w:rPr>
      </w:pPr>
      <w:r w:rsidRPr="004E70CE">
        <w:t xml:space="preserve">Well-designed public investment can help the emergence of zero emissions export industries. They can also help reduce emissions intensity of production in industries that compete with imports. This can help reduce exposure to carbon leakage risk. </w:t>
      </w:r>
      <w:r w:rsidRPr="004E70CE">
        <w:rPr>
          <w:rFonts w:ascii="Calibri" w:eastAsia="Calibri" w:hAnsi="Calibri" w:cs="Calibri"/>
        </w:rPr>
        <w:t xml:space="preserve">However, public investment does not address differences in climate policy stringency across countries, which is the root cause of carbon leakage, in a systematic way. This reduces the capacity for public investment programs to address carbon leakage risks comprehensively or in a predictable way. Public investment also has greater fiscal implications than regulatory policy approaches. </w:t>
      </w:r>
    </w:p>
    <w:p w14:paraId="571A68F8" w14:textId="77777777" w:rsidR="63AA32BD" w:rsidRPr="004E70CE" w:rsidRDefault="63AA32BD" w:rsidP="00C80285">
      <w:r w:rsidRPr="004E70CE">
        <w:t xml:space="preserve">To fully address carbon leakage risks, public investment programs would need to cover a multitude of investments in many facilities. It would require continuous monitoring and assessment of exposure. Even so, </w:t>
      </w:r>
      <w:r w:rsidR="5DE6BE19" w:rsidRPr="004E70CE">
        <w:rPr>
          <w:rFonts w:ascii="Calibri" w:eastAsia="Calibri" w:hAnsi="Calibri" w:cs="Calibri"/>
        </w:rPr>
        <w:t xml:space="preserve">government programs </w:t>
      </w:r>
      <w:r w:rsidR="35F5F959" w:rsidRPr="004E70CE">
        <w:rPr>
          <w:rFonts w:ascii="Calibri" w:eastAsia="Calibri" w:hAnsi="Calibri" w:cs="Calibri"/>
        </w:rPr>
        <w:t>would</w:t>
      </w:r>
      <w:r w:rsidR="5DE6BE19" w:rsidRPr="004E70CE">
        <w:rPr>
          <w:rFonts w:ascii="Calibri" w:eastAsia="Calibri" w:hAnsi="Calibri" w:cs="Calibri"/>
        </w:rPr>
        <w:t xml:space="preserve"> not be able to identify and cover every instance of carbon leakage risk</w:t>
      </w:r>
      <w:r w:rsidR="5C8E7080" w:rsidRPr="004E70CE">
        <w:rPr>
          <w:rFonts w:ascii="Calibri" w:eastAsia="Calibri" w:hAnsi="Calibri" w:cs="Calibri"/>
        </w:rPr>
        <w:t xml:space="preserve"> </w:t>
      </w:r>
      <w:r w:rsidR="5C8E7080" w:rsidRPr="004E70CE">
        <w:t>and the investment response would inevitably be uneven</w:t>
      </w:r>
      <w:r w:rsidR="00866CA5" w:rsidRPr="004E70CE">
        <w:t>.</w:t>
      </w:r>
      <w:r w:rsidR="5C8E7080" w:rsidRPr="004E70CE">
        <w:t xml:space="preserve"> </w:t>
      </w:r>
    </w:p>
    <w:p w14:paraId="2B39E243" w14:textId="77777777" w:rsidR="71118EC6" w:rsidRPr="004E70CE" w:rsidRDefault="71118EC6" w:rsidP="00C80285">
      <w:pPr>
        <w:rPr>
          <w:rFonts w:ascii="Calibri" w:eastAsia="Calibri" w:hAnsi="Calibri" w:cs="Calibri"/>
        </w:rPr>
      </w:pPr>
      <w:r w:rsidRPr="004E70CE">
        <w:t>In the design of public investment programs</w:t>
      </w:r>
      <w:r w:rsidR="001E06C9" w:rsidRPr="004E70CE">
        <w:t>,</w:t>
      </w:r>
      <w:r w:rsidRPr="004E70CE">
        <w:t xml:space="preserve"> it is important to ensure they provide the long-term certainty required for investment decisions</w:t>
      </w:r>
      <w:r w:rsidR="004A53A5" w:rsidRPr="004E70CE">
        <w:t>, but</w:t>
      </w:r>
      <w:r w:rsidRPr="004E70CE">
        <w:t xml:space="preserve"> can </w:t>
      </w:r>
      <w:r w:rsidR="004A53A5" w:rsidRPr="004E70CE">
        <w:t xml:space="preserve">also </w:t>
      </w:r>
      <w:r w:rsidRPr="004E70CE">
        <w:t>be removed when their support is no longer needed</w:t>
      </w:r>
      <w:r w:rsidR="0057292B" w:rsidRPr="004E70CE">
        <w:t xml:space="preserve"> or</w:t>
      </w:r>
      <w:r w:rsidR="00E83C9E" w:rsidRPr="004E70CE">
        <w:t xml:space="preserve"> </w:t>
      </w:r>
      <w:r w:rsidR="0057292B" w:rsidRPr="004E70CE">
        <w:t>the</w:t>
      </w:r>
      <w:r w:rsidR="00770378" w:rsidRPr="004E70CE">
        <w:t xml:space="preserve"> </w:t>
      </w:r>
      <w:r w:rsidR="0057292B" w:rsidRPr="004E70CE">
        <w:t xml:space="preserve">benefits of public investments no longer </w:t>
      </w:r>
      <w:r w:rsidR="00B0619E" w:rsidRPr="004E70CE">
        <w:t xml:space="preserve">outweigh </w:t>
      </w:r>
      <w:r w:rsidR="0057292B" w:rsidRPr="004E70CE">
        <w:t>the costs</w:t>
      </w:r>
      <w:r w:rsidR="00D6068E" w:rsidRPr="004E70CE">
        <w:t xml:space="preserve"> </w:t>
      </w:r>
      <w:r w:rsidR="00D75E0D" w:rsidRPr="004E70CE">
        <w:t xml:space="preserve">including </w:t>
      </w:r>
      <w:r w:rsidR="00D6068E" w:rsidRPr="004E70CE">
        <w:t>shifting risk from private investors to the public</w:t>
      </w:r>
      <w:r w:rsidRPr="004E70CE">
        <w:t>.</w:t>
      </w:r>
    </w:p>
    <w:p w14:paraId="66A9FAF4" w14:textId="77777777" w:rsidR="00CB1C96" w:rsidRPr="004E70CE" w:rsidRDefault="000E5A82" w:rsidP="004C7B22">
      <w:r w:rsidRPr="004E70CE">
        <w:t xml:space="preserve">As such, </w:t>
      </w:r>
      <w:r w:rsidR="24479AAA" w:rsidRPr="004E70CE">
        <w:t xml:space="preserve">public investment </w:t>
      </w:r>
      <w:r w:rsidRPr="004E70CE">
        <w:t xml:space="preserve">can have </w:t>
      </w:r>
      <w:r w:rsidR="24479AAA" w:rsidRPr="004E70CE">
        <w:t xml:space="preserve">beneficial role as part of a portfolio of potential options to address leakage, </w:t>
      </w:r>
      <w:r w:rsidR="675F8626" w:rsidRPr="004E70CE">
        <w:t>particularly to support emerging low</w:t>
      </w:r>
      <w:r w:rsidR="001E06C9" w:rsidRPr="004E70CE">
        <w:t xml:space="preserve"> </w:t>
      </w:r>
      <w:r w:rsidR="675F8626" w:rsidRPr="004E70CE">
        <w:t>and zero</w:t>
      </w:r>
      <w:r w:rsidR="001E06C9" w:rsidRPr="004E70CE">
        <w:t xml:space="preserve"> </w:t>
      </w:r>
      <w:r w:rsidR="675F8626" w:rsidRPr="004E70CE">
        <w:t xml:space="preserve">emissions export industries. However, public investment programs </w:t>
      </w:r>
      <w:r w:rsidR="00AA573D" w:rsidRPr="004E70CE">
        <w:t xml:space="preserve">may </w:t>
      </w:r>
      <w:r w:rsidR="24479AAA" w:rsidRPr="004E70CE">
        <w:t xml:space="preserve">not </w:t>
      </w:r>
      <w:r w:rsidR="00AA573D" w:rsidRPr="004E70CE">
        <w:t xml:space="preserve">be sufficient as </w:t>
      </w:r>
      <w:r w:rsidR="24479AAA" w:rsidRPr="004E70CE">
        <w:t>a sustainable solution for commodities with high carbon leakage risk. Many stakeholders expressed similar views in their submissions.</w:t>
      </w:r>
    </w:p>
    <w:p w14:paraId="449A0D99" w14:textId="77777777" w:rsidR="006A22EB" w:rsidRDefault="006A22EB">
      <w:pPr>
        <w:spacing w:after="0" w:line="240" w:lineRule="auto"/>
        <w:rPr>
          <w:b/>
        </w:rPr>
      </w:pPr>
      <w:r>
        <w:rPr>
          <w:b/>
        </w:rPr>
        <w:br w:type="page"/>
      </w:r>
    </w:p>
    <w:p w14:paraId="220D61F2" w14:textId="53BE3F95" w:rsidR="004C7B22" w:rsidRPr="004E70CE" w:rsidRDefault="004C7B22" w:rsidP="001F0325">
      <w:pPr>
        <w:pStyle w:val="Calloutbox"/>
        <w:pBdr>
          <w:top w:val="none" w:sz="0" w:space="0" w:color="auto"/>
          <w:left w:val="none" w:sz="0" w:space="0" w:color="auto"/>
          <w:bottom w:val="none" w:sz="0" w:space="0" w:color="auto"/>
          <w:right w:val="none" w:sz="0" w:space="0" w:color="auto"/>
        </w:pBdr>
        <w:shd w:val="clear" w:color="auto" w:fill="F2F2F2" w:themeFill="accent4" w:themeFillShade="F2"/>
        <w:spacing w:after="200" w:line="276" w:lineRule="auto"/>
        <w:rPr>
          <w:b/>
        </w:rPr>
      </w:pPr>
      <w:r w:rsidRPr="004E70CE">
        <w:rPr>
          <w:b/>
        </w:rPr>
        <w:lastRenderedPageBreak/>
        <w:t>Box 1 – New measures to support industry decarbonisation in the 2024-25 Budget</w:t>
      </w:r>
    </w:p>
    <w:p w14:paraId="76734BB1" w14:textId="7538FFB0" w:rsidR="004C7B22" w:rsidRPr="004E70CE" w:rsidRDefault="004C7B22" w:rsidP="001F0325">
      <w:pPr>
        <w:pStyle w:val="Calloutbox"/>
        <w:pBdr>
          <w:top w:val="none" w:sz="0" w:space="0" w:color="auto"/>
          <w:left w:val="none" w:sz="0" w:space="0" w:color="auto"/>
          <w:bottom w:val="none" w:sz="0" w:space="0" w:color="auto"/>
          <w:right w:val="none" w:sz="0" w:space="0" w:color="auto"/>
        </w:pBdr>
        <w:shd w:val="clear" w:color="auto" w:fill="F2F2F2" w:themeFill="accent4" w:themeFillShade="F2"/>
        <w:spacing w:after="200" w:line="276" w:lineRule="auto"/>
      </w:pPr>
      <w:r w:rsidRPr="004E70CE">
        <w:t>The 2024-25 Budget invests $22.7 billion over the next decade to support the Future Made in Australia agenda.</w:t>
      </w:r>
      <w:r w:rsidRPr="004E70CE">
        <w:rPr>
          <w:rStyle w:val="FootnoteReference"/>
        </w:rPr>
        <w:footnoteReference w:id="14"/>
      </w:r>
      <w:r w:rsidRPr="004E70CE">
        <w:rPr>
          <w:iCs/>
        </w:rPr>
        <w:t xml:space="preserve"> </w:t>
      </w:r>
      <w:r w:rsidRPr="004E70CE">
        <w:t>It includes several new measures to support production and grow markets for low emissions goods, which will also help mitigate leakage risks. These include:</w:t>
      </w:r>
    </w:p>
    <w:p w14:paraId="402BA9C8" w14:textId="27C04C2F" w:rsidR="004C7B22" w:rsidRPr="004E70CE" w:rsidRDefault="004C7B22" w:rsidP="001F0325">
      <w:pPr>
        <w:pStyle w:val="Calloutbox"/>
        <w:numPr>
          <w:ilvl w:val="0"/>
          <w:numId w:val="16"/>
        </w:numPr>
        <w:pBdr>
          <w:top w:val="none" w:sz="0" w:space="0" w:color="auto"/>
          <w:left w:val="none" w:sz="0" w:space="0" w:color="auto"/>
          <w:bottom w:val="none" w:sz="0" w:space="0" w:color="auto"/>
          <w:right w:val="none" w:sz="0" w:space="0" w:color="auto"/>
        </w:pBdr>
        <w:shd w:val="clear" w:color="auto" w:fill="F2F2F2" w:themeFill="accent4" w:themeFillShade="F2"/>
        <w:spacing w:after="200" w:line="276" w:lineRule="auto"/>
      </w:pPr>
      <w:r w:rsidRPr="004E70CE">
        <w:t xml:space="preserve">An estimated $6.7 billion over the </w:t>
      </w:r>
      <w:r w:rsidR="000E0BEF" w:rsidRPr="004E70CE">
        <w:t>medium term to provide a $2 incentive per kilogram of renewable hydrogen produced between 2027-2028 to 2039-</w:t>
      </w:r>
      <w:r w:rsidR="008D167B" w:rsidRPr="004E70CE">
        <w:t>20</w:t>
      </w:r>
      <w:r w:rsidR="008D167B">
        <w:t>40</w:t>
      </w:r>
      <w:r w:rsidR="008D167B" w:rsidRPr="004E70CE">
        <w:t xml:space="preserve"> </w:t>
      </w:r>
      <w:r w:rsidRPr="004E70CE">
        <w:t>for a Hydrogen Production Tax Incentive, to support the growth of a competitive hydrogen industry and Australia’s decarbonisation.</w:t>
      </w:r>
    </w:p>
    <w:p w14:paraId="661D2775" w14:textId="77777777" w:rsidR="004C7B22" w:rsidRPr="004E70CE" w:rsidRDefault="004C7B22" w:rsidP="001F0325">
      <w:pPr>
        <w:pStyle w:val="Calloutbox"/>
        <w:numPr>
          <w:ilvl w:val="0"/>
          <w:numId w:val="16"/>
        </w:numPr>
        <w:pBdr>
          <w:top w:val="none" w:sz="0" w:space="0" w:color="auto"/>
          <w:left w:val="none" w:sz="0" w:space="0" w:color="auto"/>
          <w:bottom w:val="none" w:sz="0" w:space="0" w:color="auto"/>
          <w:right w:val="none" w:sz="0" w:space="0" w:color="auto"/>
        </w:pBdr>
        <w:shd w:val="clear" w:color="auto" w:fill="F2F2F2" w:themeFill="accent4" w:themeFillShade="F2"/>
        <w:spacing w:after="200" w:line="276" w:lineRule="auto"/>
      </w:pPr>
      <w:r w:rsidRPr="004E70CE">
        <w:t>$1.3 billion expansion over the decade for an additional round of the Hydrogen Headstart program, to bridge the green premium for early-mover renewable hydrogen projects.</w:t>
      </w:r>
    </w:p>
    <w:p w14:paraId="077FB07D" w14:textId="77777777" w:rsidR="004C7B22" w:rsidRPr="004E70CE" w:rsidRDefault="004C7B22" w:rsidP="001F0325">
      <w:pPr>
        <w:pStyle w:val="Calloutbox"/>
        <w:numPr>
          <w:ilvl w:val="0"/>
          <w:numId w:val="16"/>
        </w:numPr>
        <w:pBdr>
          <w:top w:val="none" w:sz="0" w:space="0" w:color="auto"/>
          <w:left w:val="none" w:sz="0" w:space="0" w:color="auto"/>
          <w:bottom w:val="none" w:sz="0" w:space="0" w:color="auto"/>
          <w:right w:val="none" w:sz="0" w:space="0" w:color="auto"/>
        </w:pBdr>
        <w:shd w:val="clear" w:color="auto" w:fill="F2F2F2" w:themeFill="accent4" w:themeFillShade="F2"/>
        <w:spacing w:after="200" w:line="276" w:lineRule="auto"/>
      </w:pPr>
      <w:r w:rsidRPr="004E70CE">
        <w:t>$1.5 billion over seven years to the Australian Renewable Energy Agency (ARENA), to supercharge ARENA’s core investments in renewable energy and related technologies.</w:t>
      </w:r>
    </w:p>
    <w:p w14:paraId="48A25DFD" w14:textId="77777777" w:rsidR="004C7B22" w:rsidRPr="004E70CE" w:rsidRDefault="004C7B22" w:rsidP="001F0325">
      <w:pPr>
        <w:pStyle w:val="Calloutbox"/>
        <w:numPr>
          <w:ilvl w:val="0"/>
          <w:numId w:val="16"/>
        </w:numPr>
        <w:pBdr>
          <w:top w:val="none" w:sz="0" w:space="0" w:color="auto"/>
          <w:left w:val="none" w:sz="0" w:space="0" w:color="auto"/>
          <w:bottom w:val="none" w:sz="0" w:space="0" w:color="auto"/>
          <w:right w:val="none" w:sz="0" w:space="0" w:color="auto"/>
        </w:pBdr>
        <w:shd w:val="clear" w:color="auto" w:fill="F2F2F2" w:themeFill="accent4" w:themeFillShade="F2"/>
        <w:spacing w:after="200" w:line="276" w:lineRule="auto"/>
      </w:pPr>
      <w:r w:rsidRPr="004E70CE">
        <w:t>$1.7 billion over the decade to establish the Future Made in Australia Innovation Fund, to be administered by the Australian Renewable Energy Agency, to support innovation, commercialisation, pilot and demonstration projects and early-stage deployments in priority sectors.</w:t>
      </w:r>
    </w:p>
    <w:p w14:paraId="17FC7DB1" w14:textId="77777777" w:rsidR="004C7B22" w:rsidRPr="004E70CE" w:rsidRDefault="004C7B22" w:rsidP="001F0325">
      <w:pPr>
        <w:pStyle w:val="Calloutbox"/>
        <w:numPr>
          <w:ilvl w:val="0"/>
          <w:numId w:val="16"/>
        </w:numPr>
        <w:pBdr>
          <w:top w:val="none" w:sz="0" w:space="0" w:color="auto"/>
          <w:left w:val="none" w:sz="0" w:space="0" w:color="auto"/>
          <w:bottom w:val="none" w:sz="0" w:space="0" w:color="auto"/>
          <w:right w:val="none" w:sz="0" w:space="0" w:color="auto"/>
        </w:pBdr>
        <w:shd w:val="clear" w:color="auto" w:fill="F2F2F2" w:themeFill="accent4" w:themeFillShade="F2"/>
        <w:spacing w:after="200" w:line="276" w:lineRule="auto"/>
      </w:pPr>
      <w:r w:rsidRPr="004E70CE">
        <w:t>An estimated $7 billion over the decade for a Critical Minerals Production Tax Incentive, to support downstream refining and processing of Australia’s 31 critical minerals, including many which will play an important role in decarbonisation.</w:t>
      </w:r>
    </w:p>
    <w:p w14:paraId="4C6EAD6A" w14:textId="77777777" w:rsidR="004C7B22" w:rsidRPr="004E70CE" w:rsidRDefault="004C7B22" w:rsidP="001F0325">
      <w:pPr>
        <w:pStyle w:val="Calloutbox"/>
        <w:numPr>
          <w:ilvl w:val="0"/>
          <w:numId w:val="16"/>
        </w:numPr>
        <w:pBdr>
          <w:top w:val="none" w:sz="0" w:space="0" w:color="auto"/>
          <w:left w:val="none" w:sz="0" w:space="0" w:color="auto"/>
          <w:bottom w:val="none" w:sz="0" w:space="0" w:color="auto"/>
          <w:right w:val="none" w:sz="0" w:space="0" w:color="auto"/>
        </w:pBdr>
        <w:shd w:val="clear" w:color="auto" w:fill="F2F2F2" w:themeFill="accent4" w:themeFillShade="F2"/>
        <w:spacing w:after="200" w:line="276" w:lineRule="auto"/>
      </w:pPr>
      <w:r w:rsidRPr="004E70CE">
        <w:t>$32.3 million over the forward estimates to fast</w:t>
      </w:r>
      <w:r w:rsidRPr="004E70CE">
        <w:rPr>
          <w:rFonts w:ascii="Cambria Math" w:hAnsi="Cambria Math" w:cs="Cambria Math"/>
        </w:rPr>
        <w:t xml:space="preserve"> </w:t>
      </w:r>
      <w:r w:rsidRPr="004E70CE">
        <w:t>track the initial phase of the Guarantee of Origin Scheme to measure and certify emissions intensity across the supply chain of key products, support the expansion of the program to green metals and low</w:t>
      </w:r>
      <w:r w:rsidRPr="004E70CE">
        <w:rPr>
          <w:rFonts w:ascii="Cambria Math" w:hAnsi="Cambria Math" w:cs="Cambria Math"/>
        </w:rPr>
        <w:t xml:space="preserve"> </w:t>
      </w:r>
      <w:r w:rsidRPr="004E70CE">
        <w:t>carbon liquid fuels, and consult on additional incentives to support production in these industries.</w:t>
      </w:r>
    </w:p>
    <w:p w14:paraId="4CFFAB9A" w14:textId="77777777" w:rsidR="004C7B22" w:rsidRPr="004E70CE" w:rsidRDefault="004C7B22" w:rsidP="001F0325">
      <w:pPr>
        <w:pStyle w:val="Calloutbox"/>
        <w:pBdr>
          <w:top w:val="none" w:sz="0" w:space="0" w:color="auto"/>
          <w:left w:val="none" w:sz="0" w:space="0" w:color="auto"/>
          <w:bottom w:val="none" w:sz="0" w:space="0" w:color="auto"/>
          <w:right w:val="none" w:sz="0" w:space="0" w:color="auto"/>
        </w:pBdr>
        <w:shd w:val="clear" w:color="auto" w:fill="F2F2F2" w:themeFill="accent4" w:themeFillShade="F2"/>
        <w:spacing w:after="200" w:line="276" w:lineRule="auto"/>
      </w:pPr>
      <w:r w:rsidRPr="004E70CE">
        <w:t>These measures build on existing public investment programs and investments to help industry shift to low emissions production, including:</w:t>
      </w:r>
    </w:p>
    <w:p w14:paraId="07670299" w14:textId="77777777" w:rsidR="004C7B22" w:rsidRPr="004E70CE" w:rsidRDefault="004C7B22" w:rsidP="001F0325">
      <w:pPr>
        <w:pStyle w:val="Calloutbox"/>
        <w:numPr>
          <w:ilvl w:val="0"/>
          <w:numId w:val="16"/>
        </w:numPr>
        <w:pBdr>
          <w:top w:val="none" w:sz="0" w:space="0" w:color="auto"/>
          <w:left w:val="none" w:sz="0" w:space="0" w:color="auto"/>
          <w:bottom w:val="none" w:sz="0" w:space="0" w:color="auto"/>
          <w:right w:val="none" w:sz="0" w:space="0" w:color="auto"/>
        </w:pBdr>
        <w:shd w:val="clear" w:color="auto" w:fill="F2F2F2" w:themeFill="accent4" w:themeFillShade="F2"/>
        <w:spacing w:after="0" w:line="276" w:lineRule="auto"/>
      </w:pPr>
      <w:r w:rsidRPr="004E70CE">
        <w:t xml:space="preserve">Powering the Regions Fund </w:t>
      </w:r>
    </w:p>
    <w:p w14:paraId="15DB5E48" w14:textId="77777777" w:rsidR="004C7B22" w:rsidRPr="004E70CE" w:rsidRDefault="004C7B22" w:rsidP="001F0325">
      <w:pPr>
        <w:pStyle w:val="Calloutbox"/>
        <w:numPr>
          <w:ilvl w:val="0"/>
          <w:numId w:val="16"/>
        </w:numPr>
        <w:pBdr>
          <w:top w:val="none" w:sz="0" w:space="0" w:color="auto"/>
          <w:left w:val="none" w:sz="0" w:space="0" w:color="auto"/>
          <w:bottom w:val="none" w:sz="0" w:space="0" w:color="auto"/>
          <w:right w:val="none" w:sz="0" w:space="0" w:color="auto"/>
        </w:pBdr>
        <w:shd w:val="clear" w:color="auto" w:fill="F2F2F2" w:themeFill="accent4" w:themeFillShade="F2"/>
        <w:spacing w:after="0" w:line="276" w:lineRule="auto"/>
      </w:pPr>
      <w:r w:rsidRPr="004E70CE">
        <w:t xml:space="preserve">Australian Renewable Energy Agency </w:t>
      </w:r>
    </w:p>
    <w:p w14:paraId="1BBCBA90" w14:textId="77777777" w:rsidR="004C7B22" w:rsidRPr="004E70CE" w:rsidRDefault="004C7B22" w:rsidP="001F0325">
      <w:pPr>
        <w:pStyle w:val="Calloutbox"/>
        <w:numPr>
          <w:ilvl w:val="0"/>
          <w:numId w:val="16"/>
        </w:numPr>
        <w:pBdr>
          <w:top w:val="none" w:sz="0" w:space="0" w:color="auto"/>
          <w:left w:val="none" w:sz="0" w:space="0" w:color="auto"/>
          <w:bottom w:val="none" w:sz="0" w:space="0" w:color="auto"/>
          <w:right w:val="none" w:sz="0" w:space="0" w:color="auto"/>
        </w:pBdr>
        <w:shd w:val="clear" w:color="auto" w:fill="F2F2F2" w:themeFill="accent4" w:themeFillShade="F2"/>
        <w:spacing w:after="0" w:line="276" w:lineRule="auto"/>
      </w:pPr>
      <w:r w:rsidRPr="004E70CE">
        <w:t xml:space="preserve">Clean Energy Finance Corporation </w:t>
      </w:r>
    </w:p>
    <w:p w14:paraId="324DE7F3" w14:textId="462C377B" w:rsidR="004C7B22" w:rsidRPr="004E70CE" w:rsidRDefault="004C7B22" w:rsidP="001F0325">
      <w:pPr>
        <w:pStyle w:val="Calloutbox"/>
        <w:numPr>
          <w:ilvl w:val="0"/>
          <w:numId w:val="16"/>
        </w:numPr>
        <w:pBdr>
          <w:top w:val="none" w:sz="0" w:space="0" w:color="auto"/>
          <w:left w:val="none" w:sz="0" w:space="0" w:color="auto"/>
          <w:bottom w:val="none" w:sz="0" w:space="0" w:color="auto"/>
          <w:right w:val="none" w:sz="0" w:space="0" w:color="auto"/>
        </w:pBdr>
        <w:shd w:val="clear" w:color="auto" w:fill="F2F2F2" w:themeFill="accent4" w:themeFillShade="F2"/>
        <w:spacing w:after="0" w:line="276" w:lineRule="auto"/>
      </w:pPr>
      <w:r w:rsidRPr="004E70CE">
        <w:t>Hydrogen Headstart and the Regional Hydrogen Hubs Program</w:t>
      </w:r>
    </w:p>
    <w:p w14:paraId="71C8339C" w14:textId="77777777" w:rsidR="004C7B22" w:rsidRPr="004E70CE" w:rsidRDefault="004C7B22" w:rsidP="001F0325">
      <w:pPr>
        <w:pStyle w:val="Calloutbox"/>
        <w:numPr>
          <w:ilvl w:val="0"/>
          <w:numId w:val="16"/>
        </w:numPr>
        <w:pBdr>
          <w:top w:val="none" w:sz="0" w:space="0" w:color="auto"/>
          <w:left w:val="none" w:sz="0" w:space="0" w:color="auto"/>
          <w:bottom w:val="none" w:sz="0" w:space="0" w:color="auto"/>
          <w:right w:val="none" w:sz="0" w:space="0" w:color="auto"/>
        </w:pBdr>
        <w:shd w:val="clear" w:color="auto" w:fill="F2F2F2" w:themeFill="accent4" w:themeFillShade="F2"/>
        <w:spacing w:after="0" w:line="276" w:lineRule="auto"/>
      </w:pPr>
      <w:r w:rsidRPr="004E70CE">
        <w:t xml:space="preserve">National Reconstruction Fund Corporation </w:t>
      </w:r>
    </w:p>
    <w:p w14:paraId="2870DBD0" w14:textId="77777777" w:rsidR="004C7B22" w:rsidRPr="004E70CE" w:rsidRDefault="004C7B22" w:rsidP="001F0325">
      <w:pPr>
        <w:pStyle w:val="Calloutbox"/>
        <w:numPr>
          <w:ilvl w:val="0"/>
          <w:numId w:val="16"/>
        </w:numPr>
        <w:pBdr>
          <w:top w:val="none" w:sz="0" w:space="0" w:color="auto"/>
          <w:left w:val="none" w:sz="0" w:space="0" w:color="auto"/>
          <w:bottom w:val="none" w:sz="0" w:space="0" w:color="auto"/>
          <w:right w:val="none" w:sz="0" w:space="0" w:color="auto"/>
        </w:pBdr>
        <w:shd w:val="clear" w:color="auto" w:fill="F2F2F2" w:themeFill="accent4" w:themeFillShade="F2"/>
        <w:spacing w:after="0" w:line="276" w:lineRule="auto"/>
      </w:pPr>
      <w:r w:rsidRPr="004E70CE">
        <w:t xml:space="preserve">Northern Australia Infrastructure Fund </w:t>
      </w:r>
    </w:p>
    <w:p w14:paraId="0CAD8306" w14:textId="77777777" w:rsidR="004C7B22" w:rsidRPr="004E70CE" w:rsidRDefault="004C7B22" w:rsidP="001F0325">
      <w:pPr>
        <w:pStyle w:val="Calloutbox"/>
        <w:numPr>
          <w:ilvl w:val="0"/>
          <w:numId w:val="16"/>
        </w:numPr>
        <w:pBdr>
          <w:top w:val="none" w:sz="0" w:space="0" w:color="auto"/>
          <w:left w:val="none" w:sz="0" w:space="0" w:color="auto"/>
          <w:bottom w:val="none" w:sz="0" w:space="0" w:color="auto"/>
          <w:right w:val="none" w:sz="0" w:space="0" w:color="auto"/>
        </w:pBdr>
        <w:shd w:val="clear" w:color="auto" w:fill="F2F2F2" w:themeFill="accent4" w:themeFillShade="F2"/>
        <w:spacing w:after="0" w:line="276" w:lineRule="auto"/>
      </w:pPr>
      <w:r w:rsidRPr="004E70CE">
        <w:t xml:space="preserve">Rewiring the Nation </w:t>
      </w:r>
    </w:p>
    <w:p w14:paraId="77882317" w14:textId="77777777" w:rsidR="00C60D6D" w:rsidRPr="004E70CE" w:rsidRDefault="004C7B22" w:rsidP="001F0325">
      <w:pPr>
        <w:pStyle w:val="Calloutbox"/>
        <w:numPr>
          <w:ilvl w:val="0"/>
          <w:numId w:val="16"/>
        </w:numPr>
        <w:pBdr>
          <w:top w:val="none" w:sz="0" w:space="0" w:color="auto"/>
          <w:left w:val="none" w:sz="0" w:space="0" w:color="auto"/>
          <w:bottom w:val="none" w:sz="0" w:space="0" w:color="auto"/>
          <w:right w:val="none" w:sz="0" w:space="0" w:color="auto"/>
        </w:pBdr>
        <w:shd w:val="clear" w:color="auto" w:fill="F2F2F2" w:themeFill="accent4" w:themeFillShade="F2"/>
        <w:spacing w:after="200" w:line="276" w:lineRule="auto"/>
      </w:pPr>
      <w:r w:rsidRPr="004E70CE">
        <w:t>Capacity Investment Scheme.</w:t>
      </w:r>
      <w:r w:rsidR="00C60D6D" w:rsidRPr="004E70CE">
        <w:br w:type="page"/>
      </w:r>
    </w:p>
    <w:p w14:paraId="3CB7261D" w14:textId="4A933AE3" w:rsidR="009216B1" w:rsidRPr="004E70CE" w:rsidRDefault="00A54724" w:rsidP="00CB1C96">
      <w:pPr>
        <w:pStyle w:val="Heading3"/>
        <w:numPr>
          <w:ilvl w:val="1"/>
          <w:numId w:val="11"/>
        </w:numPr>
        <w:spacing w:line="276" w:lineRule="auto"/>
        <w:ind w:left="709" w:hanging="709"/>
        <w:rPr>
          <w:sz w:val="32"/>
          <w:szCs w:val="20"/>
        </w:rPr>
      </w:pPr>
      <w:bookmarkStart w:id="13" w:name="_Toc173997658"/>
      <w:r w:rsidRPr="004E70CE">
        <w:rPr>
          <w:sz w:val="32"/>
          <w:szCs w:val="20"/>
        </w:rPr>
        <w:lastRenderedPageBreak/>
        <w:t>Assess</w:t>
      </w:r>
      <w:r w:rsidR="008E39DD" w:rsidRPr="004E70CE">
        <w:rPr>
          <w:sz w:val="32"/>
          <w:szCs w:val="20"/>
        </w:rPr>
        <w:t>ing</w:t>
      </w:r>
      <w:r w:rsidR="00137236" w:rsidRPr="004E70CE">
        <w:rPr>
          <w:sz w:val="32"/>
          <w:szCs w:val="20"/>
        </w:rPr>
        <w:t xml:space="preserve"> </w:t>
      </w:r>
      <w:r w:rsidR="00044021" w:rsidRPr="004E70CE">
        <w:rPr>
          <w:sz w:val="32"/>
          <w:szCs w:val="20"/>
        </w:rPr>
        <w:t>carbon</w:t>
      </w:r>
      <w:r w:rsidR="00137236" w:rsidRPr="004E70CE">
        <w:rPr>
          <w:sz w:val="32"/>
          <w:szCs w:val="20"/>
        </w:rPr>
        <w:t xml:space="preserve"> </w:t>
      </w:r>
      <w:r w:rsidR="009216B1" w:rsidRPr="004E70CE">
        <w:rPr>
          <w:sz w:val="32"/>
          <w:szCs w:val="20"/>
        </w:rPr>
        <w:t>leakage risks</w:t>
      </w:r>
      <w:bookmarkEnd w:id="13"/>
      <w:r w:rsidR="005708C9" w:rsidRPr="004E70CE">
        <w:rPr>
          <w:sz w:val="32"/>
          <w:szCs w:val="20"/>
        </w:rPr>
        <w:t xml:space="preserve"> </w:t>
      </w:r>
    </w:p>
    <w:p w14:paraId="593DEAA5" w14:textId="45A30667" w:rsidR="00FC0672" w:rsidRPr="004E70CE" w:rsidRDefault="2114ED75" w:rsidP="00CB1C96">
      <w:pPr>
        <w:widowControl w:val="0"/>
        <w:shd w:val="clear" w:color="auto" w:fill="FFFFFF" w:themeFill="accent6"/>
        <w:rPr>
          <w:szCs w:val="18"/>
        </w:rPr>
      </w:pPr>
      <w:r w:rsidRPr="004E70CE">
        <w:t>The Review assess</w:t>
      </w:r>
      <w:r w:rsidR="1151BDDC" w:rsidRPr="004E70CE">
        <w:t>e</w:t>
      </w:r>
      <w:r w:rsidR="38AD27D6" w:rsidRPr="004E70CE">
        <w:t>s</w:t>
      </w:r>
      <w:r w:rsidRPr="004E70CE">
        <w:t xml:space="preserve"> leakage </w:t>
      </w:r>
      <w:r w:rsidR="533EEC58" w:rsidRPr="004E70CE">
        <w:t xml:space="preserve">risks for </w:t>
      </w:r>
      <w:r w:rsidR="496FBED7" w:rsidRPr="004E70CE">
        <w:t>all 73 trade</w:t>
      </w:r>
      <w:r w:rsidR="003A117C" w:rsidRPr="004E70CE">
        <w:t>-</w:t>
      </w:r>
      <w:r w:rsidR="496FBED7" w:rsidRPr="004E70CE">
        <w:t xml:space="preserve">exposed commodities </w:t>
      </w:r>
      <w:r w:rsidRPr="004E70CE">
        <w:t>under the Safeguard Mechanism</w:t>
      </w:r>
      <w:r w:rsidR="3576F441" w:rsidRPr="004E70CE">
        <w:t xml:space="preserve"> Rule</w:t>
      </w:r>
      <w:r w:rsidRPr="004E70CE">
        <w:t>.</w:t>
      </w:r>
      <w:r w:rsidR="006C4C5C" w:rsidRPr="004E70CE">
        <w:rPr>
          <w:rStyle w:val="FootnoteReference"/>
        </w:rPr>
        <w:footnoteReference w:id="15"/>
      </w:r>
      <w:r w:rsidRPr="004E70CE">
        <w:t xml:space="preserve"> </w:t>
      </w:r>
      <w:r w:rsidR="04C164B6" w:rsidRPr="004E70CE">
        <w:t xml:space="preserve">To streamline the analysis, these commodities are grouped into </w:t>
      </w:r>
      <w:r w:rsidR="00893EBC" w:rsidRPr="004E70CE">
        <w:t xml:space="preserve">37 </w:t>
      </w:r>
      <w:r w:rsidR="04C164B6" w:rsidRPr="004E70CE">
        <w:t>commodity categories.</w:t>
      </w:r>
      <w:r w:rsidR="000C6218" w:rsidRPr="004E70CE">
        <w:rPr>
          <w:rStyle w:val="FootnoteReference"/>
        </w:rPr>
        <w:footnoteReference w:id="16"/>
      </w:r>
      <w:r w:rsidR="04C164B6" w:rsidRPr="004E70CE">
        <w:t xml:space="preserve"> </w:t>
      </w:r>
      <w:r w:rsidR="004E6784" w:rsidRPr="004E70CE">
        <w:t xml:space="preserve">Some trade-exposed commodities are not yet produced </w:t>
      </w:r>
      <w:r w:rsidR="008D167B">
        <w:t>and</w:t>
      </w:r>
      <w:r w:rsidR="008D167B" w:rsidRPr="004E70CE">
        <w:t xml:space="preserve"> </w:t>
      </w:r>
      <w:r w:rsidR="004E6784" w:rsidRPr="004E70CE">
        <w:t>traded at commercial scale in Australia and are not assessed due to insufficient data. These commodities include liquid and gaseous hydrogen,</w:t>
      </w:r>
      <w:r w:rsidR="00204F51" w:rsidRPr="004E70CE">
        <w:t xml:space="preserve"> </w:t>
      </w:r>
      <w:r w:rsidR="004E6784" w:rsidRPr="004E70CE">
        <w:t xml:space="preserve">primary iron, lithium hydroxide, renewable aviation kerosene and renewable diesel.    </w:t>
      </w:r>
      <w:r w:rsidR="207A8429" w:rsidRPr="004E70CE">
        <w:t xml:space="preserve"> </w:t>
      </w:r>
    </w:p>
    <w:p w14:paraId="375F9A0D" w14:textId="77777777" w:rsidR="00D24718" w:rsidRPr="004E70CE" w:rsidRDefault="0070571B" w:rsidP="00CB1C96">
      <w:pPr>
        <w:widowControl w:val="0"/>
        <w:shd w:val="clear" w:color="auto" w:fill="FFFFFF" w:themeFill="accent6"/>
      </w:pPr>
      <w:r w:rsidRPr="004E70CE">
        <w:t xml:space="preserve">Imports </w:t>
      </w:r>
      <w:r w:rsidR="00824318" w:rsidRPr="004E70CE">
        <w:t xml:space="preserve">and exports </w:t>
      </w:r>
      <w:r w:rsidRPr="004E70CE">
        <w:t>of t</w:t>
      </w:r>
      <w:r w:rsidR="2C32D358" w:rsidRPr="004E70CE">
        <w:t xml:space="preserve">hese </w:t>
      </w:r>
      <w:r w:rsidR="207A8429" w:rsidRPr="004E70CE">
        <w:t xml:space="preserve">commodities </w:t>
      </w:r>
      <w:r w:rsidRPr="004E70CE">
        <w:t>were worth A$</w:t>
      </w:r>
      <w:r w:rsidR="00A96AD5" w:rsidRPr="004E70CE">
        <w:t xml:space="preserve">417 </w:t>
      </w:r>
      <w:r w:rsidRPr="004E70CE">
        <w:t>billion</w:t>
      </w:r>
      <w:r w:rsidR="00824318" w:rsidRPr="004E70CE">
        <w:t xml:space="preserve"> in 2023</w:t>
      </w:r>
      <w:r w:rsidRPr="004E70CE">
        <w:t xml:space="preserve">, </w:t>
      </w:r>
      <w:r w:rsidR="00824318" w:rsidRPr="004E70CE">
        <w:t>making up</w:t>
      </w:r>
      <w:r w:rsidR="6C4DC482" w:rsidRPr="004E70CE">
        <w:t xml:space="preserve"> </w:t>
      </w:r>
      <w:r w:rsidR="00824318" w:rsidRPr="004E70CE">
        <w:t>42</w:t>
      </w:r>
      <w:r w:rsidRPr="004E70CE">
        <w:t>%</w:t>
      </w:r>
      <w:r w:rsidR="6C4DC482" w:rsidRPr="004E70CE">
        <w:t xml:space="preserve"> of </w:t>
      </w:r>
      <w:r w:rsidR="00824318" w:rsidRPr="004E70CE">
        <w:t xml:space="preserve">the value of </w:t>
      </w:r>
      <w:r w:rsidR="6C4DC482" w:rsidRPr="004E70CE">
        <w:t xml:space="preserve">total </w:t>
      </w:r>
      <w:r w:rsidR="00824318" w:rsidRPr="004E70CE">
        <w:t xml:space="preserve">Australian trade in all goods in that </w:t>
      </w:r>
      <w:r w:rsidR="64590B61" w:rsidRPr="004E70CE" w:rsidDel="007606EF">
        <w:t>year</w:t>
      </w:r>
      <w:r w:rsidRPr="004E70CE">
        <w:t xml:space="preserve">. </w:t>
      </w:r>
    </w:p>
    <w:p w14:paraId="69A5C3F4" w14:textId="77777777" w:rsidR="00AE6214" w:rsidRPr="004E70CE" w:rsidRDefault="00AE6214" w:rsidP="00CB1C96">
      <w:pPr>
        <w:pStyle w:val="BodyText"/>
        <w:spacing w:before="0" w:after="200" w:line="276" w:lineRule="auto"/>
        <w:rPr>
          <w:sz w:val="22"/>
          <w:szCs w:val="22"/>
        </w:rPr>
      </w:pPr>
      <w:r w:rsidRPr="004E70CE">
        <w:rPr>
          <w:sz w:val="22"/>
          <w:szCs w:val="22"/>
        </w:rPr>
        <w:t xml:space="preserve">Table </w:t>
      </w:r>
      <w:r w:rsidR="00172807" w:rsidRPr="004E70CE">
        <w:rPr>
          <w:sz w:val="22"/>
          <w:szCs w:val="22"/>
        </w:rPr>
        <w:t>1</w:t>
      </w:r>
      <w:r w:rsidRPr="004E70CE">
        <w:rPr>
          <w:sz w:val="22"/>
          <w:szCs w:val="22"/>
        </w:rPr>
        <w:t xml:space="preserve"> below shows value </w:t>
      </w:r>
      <w:r w:rsidR="00182CA8" w:rsidRPr="004E70CE">
        <w:rPr>
          <w:sz w:val="22"/>
          <w:szCs w:val="22"/>
        </w:rPr>
        <w:t>of</w:t>
      </w:r>
      <w:r w:rsidRPr="004E70CE">
        <w:rPr>
          <w:sz w:val="22"/>
          <w:szCs w:val="22"/>
        </w:rPr>
        <w:t xml:space="preserve"> trade for goods covered by a Safeguard production variable grouped into categories. This identifies whether a category is associated with a high value of trade and the value of trade in exports and imports.</w:t>
      </w:r>
    </w:p>
    <w:p w14:paraId="175B62AD" w14:textId="53CF1157" w:rsidR="00AE6214" w:rsidRPr="004E70CE" w:rsidRDefault="00AE6214" w:rsidP="00CB1C96">
      <w:pPr>
        <w:rPr>
          <w:b/>
          <w:bCs/>
        </w:rPr>
      </w:pPr>
      <w:bookmarkStart w:id="14" w:name="_Toc166267174"/>
      <w:r w:rsidRPr="004E70CE">
        <w:rPr>
          <w:b/>
        </w:rPr>
        <w:t xml:space="preserve">Table </w:t>
      </w:r>
      <w:r w:rsidR="00F85FB5" w:rsidRPr="004E70CE">
        <w:rPr>
          <w:b/>
          <w:bCs/>
        </w:rPr>
        <w:t>1</w:t>
      </w:r>
      <w:r w:rsidRPr="004E70CE">
        <w:rPr>
          <w:b/>
        </w:rPr>
        <w:t xml:space="preserve">: Australian </w:t>
      </w:r>
      <w:r w:rsidR="00F85FB5" w:rsidRPr="004E70CE">
        <w:rPr>
          <w:b/>
          <w:bCs/>
        </w:rPr>
        <w:t xml:space="preserve">trade </w:t>
      </w:r>
      <w:r w:rsidRPr="004E70CE">
        <w:rPr>
          <w:b/>
        </w:rPr>
        <w:t xml:space="preserve">of Safeguard Mechanism-covered goods </w:t>
      </w:r>
      <w:r w:rsidR="00182CA8" w:rsidRPr="004E70CE">
        <w:rPr>
          <w:b/>
        </w:rPr>
        <w:t xml:space="preserve">in </w:t>
      </w:r>
      <w:r w:rsidRPr="004E70CE">
        <w:rPr>
          <w:b/>
        </w:rPr>
        <w:t>2023</w:t>
      </w:r>
      <w:r w:rsidR="00182CA8" w:rsidRPr="004E70CE">
        <w:rPr>
          <w:rStyle w:val="FootnoteReference"/>
          <w:b/>
        </w:rPr>
        <w:footnoteReference w:id="17"/>
      </w:r>
      <w:r w:rsidRPr="004E70CE">
        <w:rPr>
          <w:b/>
        </w:rPr>
        <w:t xml:space="preserve"> </w:t>
      </w:r>
      <w:bookmarkEnd w:id="14"/>
    </w:p>
    <w:tbl>
      <w:tblPr>
        <w:tblStyle w:val="ListTable3-Accent1"/>
        <w:tblW w:w="9488" w:type="dxa"/>
        <w:tblLook w:val="04A0" w:firstRow="1" w:lastRow="0" w:firstColumn="1" w:lastColumn="0" w:noHBand="0" w:noVBand="1"/>
      </w:tblPr>
      <w:tblGrid>
        <w:gridCol w:w="3288"/>
        <w:gridCol w:w="2211"/>
        <w:gridCol w:w="1757"/>
        <w:gridCol w:w="2232"/>
      </w:tblGrid>
      <w:tr w:rsidR="00C15D87" w:rsidRPr="004E70CE" w14:paraId="067DAF6F" w14:textId="77777777" w:rsidTr="003B1A9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3288" w:type="dxa"/>
            <w:noWrap/>
            <w:hideMark/>
          </w:tcPr>
          <w:p w14:paraId="27E54411" w14:textId="77777777" w:rsidR="00AE6214" w:rsidRPr="004E70CE" w:rsidRDefault="00AE6214">
            <w:pPr>
              <w:spacing w:after="0" w:line="240" w:lineRule="auto"/>
              <w:rPr>
                <w:rFonts w:ascii="Calibri" w:eastAsia="Times New Roman" w:hAnsi="Calibri" w:cs="Calibri"/>
                <w:b w:val="0"/>
                <w:lang w:eastAsia="ja-JP"/>
              </w:rPr>
            </w:pPr>
            <w:r w:rsidRPr="004E70CE">
              <w:rPr>
                <w:rFonts w:ascii="Calibri" w:eastAsia="Times New Roman" w:hAnsi="Calibri" w:cs="Calibri"/>
                <w:lang w:eastAsia="ja-JP"/>
              </w:rPr>
              <w:t>Category</w:t>
            </w:r>
          </w:p>
        </w:tc>
        <w:tc>
          <w:tcPr>
            <w:tcW w:w="2211" w:type="dxa"/>
            <w:noWrap/>
            <w:hideMark/>
          </w:tcPr>
          <w:p w14:paraId="21710304" w14:textId="77777777" w:rsidR="00AE6214" w:rsidRPr="004E70CE" w:rsidRDefault="00AE6214" w:rsidP="00CB1C96">
            <w:pPr>
              <w:spacing w:after="0" w:line="240" w:lineRule="auto"/>
              <w:ind w:right="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lang w:eastAsia="ja-JP"/>
              </w:rPr>
            </w:pPr>
            <w:r w:rsidRPr="004E70CE">
              <w:rPr>
                <w:rFonts w:ascii="Calibri" w:eastAsia="Times New Roman" w:hAnsi="Calibri" w:cs="Calibri"/>
                <w:lang w:eastAsia="ja-JP"/>
              </w:rPr>
              <w:t xml:space="preserve">Import </w:t>
            </w:r>
            <w:r w:rsidR="00930C4B" w:rsidRPr="004E70CE">
              <w:rPr>
                <w:rFonts w:ascii="Calibri" w:eastAsia="Times New Roman" w:hAnsi="Calibri" w:cs="Calibri"/>
                <w:lang w:eastAsia="ja-JP"/>
              </w:rPr>
              <w:br/>
            </w:r>
            <w:r w:rsidR="00930C4B" w:rsidRPr="004E70CE">
              <w:t>(</w:t>
            </w:r>
            <w:r w:rsidR="00182CA8" w:rsidRPr="004E70CE">
              <w:t>A</w:t>
            </w:r>
            <w:r w:rsidR="00930C4B" w:rsidRPr="004E70CE">
              <w:t>$ million)</w:t>
            </w:r>
          </w:p>
        </w:tc>
        <w:tc>
          <w:tcPr>
            <w:tcW w:w="1757" w:type="dxa"/>
            <w:noWrap/>
            <w:hideMark/>
          </w:tcPr>
          <w:p w14:paraId="078D64D5" w14:textId="77777777" w:rsidR="00AE6214" w:rsidRPr="004E70CE" w:rsidRDefault="00AE6214" w:rsidP="00CB1C9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lang w:eastAsia="ja-JP"/>
              </w:rPr>
            </w:pPr>
            <w:r w:rsidRPr="004E70CE">
              <w:rPr>
                <w:rFonts w:ascii="Calibri" w:eastAsia="Times New Roman" w:hAnsi="Calibri" w:cs="Calibri"/>
                <w:lang w:eastAsia="ja-JP"/>
              </w:rPr>
              <w:t xml:space="preserve">Export </w:t>
            </w:r>
            <w:r w:rsidR="00930C4B" w:rsidRPr="004E70CE">
              <w:rPr>
                <w:rFonts w:ascii="Calibri" w:eastAsia="Times New Roman" w:hAnsi="Calibri" w:cs="Calibri"/>
                <w:lang w:eastAsia="ja-JP"/>
              </w:rPr>
              <w:br/>
            </w:r>
            <w:r w:rsidR="00930C4B" w:rsidRPr="004E70CE">
              <w:t>(</w:t>
            </w:r>
            <w:r w:rsidR="00182CA8" w:rsidRPr="004E70CE">
              <w:t>A</w:t>
            </w:r>
            <w:r w:rsidR="00930C4B" w:rsidRPr="004E70CE">
              <w:t xml:space="preserve">$ </w:t>
            </w:r>
            <w:r w:rsidR="00CB1C96" w:rsidRPr="004E70CE">
              <w:t>m</w:t>
            </w:r>
            <w:r w:rsidR="00930C4B" w:rsidRPr="004E70CE">
              <w:t>illion)</w:t>
            </w:r>
          </w:p>
        </w:tc>
        <w:tc>
          <w:tcPr>
            <w:tcW w:w="2232" w:type="dxa"/>
            <w:noWrap/>
            <w:hideMark/>
          </w:tcPr>
          <w:p w14:paraId="5661F194" w14:textId="77777777" w:rsidR="00AE6214" w:rsidRPr="004E70CE" w:rsidRDefault="00AE6214" w:rsidP="00CB1C96">
            <w:pPr>
              <w:spacing w:after="0" w:line="240" w:lineRule="auto"/>
              <w:ind w:right="34"/>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lang w:eastAsia="ja-JP"/>
              </w:rPr>
            </w:pPr>
            <w:r w:rsidRPr="004E70CE">
              <w:rPr>
                <w:rFonts w:ascii="Calibri" w:eastAsia="Times New Roman" w:hAnsi="Calibri" w:cs="Calibri"/>
                <w:lang w:eastAsia="ja-JP"/>
              </w:rPr>
              <w:t xml:space="preserve">Import </w:t>
            </w:r>
            <w:r w:rsidR="00301665" w:rsidRPr="004E70CE">
              <w:rPr>
                <w:rFonts w:ascii="Calibri" w:eastAsia="Times New Roman" w:hAnsi="Calibri" w:cs="Calibri"/>
                <w:lang w:eastAsia="ja-JP"/>
              </w:rPr>
              <w:t>s</w:t>
            </w:r>
            <w:r w:rsidRPr="004E70CE">
              <w:rPr>
                <w:rFonts w:ascii="Calibri" w:eastAsia="Times New Roman" w:hAnsi="Calibri" w:cs="Calibri"/>
                <w:lang w:eastAsia="ja-JP"/>
              </w:rPr>
              <w:t>hare of total trade (%)</w:t>
            </w:r>
          </w:p>
        </w:tc>
      </w:tr>
      <w:tr w:rsidR="00C15D87" w:rsidRPr="004E70CE" w14:paraId="341BED15" w14:textId="77777777" w:rsidTr="00287E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1EBFE1AF" w14:textId="7777777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Alumina</w:t>
            </w:r>
          </w:p>
        </w:tc>
        <w:tc>
          <w:tcPr>
            <w:tcW w:w="2211" w:type="dxa"/>
            <w:noWrap/>
            <w:hideMark/>
          </w:tcPr>
          <w:p w14:paraId="4241BE6E"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44</w:t>
            </w:r>
          </w:p>
        </w:tc>
        <w:tc>
          <w:tcPr>
            <w:tcW w:w="1757" w:type="dxa"/>
            <w:noWrap/>
            <w:hideMark/>
          </w:tcPr>
          <w:p w14:paraId="6F336337"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7,543</w:t>
            </w:r>
          </w:p>
        </w:tc>
        <w:tc>
          <w:tcPr>
            <w:tcW w:w="2232" w:type="dxa"/>
            <w:noWrap/>
            <w:hideMark/>
          </w:tcPr>
          <w:p w14:paraId="21722C58" w14:textId="77777777" w:rsidR="00AE6214" w:rsidRPr="004E70CE" w:rsidRDefault="00AE6214">
            <w:pPr>
              <w:spacing w:after="0" w:line="240" w:lineRule="auto"/>
              <w:ind w:right="44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 xml:space="preserve">       </w:t>
            </w:r>
            <w:r w:rsidR="001247A6" w:rsidRPr="004E70CE">
              <w:rPr>
                <w:rFonts w:ascii="Calibri" w:eastAsia="Times New Roman" w:hAnsi="Calibri" w:cs="Calibri"/>
                <w:color w:val="000000"/>
                <w:lang w:eastAsia="ja-JP"/>
              </w:rPr>
              <w:t>1</w:t>
            </w:r>
          </w:p>
        </w:tc>
      </w:tr>
      <w:tr w:rsidR="00C15D87" w:rsidRPr="004E70CE" w14:paraId="5D711A97" w14:textId="77777777" w:rsidTr="00287E84">
        <w:trPr>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2E63128D" w14:textId="7777777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Aluminium</w:t>
            </w:r>
          </w:p>
        </w:tc>
        <w:tc>
          <w:tcPr>
            <w:tcW w:w="2211" w:type="dxa"/>
            <w:noWrap/>
            <w:hideMark/>
          </w:tcPr>
          <w:p w14:paraId="29CB6F7C"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202</w:t>
            </w:r>
          </w:p>
        </w:tc>
        <w:tc>
          <w:tcPr>
            <w:tcW w:w="1757" w:type="dxa"/>
            <w:noWrap/>
            <w:hideMark/>
          </w:tcPr>
          <w:p w14:paraId="7C80ADBA"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4,723</w:t>
            </w:r>
          </w:p>
        </w:tc>
        <w:tc>
          <w:tcPr>
            <w:tcW w:w="2232" w:type="dxa"/>
            <w:noWrap/>
            <w:hideMark/>
          </w:tcPr>
          <w:p w14:paraId="6F95B5EC" w14:textId="77777777" w:rsidR="00AE6214" w:rsidRPr="004E70CE" w:rsidRDefault="001247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4</w:t>
            </w:r>
          </w:p>
        </w:tc>
      </w:tr>
      <w:tr w:rsidR="00C15D87" w:rsidRPr="004E70CE" w14:paraId="08639388" w14:textId="77777777" w:rsidTr="00287E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5715F66F" w14:textId="7777777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Ammonia</w:t>
            </w:r>
          </w:p>
        </w:tc>
        <w:tc>
          <w:tcPr>
            <w:tcW w:w="2211" w:type="dxa"/>
            <w:noWrap/>
            <w:hideMark/>
          </w:tcPr>
          <w:p w14:paraId="009BE987"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134</w:t>
            </w:r>
          </w:p>
        </w:tc>
        <w:tc>
          <w:tcPr>
            <w:tcW w:w="1757" w:type="dxa"/>
            <w:noWrap/>
            <w:hideMark/>
          </w:tcPr>
          <w:p w14:paraId="785A946A"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166</w:t>
            </w:r>
          </w:p>
        </w:tc>
        <w:tc>
          <w:tcPr>
            <w:tcW w:w="2232" w:type="dxa"/>
            <w:noWrap/>
            <w:hideMark/>
          </w:tcPr>
          <w:p w14:paraId="45FCA570" w14:textId="77777777" w:rsidR="00AE6214" w:rsidRPr="004E70CE" w:rsidRDefault="001247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45</w:t>
            </w:r>
          </w:p>
        </w:tc>
      </w:tr>
      <w:tr w:rsidR="00C15D87" w:rsidRPr="004E70CE" w14:paraId="3CEB16E0" w14:textId="77777777" w:rsidTr="00287E84">
        <w:trPr>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6F1F73B6" w14:textId="7777777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Ammonium nitrate</w:t>
            </w:r>
          </w:p>
        </w:tc>
        <w:tc>
          <w:tcPr>
            <w:tcW w:w="2211" w:type="dxa"/>
            <w:noWrap/>
            <w:hideMark/>
          </w:tcPr>
          <w:p w14:paraId="24A70CDF"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174</w:t>
            </w:r>
          </w:p>
        </w:tc>
        <w:tc>
          <w:tcPr>
            <w:tcW w:w="1757" w:type="dxa"/>
            <w:noWrap/>
            <w:hideMark/>
          </w:tcPr>
          <w:p w14:paraId="37A59550"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25</w:t>
            </w:r>
          </w:p>
        </w:tc>
        <w:tc>
          <w:tcPr>
            <w:tcW w:w="2232" w:type="dxa"/>
            <w:noWrap/>
            <w:hideMark/>
          </w:tcPr>
          <w:p w14:paraId="665DF0C8" w14:textId="2EBCFB92" w:rsidR="00AE6214" w:rsidRPr="004E70CE" w:rsidRDefault="0000615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8</w:t>
            </w:r>
            <w:r w:rsidR="00AA0D0D" w:rsidRPr="004E70CE">
              <w:rPr>
                <w:rFonts w:ascii="Calibri" w:eastAsia="Times New Roman" w:hAnsi="Calibri" w:cs="Calibri"/>
                <w:color w:val="000000"/>
                <w:lang w:eastAsia="ja-JP"/>
              </w:rPr>
              <w:t>7</w:t>
            </w:r>
          </w:p>
        </w:tc>
      </w:tr>
      <w:tr w:rsidR="00C15D87" w:rsidRPr="004E70CE" w14:paraId="36BB9F22" w14:textId="77777777" w:rsidTr="00287E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21D970A2" w14:textId="7777777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Ammonium phosphate</w:t>
            </w:r>
          </w:p>
        </w:tc>
        <w:tc>
          <w:tcPr>
            <w:tcW w:w="2211" w:type="dxa"/>
            <w:noWrap/>
            <w:hideMark/>
          </w:tcPr>
          <w:p w14:paraId="2DC2C7DA"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836</w:t>
            </w:r>
          </w:p>
        </w:tc>
        <w:tc>
          <w:tcPr>
            <w:tcW w:w="1757" w:type="dxa"/>
            <w:noWrap/>
            <w:hideMark/>
          </w:tcPr>
          <w:p w14:paraId="2479B73C"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252</w:t>
            </w:r>
          </w:p>
        </w:tc>
        <w:tc>
          <w:tcPr>
            <w:tcW w:w="2232" w:type="dxa"/>
            <w:noWrap/>
            <w:hideMark/>
          </w:tcPr>
          <w:p w14:paraId="6C7745BF" w14:textId="77777777" w:rsidR="00AE6214" w:rsidRPr="004E70CE" w:rsidRDefault="000061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77</w:t>
            </w:r>
          </w:p>
        </w:tc>
      </w:tr>
      <w:tr w:rsidR="00C15D87" w:rsidRPr="004E70CE" w14:paraId="649E1E55" w14:textId="77777777" w:rsidTr="00287E84">
        <w:trPr>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56D4A0CF" w14:textId="7777777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Basic non-ferrous metal</w:t>
            </w:r>
          </w:p>
        </w:tc>
        <w:tc>
          <w:tcPr>
            <w:tcW w:w="2211" w:type="dxa"/>
            <w:noWrap/>
            <w:hideMark/>
          </w:tcPr>
          <w:p w14:paraId="362A0DA6"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106</w:t>
            </w:r>
          </w:p>
        </w:tc>
        <w:tc>
          <w:tcPr>
            <w:tcW w:w="1757" w:type="dxa"/>
            <w:noWrap/>
            <w:hideMark/>
          </w:tcPr>
          <w:p w14:paraId="065A7B17"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851</w:t>
            </w:r>
          </w:p>
        </w:tc>
        <w:tc>
          <w:tcPr>
            <w:tcW w:w="2232" w:type="dxa"/>
            <w:noWrap/>
            <w:hideMark/>
          </w:tcPr>
          <w:p w14:paraId="5830D667" w14:textId="77777777" w:rsidR="00AE6214" w:rsidRPr="004E70CE" w:rsidRDefault="00641A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11</w:t>
            </w:r>
          </w:p>
        </w:tc>
      </w:tr>
      <w:tr w:rsidR="00C15D87" w:rsidRPr="004E70CE" w14:paraId="5CE1A44A" w14:textId="77777777" w:rsidTr="00287E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20FE98D1" w14:textId="7777777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Bauxite</w:t>
            </w:r>
          </w:p>
        </w:tc>
        <w:tc>
          <w:tcPr>
            <w:tcW w:w="2211" w:type="dxa"/>
            <w:noWrap/>
            <w:hideMark/>
          </w:tcPr>
          <w:p w14:paraId="62396004"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2</w:t>
            </w:r>
          </w:p>
        </w:tc>
        <w:tc>
          <w:tcPr>
            <w:tcW w:w="1757" w:type="dxa"/>
            <w:noWrap/>
            <w:hideMark/>
          </w:tcPr>
          <w:p w14:paraId="4E256E57"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1,499</w:t>
            </w:r>
          </w:p>
        </w:tc>
        <w:tc>
          <w:tcPr>
            <w:tcW w:w="2232" w:type="dxa"/>
            <w:noWrap/>
            <w:hideMark/>
          </w:tcPr>
          <w:p w14:paraId="0D06E73C" w14:textId="77777777" w:rsidR="00AE6214" w:rsidRPr="004E70CE" w:rsidRDefault="00641A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0</w:t>
            </w:r>
          </w:p>
        </w:tc>
      </w:tr>
      <w:tr w:rsidR="00C15D87" w:rsidRPr="004E70CE" w14:paraId="494F00CC" w14:textId="77777777" w:rsidTr="00287E84">
        <w:trPr>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57688D43" w14:textId="7777777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Cement</w:t>
            </w:r>
          </w:p>
        </w:tc>
        <w:tc>
          <w:tcPr>
            <w:tcW w:w="2211" w:type="dxa"/>
            <w:noWrap/>
            <w:hideMark/>
          </w:tcPr>
          <w:p w14:paraId="61003022"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198</w:t>
            </w:r>
          </w:p>
        </w:tc>
        <w:tc>
          <w:tcPr>
            <w:tcW w:w="1757" w:type="dxa"/>
            <w:noWrap/>
            <w:hideMark/>
          </w:tcPr>
          <w:p w14:paraId="5F437EA9"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4</w:t>
            </w:r>
          </w:p>
        </w:tc>
        <w:tc>
          <w:tcPr>
            <w:tcW w:w="2232" w:type="dxa"/>
            <w:noWrap/>
            <w:hideMark/>
          </w:tcPr>
          <w:p w14:paraId="3B5F1254"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98</w:t>
            </w:r>
          </w:p>
        </w:tc>
      </w:tr>
      <w:tr w:rsidR="00C15D87" w:rsidRPr="004E70CE" w14:paraId="40CF7318" w14:textId="77777777" w:rsidTr="00287E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76DE7B9B" w14:textId="7777777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Clinker</w:t>
            </w:r>
          </w:p>
        </w:tc>
        <w:tc>
          <w:tcPr>
            <w:tcW w:w="2211" w:type="dxa"/>
            <w:noWrap/>
            <w:hideMark/>
          </w:tcPr>
          <w:p w14:paraId="5038DFEB"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350</w:t>
            </w:r>
          </w:p>
        </w:tc>
        <w:tc>
          <w:tcPr>
            <w:tcW w:w="1757" w:type="dxa"/>
            <w:noWrap/>
            <w:hideMark/>
          </w:tcPr>
          <w:p w14:paraId="30F328E4"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0</w:t>
            </w:r>
          </w:p>
        </w:tc>
        <w:tc>
          <w:tcPr>
            <w:tcW w:w="2232" w:type="dxa"/>
            <w:noWrap/>
            <w:hideMark/>
          </w:tcPr>
          <w:p w14:paraId="7B748997" w14:textId="77777777" w:rsidR="00AE6214" w:rsidRPr="004E70CE" w:rsidRDefault="00DD6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100</w:t>
            </w:r>
          </w:p>
        </w:tc>
      </w:tr>
      <w:tr w:rsidR="00C15D87" w:rsidRPr="004E70CE" w14:paraId="15A4C5FC" w14:textId="77777777" w:rsidTr="00287E84">
        <w:trPr>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717F48B1" w14:textId="7777777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Coal</w:t>
            </w:r>
          </w:p>
        </w:tc>
        <w:tc>
          <w:tcPr>
            <w:tcW w:w="2211" w:type="dxa"/>
            <w:noWrap/>
            <w:hideMark/>
          </w:tcPr>
          <w:p w14:paraId="3B149A7F"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309</w:t>
            </w:r>
          </w:p>
        </w:tc>
        <w:tc>
          <w:tcPr>
            <w:tcW w:w="1757" w:type="dxa"/>
            <w:noWrap/>
            <w:hideMark/>
          </w:tcPr>
          <w:p w14:paraId="2077DF11"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93,707</w:t>
            </w:r>
          </w:p>
        </w:tc>
        <w:tc>
          <w:tcPr>
            <w:tcW w:w="2232" w:type="dxa"/>
            <w:noWrap/>
            <w:hideMark/>
          </w:tcPr>
          <w:p w14:paraId="31B55C5A" w14:textId="77777777" w:rsidR="00AE6214" w:rsidRPr="004E70CE" w:rsidRDefault="00F053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0</w:t>
            </w:r>
          </w:p>
        </w:tc>
      </w:tr>
      <w:tr w:rsidR="00C15D87" w:rsidRPr="004E70CE" w14:paraId="5885196C" w14:textId="77777777" w:rsidTr="00287E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6D4C0D7D" w14:textId="7777777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Crude oil</w:t>
            </w:r>
          </w:p>
        </w:tc>
        <w:tc>
          <w:tcPr>
            <w:tcW w:w="2211" w:type="dxa"/>
            <w:noWrap/>
            <w:hideMark/>
          </w:tcPr>
          <w:p w14:paraId="19AE766A"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7,400</w:t>
            </w:r>
          </w:p>
        </w:tc>
        <w:tc>
          <w:tcPr>
            <w:tcW w:w="1757" w:type="dxa"/>
            <w:noWrap/>
            <w:hideMark/>
          </w:tcPr>
          <w:p w14:paraId="550179AD"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10,756</w:t>
            </w:r>
          </w:p>
        </w:tc>
        <w:tc>
          <w:tcPr>
            <w:tcW w:w="2232" w:type="dxa"/>
            <w:noWrap/>
            <w:hideMark/>
          </w:tcPr>
          <w:p w14:paraId="34A5D264" w14:textId="77777777" w:rsidR="00AE6214" w:rsidRPr="004E70CE" w:rsidRDefault="00F241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41</w:t>
            </w:r>
          </w:p>
        </w:tc>
      </w:tr>
      <w:tr w:rsidR="00C15D87" w:rsidRPr="004E70CE" w14:paraId="6880CB4E" w14:textId="77777777" w:rsidTr="00287E84">
        <w:trPr>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052D2EF0" w14:textId="7777777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Ethane and LPG</w:t>
            </w:r>
          </w:p>
        </w:tc>
        <w:tc>
          <w:tcPr>
            <w:tcW w:w="2211" w:type="dxa"/>
            <w:noWrap/>
            <w:hideMark/>
          </w:tcPr>
          <w:p w14:paraId="316E537A"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308</w:t>
            </w:r>
          </w:p>
        </w:tc>
        <w:tc>
          <w:tcPr>
            <w:tcW w:w="1757" w:type="dxa"/>
            <w:noWrap/>
            <w:hideMark/>
          </w:tcPr>
          <w:p w14:paraId="70854230"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1,961</w:t>
            </w:r>
          </w:p>
        </w:tc>
        <w:tc>
          <w:tcPr>
            <w:tcW w:w="2232" w:type="dxa"/>
            <w:noWrap/>
            <w:hideMark/>
          </w:tcPr>
          <w:p w14:paraId="43492798" w14:textId="77777777" w:rsidR="00AE6214" w:rsidRPr="004E70CE" w:rsidRDefault="007C02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14</w:t>
            </w:r>
          </w:p>
        </w:tc>
      </w:tr>
      <w:tr w:rsidR="00C15D87" w:rsidRPr="004E70CE" w14:paraId="5FA745D3" w14:textId="77777777" w:rsidTr="00287E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30046E6A" w14:textId="7777777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Ethanol and dried distillers grain</w:t>
            </w:r>
          </w:p>
        </w:tc>
        <w:tc>
          <w:tcPr>
            <w:tcW w:w="2211" w:type="dxa"/>
            <w:noWrap/>
            <w:hideMark/>
          </w:tcPr>
          <w:p w14:paraId="350CB4BF"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83</w:t>
            </w:r>
          </w:p>
        </w:tc>
        <w:tc>
          <w:tcPr>
            <w:tcW w:w="1757" w:type="dxa"/>
            <w:noWrap/>
            <w:hideMark/>
          </w:tcPr>
          <w:p w14:paraId="437ECDDE"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664</w:t>
            </w:r>
          </w:p>
        </w:tc>
        <w:tc>
          <w:tcPr>
            <w:tcW w:w="2232" w:type="dxa"/>
            <w:noWrap/>
            <w:hideMark/>
          </w:tcPr>
          <w:p w14:paraId="72AC8640"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11</w:t>
            </w:r>
          </w:p>
        </w:tc>
      </w:tr>
      <w:tr w:rsidR="00C15D87" w:rsidRPr="004E70CE" w14:paraId="550FBFED" w14:textId="77777777" w:rsidTr="00287E84">
        <w:trPr>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2F2EA42B" w14:textId="7777777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Ferro-manganese</w:t>
            </w:r>
          </w:p>
        </w:tc>
        <w:tc>
          <w:tcPr>
            <w:tcW w:w="2211" w:type="dxa"/>
            <w:noWrap/>
            <w:hideMark/>
          </w:tcPr>
          <w:p w14:paraId="2B5CCA68"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11</w:t>
            </w:r>
          </w:p>
        </w:tc>
        <w:tc>
          <w:tcPr>
            <w:tcW w:w="1757" w:type="dxa"/>
            <w:noWrap/>
            <w:hideMark/>
          </w:tcPr>
          <w:p w14:paraId="21CDC7E2"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w:t>
            </w:r>
          </w:p>
        </w:tc>
        <w:tc>
          <w:tcPr>
            <w:tcW w:w="2232" w:type="dxa"/>
            <w:noWrap/>
            <w:hideMark/>
          </w:tcPr>
          <w:p w14:paraId="6E79E33E"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100</w:t>
            </w:r>
          </w:p>
        </w:tc>
      </w:tr>
      <w:tr w:rsidR="00C15D87" w:rsidRPr="004E70CE" w14:paraId="52AD77D0" w14:textId="77777777" w:rsidTr="00287E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5842D16B" w14:textId="7777777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Flat glass</w:t>
            </w:r>
          </w:p>
        </w:tc>
        <w:tc>
          <w:tcPr>
            <w:tcW w:w="2211" w:type="dxa"/>
            <w:noWrap/>
            <w:hideMark/>
          </w:tcPr>
          <w:p w14:paraId="1668EC69" w14:textId="4FCD1186"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4</w:t>
            </w:r>
            <w:r w:rsidR="00AA0D0D" w:rsidRPr="004E70CE">
              <w:rPr>
                <w:rFonts w:ascii="Calibri" w:eastAsia="Times New Roman" w:hAnsi="Calibri" w:cs="Calibri"/>
                <w:color w:val="000000"/>
                <w:lang w:eastAsia="ja-JP"/>
              </w:rPr>
              <w:t>07</w:t>
            </w:r>
          </w:p>
        </w:tc>
        <w:tc>
          <w:tcPr>
            <w:tcW w:w="1757" w:type="dxa"/>
            <w:noWrap/>
            <w:hideMark/>
          </w:tcPr>
          <w:p w14:paraId="52423942"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w:t>
            </w:r>
          </w:p>
        </w:tc>
        <w:tc>
          <w:tcPr>
            <w:tcW w:w="2232" w:type="dxa"/>
            <w:noWrap/>
            <w:hideMark/>
          </w:tcPr>
          <w:p w14:paraId="519B6CE5" w14:textId="77777777" w:rsidR="00AE6214" w:rsidRPr="004E70CE" w:rsidRDefault="007C02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100</w:t>
            </w:r>
          </w:p>
        </w:tc>
      </w:tr>
      <w:tr w:rsidR="00C15D87" w:rsidRPr="004E70CE" w14:paraId="2878C275" w14:textId="77777777" w:rsidTr="00287E84">
        <w:trPr>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63DA529B" w14:textId="7777777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Flat steel </w:t>
            </w:r>
          </w:p>
        </w:tc>
        <w:tc>
          <w:tcPr>
            <w:tcW w:w="2211" w:type="dxa"/>
            <w:noWrap/>
            <w:hideMark/>
          </w:tcPr>
          <w:p w14:paraId="49A001AA"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384</w:t>
            </w:r>
          </w:p>
        </w:tc>
        <w:tc>
          <w:tcPr>
            <w:tcW w:w="1757" w:type="dxa"/>
            <w:noWrap/>
            <w:hideMark/>
          </w:tcPr>
          <w:p w14:paraId="1A6CAC2E"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281</w:t>
            </w:r>
          </w:p>
        </w:tc>
        <w:tc>
          <w:tcPr>
            <w:tcW w:w="2232" w:type="dxa"/>
            <w:noWrap/>
            <w:hideMark/>
          </w:tcPr>
          <w:p w14:paraId="561616E2" w14:textId="77777777" w:rsidR="00AE6214" w:rsidRPr="004E70CE" w:rsidRDefault="007C02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58</w:t>
            </w:r>
          </w:p>
        </w:tc>
      </w:tr>
      <w:tr w:rsidR="00C15D87" w:rsidRPr="004E70CE" w14:paraId="103D067F" w14:textId="77777777" w:rsidTr="00287E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3BC8BAA0" w14:textId="7777777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Glass containers</w:t>
            </w:r>
          </w:p>
        </w:tc>
        <w:tc>
          <w:tcPr>
            <w:tcW w:w="2211" w:type="dxa"/>
            <w:noWrap/>
            <w:hideMark/>
          </w:tcPr>
          <w:p w14:paraId="1EAC67D7"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155</w:t>
            </w:r>
          </w:p>
        </w:tc>
        <w:tc>
          <w:tcPr>
            <w:tcW w:w="1757" w:type="dxa"/>
            <w:noWrap/>
            <w:hideMark/>
          </w:tcPr>
          <w:p w14:paraId="5718632B"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33</w:t>
            </w:r>
          </w:p>
        </w:tc>
        <w:tc>
          <w:tcPr>
            <w:tcW w:w="2232" w:type="dxa"/>
            <w:noWrap/>
            <w:hideMark/>
          </w:tcPr>
          <w:p w14:paraId="5DA14E13"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82</w:t>
            </w:r>
          </w:p>
        </w:tc>
      </w:tr>
      <w:tr w:rsidR="00C15D87" w:rsidRPr="004E70CE" w14:paraId="6B767D73" w14:textId="77777777" w:rsidTr="00287E84">
        <w:trPr>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102EF694" w14:textId="7777777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Iron ore</w:t>
            </w:r>
          </w:p>
        </w:tc>
        <w:tc>
          <w:tcPr>
            <w:tcW w:w="2211" w:type="dxa"/>
            <w:noWrap/>
            <w:hideMark/>
          </w:tcPr>
          <w:p w14:paraId="74B64755"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190</w:t>
            </w:r>
          </w:p>
        </w:tc>
        <w:tc>
          <w:tcPr>
            <w:tcW w:w="1757" w:type="dxa"/>
            <w:noWrap/>
            <w:hideMark/>
          </w:tcPr>
          <w:p w14:paraId="0FDB713B"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122,397</w:t>
            </w:r>
          </w:p>
        </w:tc>
        <w:tc>
          <w:tcPr>
            <w:tcW w:w="2232" w:type="dxa"/>
            <w:noWrap/>
            <w:hideMark/>
          </w:tcPr>
          <w:p w14:paraId="7093A6E4"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0</w:t>
            </w:r>
          </w:p>
        </w:tc>
      </w:tr>
      <w:tr w:rsidR="00C15D87" w:rsidRPr="004E70CE" w14:paraId="667B4BD4" w14:textId="77777777" w:rsidTr="00287E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3BB79219" w14:textId="7777777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Lime</w:t>
            </w:r>
          </w:p>
        </w:tc>
        <w:tc>
          <w:tcPr>
            <w:tcW w:w="2211" w:type="dxa"/>
            <w:noWrap/>
            <w:hideMark/>
          </w:tcPr>
          <w:p w14:paraId="0C6CA386"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84</w:t>
            </w:r>
          </w:p>
        </w:tc>
        <w:tc>
          <w:tcPr>
            <w:tcW w:w="1757" w:type="dxa"/>
            <w:noWrap/>
            <w:hideMark/>
          </w:tcPr>
          <w:p w14:paraId="3ECA085F"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w:t>
            </w:r>
          </w:p>
        </w:tc>
        <w:tc>
          <w:tcPr>
            <w:tcW w:w="2232" w:type="dxa"/>
            <w:noWrap/>
            <w:hideMark/>
          </w:tcPr>
          <w:p w14:paraId="67B0034B"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100</w:t>
            </w:r>
          </w:p>
        </w:tc>
      </w:tr>
      <w:tr w:rsidR="00BC1191" w:rsidRPr="004E70CE" w14:paraId="62C7893A" w14:textId="77777777" w:rsidTr="00287E84">
        <w:trPr>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23190053" w14:textId="7777777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Lithium</w:t>
            </w:r>
          </w:p>
        </w:tc>
        <w:tc>
          <w:tcPr>
            <w:tcW w:w="2211" w:type="dxa"/>
            <w:noWrap/>
            <w:hideMark/>
          </w:tcPr>
          <w:p w14:paraId="112E30BE"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25</w:t>
            </w:r>
          </w:p>
        </w:tc>
        <w:tc>
          <w:tcPr>
            <w:tcW w:w="1757" w:type="dxa"/>
            <w:noWrap/>
            <w:hideMark/>
          </w:tcPr>
          <w:p w14:paraId="3410B287"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18,416</w:t>
            </w:r>
          </w:p>
        </w:tc>
        <w:tc>
          <w:tcPr>
            <w:tcW w:w="2232" w:type="dxa"/>
            <w:noWrap/>
            <w:hideMark/>
          </w:tcPr>
          <w:p w14:paraId="7F9DC625"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0</w:t>
            </w:r>
          </w:p>
        </w:tc>
      </w:tr>
      <w:tr w:rsidR="00BC1191" w:rsidRPr="004E70CE" w14:paraId="3A39F2AB" w14:textId="77777777" w:rsidTr="00287E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1BE865CA" w14:textId="7777777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LNG</w:t>
            </w:r>
          </w:p>
        </w:tc>
        <w:tc>
          <w:tcPr>
            <w:tcW w:w="2211" w:type="dxa"/>
            <w:noWrap/>
            <w:hideMark/>
          </w:tcPr>
          <w:p w14:paraId="3D95C98E"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w:t>
            </w:r>
          </w:p>
        </w:tc>
        <w:tc>
          <w:tcPr>
            <w:tcW w:w="1757" w:type="dxa"/>
            <w:noWrap/>
            <w:hideMark/>
          </w:tcPr>
          <w:p w14:paraId="366217E4"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68,005</w:t>
            </w:r>
          </w:p>
        </w:tc>
        <w:tc>
          <w:tcPr>
            <w:tcW w:w="2232" w:type="dxa"/>
            <w:noWrap/>
            <w:hideMark/>
          </w:tcPr>
          <w:p w14:paraId="6C3B4E5B"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0</w:t>
            </w:r>
          </w:p>
        </w:tc>
      </w:tr>
      <w:tr w:rsidR="00BC1191" w:rsidRPr="004E70CE" w14:paraId="6A18C3A2" w14:textId="77777777" w:rsidTr="00287E84">
        <w:trPr>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5C1F5C77" w14:textId="7777777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Long steel </w:t>
            </w:r>
          </w:p>
        </w:tc>
        <w:tc>
          <w:tcPr>
            <w:tcW w:w="2211" w:type="dxa"/>
            <w:noWrap/>
            <w:hideMark/>
          </w:tcPr>
          <w:p w14:paraId="3A2B32F9"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1,247</w:t>
            </w:r>
          </w:p>
        </w:tc>
        <w:tc>
          <w:tcPr>
            <w:tcW w:w="1757" w:type="dxa"/>
            <w:noWrap/>
            <w:hideMark/>
          </w:tcPr>
          <w:p w14:paraId="264F49F5"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102</w:t>
            </w:r>
          </w:p>
        </w:tc>
        <w:tc>
          <w:tcPr>
            <w:tcW w:w="2232" w:type="dxa"/>
            <w:noWrap/>
            <w:hideMark/>
          </w:tcPr>
          <w:p w14:paraId="4AD50B21" w14:textId="77777777" w:rsidR="00AE6214" w:rsidRPr="004E70CE" w:rsidRDefault="00FB75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93</w:t>
            </w:r>
          </w:p>
        </w:tc>
      </w:tr>
      <w:tr w:rsidR="00BC1191" w:rsidRPr="004E70CE" w14:paraId="55025440" w14:textId="77777777" w:rsidTr="00287E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5316051A" w14:textId="7777777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lastRenderedPageBreak/>
              <w:t>Magnesia</w:t>
            </w:r>
          </w:p>
        </w:tc>
        <w:tc>
          <w:tcPr>
            <w:tcW w:w="2211" w:type="dxa"/>
            <w:noWrap/>
            <w:hideMark/>
          </w:tcPr>
          <w:p w14:paraId="0ECE9BD4"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13</w:t>
            </w:r>
          </w:p>
        </w:tc>
        <w:tc>
          <w:tcPr>
            <w:tcW w:w="1757" w:type="dxa"/>
            <w:noWrap/>
            <w:hideMark/>
          </w:tcPr>
          <w:p w14:paraId="273CBE47"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w:t>
            </w:r>
          </w:p>
        </w:tc>
        <w:tc>
          <w:tcPr>
            <w:tcW w:w="2232" w:type="dxa"/>
            <w:noWrap/>
            <w:hideMark/>
          </w:tcPr>
          <w:p w14:paraId="605C6E5A"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100</w:t>
            </w:r>
          </w:p>
        </w:tc>
      </w:tr>
      <w:tr w:rsidR="00BC1191" w:rsidRPr="004E70CE" w14:paraId="2FF73712" w14:textId="77777777" w:rsidTr="00287E84">
        <w:trPr>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5567081F" w14:textId="7777777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Manganese ore</w:t>
            </w:r>
          </w:p>
        </w:tc>
        <w:tc>
          <w:tcPr>
            <w:tcW w:w="2211" w:type="dxa"/>
            <w:noWrap/>
            <w:hideMark/>
          </w:tcPr>
          <w:p w14:paraId="6CAF642D"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21</w:t>
            </w:r>
          </w:p>
        </w:tc>
        <w:tc>
          <w:tcPr>
            <w:tcW w:w="1757" w:type="dxa"/>
            <w:noWrap/>
            <w:hideMark/>
          </w:tcPr>
          <w:p w14:paraId="1FA3072A"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w:t>
            </w:r>
          </w:p>
        </w:tc>
        <w:tc>
          <w:tcPr>
            <w:tcW w:w="2232" w:type="dxa"/>
            <w:noWrap/>
            <w:hideMark/>
          </w:tcPr>
          <w:p w14:paraId="4C5690A0" w14:textId="77777777" w:rsidR="00AE6214" w:rsidRPr="004E70CE" w:rsidRDefault="00FB75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98</w:t>
            </w:r>
          </w:p>
        </w:tc>
      </w:tr>
      <w:tr w:rsidR="00BC1191" w:rsidRPr="004E70CE" w14:paraId="0A5329B0" w14:textId="77777777" w:rsidTr="00287E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3A088B6D" w14:textId="171BBC53"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Nickel</w:t>
            </w:r>
          </w:p>
        </w:tc>
        <w:tc>
          <w:tcPr>
            <w:tcW w:w="2211" w:type="dxa"/>
            <w:noWrap/>
            <w:hideMark/>
          </w:tcPr>
          <w:p w14:paraId="74D99EEC" w14:textId="1E14745A" w:rsidR="00AE6214" w:rsidRPr="004E70CE" w:rsidRDefault="00AA0D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15</w:t>
            </w:r>
          </w:p>
        </w:tc>
        <w:tc>
          <w:tcPr>
            <w:tcW w:w="1757" w:type="dxa"/>
            <w:noWrap/>
            <w:hideMark/>
          </w:tcPr>
          <w:p w14:paraId="5BB2CB21" w14:textId="11C05D04" w:rsidR="00AE6214" w:rsidRPr="004E70CE" w:rsidRDefault="00AA0D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582</w:t>
            </w:r>
          </w:p>
        </w:tc>
        <w:tc>
          <w:tcPr>
            <w:tcW w:w="2232" w:type="dxa"/>
            <w:noWrap/>
            <w:hideMark/>
          </w:tcPr>
          <w:p w14:paraId="75279384" w14:textId="77777777" w:rsidR="00AE6214" w:rsidRPr="004E70CE" w:rsidRDefault="00FB75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2</w:t>
            </w:r>
          </w:p>
        </w:tc>
      </w:tr>
      <w:tr w:rsidR="00BC1191" w:rsidRPr="004E70CE" w14:paraId="2048979B" w14:textId="77777777" w:rsidTr="00287E84">
        <w:trPr>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33730CCB" w14:textId="7777777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Other metal ore</w:t>
            </w:r>
          </w:p>
        </w:tc>
        <w:tc>
          <w:tcPr>
            <w:tcW w:w="2211" w:type="dxa"/>
            <w:noWrap/>
            <w:hideMark/>
          </w:tcPr>
          <w:p w14:paraId="5FBEA900"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716</w:t>
            </w:r>
          </w:p>
        </w:tc>
        <w:tc>
          <w:tcPr>
            <w:tcW w:w="1757" w:type="dxa"/>
            <w:noWrap/>
            <w:hideMark/>
          </w:tcPr>
          <w:p w14:paraId="30665C5D"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10,871</w:t>
            </w:r>
          </w:p>
        </w:tc>
        <w:tc>
          <w:tcPr>
            <w:tcW w:w="2232" w:type="dxa"/>
            <w:noWrap/>
            <w:hideMark/>
          </w:tcPr>
          <w:p w14:paraId="61F21CD2"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6</w:t>
            </w:r>
          </w:p>
        </w:tc>
      </w:tr>
      <w:tr w:rsidR="00AE6214" w:rsidRPr="004E70CE" w14:paraId="4057D1D2" w14:textId="77777777" w:rsidTr="00287E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1BECDDB1" w14:textId="77777777" w:rsidR="00AE6214" w:rsidRPr="004E70CE" w:rsidRDefault="00106076">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Other refined p</w:t>
            </w:r>
            <w:r w:rsidR="00AE6214" w:rsidRPr="004E70CE">
              <w:rPr>
                <w:rFonts w:ascii="Calibri" w:eastAsia="Times New Roman" w:hAnsi="Calibri" w:cs="Calibri"/>
                <w:color w:val="000000"/>
                <w:lang w:eastAsia="ja-JP"/>
              </w:rPr>
              <w:t>etroleum products</w:t>
            </w:r>
          </w:p>
        </w:tc>
        <w:tc>
          <w:tcPr>
            <w:tcW w:w="2211" w:type="dxa"/>
            <w:noWrap/>
            <w:hideMark/>
          </w:tcPr>
          <w:p w14:paraId="6901949B" w14:textId="77777777" w:rsidR="00AE6214" w:rsidRPr="004E70CE" w:rsidRDefault="00BC1191" w:rsidP="00BC35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hAnsi="Calibri" w:cs="Calibri"/>
                <w:color w:val="000000"/>
              </w:rPr>
              <w:t>50,236</w:t>
            </w:r>
          </w:p>
        </w:tc>
        <w:tc>
          <w:tcPr>
            <w:tcW w:w="1757" w:type="dxa"/>
            <w:noWrap/>
            <w:hideMark/>
          </w:tcPr>
          <w:p w14:paraId="7CAEFF2F" w14:textId="77777777" w:rsidR="00AE6214" w:rsidRPr="004E70CE" w:rsidRDefault="00AE6214" w:rsidP="00BC35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3,924</w:t>
            </w:r>
          </w:p>
        </w:tc>
        <w:tc>
          <w:tcPr>
            <w:tcW w:w="2232" w:type="dxa"/>
            <w:noWrap/>
            <w:hideMark/>
          </w:tcPr>
          <w:p w14:paraId="60809819" w14:textId="77777777" w:rsidR="00AE6214" w:rsidRPr="004E70CE" w:rsidRDefault="00FB75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93</w:t>
            </w:r>
          </w:p>
        </w:tc>
      </w:tr>
      <w:tr w:rsidR="00BC1191" w:rsidRPr="004E70CE" w14:paraId="3D48D25E" w14:textId="77777777" w:rsidTr="00287E84">
        <w:trPr>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04193DDC" w14:textId="7777777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Polyethylene</w:t>
            </w:r>
          </w:p>
        </w:tc>
        <w:tc>
          <w:tcPr>
            <w:tcW w:w="2211" w:type="dxa"/>
            <w:noWrap/>
            <w:hideMark/>
          </w:tcPr>
          <w:p w14:paraId="5766C8DC"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660</w:t>
            </w:r>
          </w:p>
        </w:tc>
        <w:tc>
          <w:tcPr>
            <w:tcW w:w="1757" w:type="dxa"/>
            <w:noWrap/>
            <w:hideMark/>
          </w:tcPr>
          <w:p w14:paraId="1D3472A5"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w:t>
            </w:r>
          </w:p>
        </w:tc>
        <w:tc>
          <w:tcPr>
            <w:tcW w:w="2232" w:type="dxa"/>
            <w:noWrap/>
            <w:hideMark/>
          </w:tcPr>
          <w:p w14:paraId="001EEBCD"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100</w:t>
            </w:r>
          </w:p>
        </w:tc>
      </w:tr>
      <w:tr w:rsidR="00BC1191" w:rsidRPr="004E70CE" w14:paraId="2BBC5E1B" w14:textId="77777777" w:rsidTr="00287E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2DBB3126" w14:textId="77777777" w:rsidR="00AE6214" w:rsidRPr="004E70CE" w:rsidRDefault="007F31AD">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Crude </w:t>
            </w:r>
            <w:r w:rsidR="00AE6214" w:rsidRPr="004E70CE">
              <w:rPr>
                <w:rFonts w:ascii="Calibri" w:eastAsia="Times New Roman" w:hAnsi="Calibri" w:cs="Calibri"/>
                <w:color w:val="000000"/>
                <w:lang w:eastAsia="ja-JP"/>
              </w:rPr>
              <w:t>steel</w:t>
            </w:r>
          </w:p>
        </w:tc>
        <w:tc>
          <w:tcPr>
            <w:tcW w:w="2211" w:type="dxa"/>
            <w:noWrap/>
            <w:hideMark/>
          </w:tcPr>
          <w:p w14:paraId="01594E3C"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81</w:t>
            </w:r>
          </w:p>
        </w:tc>
        <w:tc>
          <w:tcPr>
            <w:tcW w:w="1757" w:type="dxa"/>
            <w:noWrap/>
            <w:hideMark/>
          </w:tcPr>
          <w:p w14:paraId="5A1AF597"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1,148</w:t>
            </w:r>
          </w:p>
        </w:tc>
        <w:tc>
          <w:tcPr>
            <w:tcW w:w="2232" w:type="dxa"/>
            <w:noWrap/>
            <w:hideMark/>
          </w:tcPr>
          <w:p w14:paraId="574C789F" w14:textId="77777777" w:rsidR="00AE6214" w:rsidRPr="004E70CE" w:rsidRDefault="00DA35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7</w:t>
            </w:r>
          </w:p>
        </w:tc>
      </w:tr>
      <w:tr w:rsidR="00BC1191" w:rsidRPr="004E70CE" w14:paraId="0113D2DB" w14:textId="77777777" w:rsidTr="00287E84">
        <w:trPr>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7472EC53" w14:textId="7777777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Pulp and paper</w:t>
            </w:r>
          </w:p>
        </w:tc>
        <w:tc>
          <w:tcPr>
            <w:tcW w:w="2211" w:type="dxa"/>
            <w:noWrap/>
            <w:hideMark/>
          </w:tcPr>
          <w:p w14:paraId="77E12708"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955</w:t>
            </w:r>
          </w:p>
        </w:tc>
        <w:tc>
          <w:tcPr>
            <w:tcW w:w="1757" w:type="dxa"/>
            <w:noWrap/>
            <w:hideMark/>
          </w:tcPr>
          <w:p w14:paraId="13A359EA"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797</w:t>
            </w:r>
          </w:p>
        </w:tc>
        <w:tc>
          <w:tcPr>
            <w:tcW w:w="2232" w:type="dxa"/>
            <w:noWrap/>
            <w:hideMark/>
          </w:tcPr>
          <w:p w14:paraId="7CBD3128" w14:textId="77777777" w:rsidR="00AE6214" w:rsidRPr="004E70CE" w:rsidRDefault="00DA35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55</w:t>
            </w:r>
          </w:p>
        </w:tc>
      </w:tr>
      <w:tr w:rsidR="00BC1191" w:rsidRPr="004E70CE" w14:paraId="5DA5D810" w14:textId="77777777" w:rsidTr="00287E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708CD0D4" w14:textId="7777777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Silicomanganese</w:t>
            </w:r>
          </w:p>
        </w:tc>
        <w:tc>
          <w:tcPr>
            <w:tcW w:w="2211" w:type="dxa"/>
            <w:noWrap/>
            <w:hideMark/>
          </w:tcPr>
          <w:p w14:paraId="65345AD6"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6</w:t>
            </w:r>
          </w:p>
        </w:tc>
        <w:tc>
          <w:tcPr>
            <w:tcW w:w="1757" w:type="dxa"/>
            <w:noWrap/>
            <w:hideMark/>
          </w:tcPr>
          <w:p w14:paraId="248DB8DB"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w:t>
            </w:r>
          </w:p>
        </w:tc>
        <w:tc>
          <w:tcPr>
            <w:tcW w:w="2232" w:type="dxa"/>
            <w:noWrap/>
            <w:hideMark/>
          </w:tcPr>
          <w:p w14:paraId="6BF97FB9"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100</w:t>
            </w:r>
          </w:p>
        </w:tc>
      </w:tr>
      <w:tr w:rsidR="00BC1191" w:rsidRPr="004E70CE" w14:paraId="7599CD01" w14:textId="77777777" w:rsidTr="00287E84">
        <w:trPr>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3E5EC165" w14:textId="7777777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Silicon</w:t>
            </w:r>
          </w:p>
        </w:tc>
        <w:tc>
          <w:tcPr>
            <w:tcW w:w="2211" w:type="dxa"/>
            <w:noWrap/>
            <w:hideMark/>
          </w:tcPr>
          <w:p w14:paraId="542E0287"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59</w:t>
            </w:r>
          </w:p>
        </w:tc>
        <w:tc>
          <w:tcPr>
            <w:tcW w:w="1757" w:type="dxa"/>
            <w:noWrap/>
            <w:hideMark/>
          </w:tcPr>
          <w:p w14:paraId="0423CFC9"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139</w:t>
            </w:r>
          </w:p>
        </w:tc>
        <w:tc>
          <w:tcPr>
            <w:tcW w:w="2232" w:type="dxa"/>
            <w:noWrap/>
            <w:hideMark/>
          </w:tcPr>
          <w:p w14:paraId="6CE70438" w14:textId="77777777" w:rsidR="00AE6214" w:rsidRPr="004E70CE" w:rsidRDefault="00DA35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30</w:t>
            </w:r>
          </w:p>
        </w:tc>
      </w:tr>
      <w:tr w:rsidR="00BC1191" w:rsidRPr="004E70CE" w14:paraId="6F612697" w14:textId="77777777" w:rsidTr="00287E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285A9886" w14:textId="7777777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Sodium cyanide</w:t>
            </w:r>
          </w:p>
        </w:tc>
        <w:tc>
          <w:tcPr>
            <w:tcW w:w="2211" w:type="dxa"/>
            <w:noWrap/>
            <w:hideMark/>
          </w:tcPr>
          <w:p w14:paraId="369A1B95"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5</w:t>
            </w:r>
          </w:p>
        </w:tc>
        <w:tc>
          <w:tcPr>
            <w:tcW w:w="1757" w:type="dxa"/>
            <w:noWrap/>
            <w:hideMark/>
          </w:tcPr>
          <w:p w14:paraId="5120E0DE"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4</w:t>
            </w:r>
          </w:p>
        </w:tc>
        <w:tc>
          <w:tcPr>
            <w:tcW w:w="2232" w:type="dxa"/>
            <w:noWrap/>
            <w:hideMark/>
          </w:tcPr>
          <w:p w14:paraId="755F9843" w14:textId="77777777" w:rsidR="00AE6214" w:rsidRPr="004E70CE" w:rsidRDefault="00DA35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53</w:t>
            </w:r>
          </w:p>
        </w:tc>
      </w:tr>
      <w:tr w:rsidR="00BC1191" w:rsidRPr="004E70CE" w14:paraId="6E93906A" w14:textId="77777777" w:rsidTr="00287E84">
        <w:trPr>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7D12708E" w14:textId="7777777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Synthetic rutile</w:t>
            </w:r>
          </w:p>
        </w:tc>
        <w:tc>
          <w:tcPr>
            <w:tcW w:w="2211" w:type="dxa"/>
            <w:noWrap/>
            <w:hideMark/>
          </w:tcPr>
          <w:p w14:paraId="4774E19C"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110</w:t>
            </w:r>
          </w:p>
        </w:tc>
        <w:tc>
          <w:tcPr>
            <w:tcW w:w="1757" w:type="dxa"/>
            <w:noWrap/>
            <w:hideMark/>
          </w:tcPr>
          <w:p w14:paraId="69FFF868"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589</w:t>
            </w:r>
          </w:p>
        </w:tc>
        <w:tc>
          <w:tcPr>
            <w:tcW w:w="2232" w:type="dxa"/>
            <w:noWrap/>
            <w:hideMark/>
          </w:tcPr>
          <w:p w14:paraId="1BE9ACB6" w14:textId="77777777" w:rsidR="00AE6214" w:rsidRPr="004E70CE" w:rsidRDefault="00DA35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16</w:t>
            </w:r>
          </w:p>
        </w:tc>
      </w:tr>
      <w:tr w:rsidR="00BC1191" w:rsidRPr="004E70CE" w14:paraId="4A92C2F8" w14:textId="77777777" w:rsidTr="00287E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2E182B98" w14:textId="1A39724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Titanium </w:t>
            </w:r>
            <w:r w:rsidR="008F0F9B">
              <w:rPr>
                <w:rFonts w:ascii="Calibri" w:eastAsia="Times New Roman" w:hAnsi="Calibri" w:cs="Calibri"/>
                <w:color w:val="000000"/>
                <w:lang w:eastAsia="ja-JP"/>
              </w:rPr>
              <w:t>di</w:t>
            </w:r>
            <w:r w:rsidRPr="004E70CE">
              <w:rPr>
                <w:rFonts w:ascii="Calibri" w:eastAsia="Times New Roman" w:hAnsi="Calibri" w:cs="Calibri"/>
                <w:color w:val="000000"/>
                <w:lang w:eastAsia="ja-JP"/>
              </w:rPr>
              <w:t>oxide</w:t>
            </w:r>
          </w:p>
        </w:tc>
        <w:tc>
          <w:tcPr>
            <w:tcW w:w="2211" w:type="dxa"/>
            <w:noWrap/>
            <w:hideMark/>
          </w:tcPr>
          <w:p w14:paraId="704D2E13"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3</w:t>
            </w:r>
          </w:p>
        </w:tc>
        <w:tc>
          <w:tcPr>
            <w:tcW w:w="1757" w:type="dxa"/>
            <w:noWrap/>
            <w:hideMark/>
          </w:tcPr>
          <w:p w14:paraId="5BED7028"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w:t>
            </w:r>
          </w:p>
        </w:tc>
        <w:tc>
          <w:tcPr>
            <w:tcW w:w="2232" w:type="dxa"/>
            <w:noWrap/>
            <w:hideMark/>
          </w:tcPr>
          <w:p w14:paraId="3EF4A60B" w14:textId="77777777" w:rsidR="00AE6214" w:rsidRPr="004E70CE" w:rsidRDefault="00DA35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68</w:t>
            </w:r>
          </w:p>
        </w:tc>
      </w:tr>
      <w:tr w:rsidR="00BC1191" w:rsidRPr="004E70CE" w14:paraId="71F5C6AF" w14:textId="77777777" w:rsidTr="00287E84">
        <w:trPr>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7B4E8F2A" w14:textId="7777777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Treated steel flat products</w:t>
            </w:r>
          </w:p>
        </w:tc>
        <w:tc>
          <w:tcPr>
            <w:tcW w:w="2211" w:type="dxa"/>
            <w:noWrap/>
            <w:hideMark/>
          </w:tcPr>
          <w:p w14:paraId="0FD72DC1"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596</w:t>
            </w:r>
          </w:p>
        </w:tc>
        <w:tc>
          <w:tcPr>
            <w:tcW w:w="1757" w:type="dxa"/>
            <w:noWrap/>
            <w:hideMark/>
          </w:tcPr>
          <w:p w14:paraId="4D030361" w14:textId="77777777" w:rsidR="00AE6214" w:rsidRPr="004E70CE" w:rsidRDefault="00AE62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435</w:t>
            </w:r>
          </w:p>
        </w:tc>
        <w:tc>
          <w:tcPr>
            <w:tcW w:w="2232" w:type="dxa"/>
            <w:noWrap/>
            <w:hideMark/>
          </w:tcPr>
          <w:p w14:paraId="07A577E8" w14:textId="77777777" w:rsidR="00AE6214" w:rsidRPr="004E70CE" w:rsidRDefault="00DA35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58</w:t>
            </w:r>
          </w:p>
        </w:tc>
      </w:tr>
      <w:tr w:rsidR="00BC1191" w:rsidRPr="004E70CE" w14:paraId="377FB97B" w14:textId="77777777" w:rsidTr="00287E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8" w:type="dxa"/>
            <w:noWrap/>
            <w:hideMark/>
          </w:tcPr>
          <w:p w14:paraId="7CD42BBF" w14:textId="77777777" w:rsidR="00AE6214" w:rsidRPr="004E70CE" w:rsidRDefault="00AE6214">
            <w:pPr>
              <w:spacing w:after="0" w:line="240" w:lineRule="auto"/>
              <w:rPr>
                <w:rFonts w:ascii="Calibri" w:eastAsia="Times New Roman" w:hAnsi="Calibri" w:cs="Calibri"/>
                <w:color w:val="000000"/>
                <w:lang w:eastAsia="ja-JP"/>
              </w:rPr>
            </w:pPr>
            <w:r w:rsidRPr="004E70CE">
              <w:rPr>
                <w:rFonts w:ascii="Calibri" w:eastAsia="Times New Roman" w:hAnsi="Calibri" w:cs="Calibri"/>
                <w:color w:val="000000"/>
                <w:lang w:eastAsia="ja-JP"/>
              </w:rPr>
              <w:t>Urea</w:t>
            </w:r>
          </w:p>
        </w:tc>
        <w:tc>
          <w:tcPr>
            <w:tcW w:w="2211" w:type="dxa"/>
            <w:noWrap/>
            <w:hideMark/>
          </w:tcPr>
          <w:p w14:paraId="729F281C"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1,768</w:t>
            </w:r>
          </w:p>
        </w:tc>
        <w:tc>
          <w:tcPr>
            <w:tcW w:w="1757" w:type="dxa"/>
            <w:noWrap/>
            <w:hideMark/>
          </w:tcPr>
          <w:p w14:paraId="5ED29F66" w14:textId="77777777" w:rsidR="00AE6214" w:rsidRPr="004E70CE" w:rsidRDefault="00AE62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3</w:t>
            </w:r>
          </w:p>
        </w:tc>
        <w:tc>
          <w:tcPr>
            <w:tcW w:w="2232" w:type="dxa"/>
            <w:noWrap/>
            <w:hideMark/>
          </w:tcPr>
          <w:p w14:paraId="5139F52E" w14:textId="77777777" w:rsidR="00AE6214" w:rsidRPr="004E70CE" w:rsidRDefault="00DA35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ja-JP"/>
              </w:rPr>
            </w:pPr>
            <w:r w:rsidRPr="004E70CE">
              <w:rPr>
                <w:rFonts w:ascii="Calibri" w:eastAsia="Times New Roman" w:hAnsi="Calibri" w:cs="Calibri"/>
                <w:color w:val="000000"/>
                <w:lang w:eastAsia="ja-JP"/>
              </w:rPr>
              <w:t>100</w:t>
            </w:r>
          </w:p>
        </w:tc>
      </w:tr>
    </w:tbl>
    <w:p w14:paraId="221EEEDA" w14:textId="77777777" w:rsidR="003B1A96" w:rsidRDefault="003B1A96" w:rsidP="00CB1C96"/>
    <w:p w14:paraId="00788A71" w14:textId="20456ACD" w:rsidR="0099607B" w:rsidRPr="004E70CE" w:rsidRDefault="00C732CD" w:rsidP="00CB1C96">
      <w:r w:rsidRPr="004E70CE">
        <w:t>Leakage risk</w:t>
      </w:r>
      <w:r w:rsidR="005708C9" w:rsidRPr="004E70CE">
        <w:t>s</w:t>
      </w:r>
      <w:r w:rsidRPr="004E70CE">
        <w:t xml:space="preserve"> </w:t>
      </w:r>
      <w:r w:rsidR="00254476" w:rsidRPr="004E70CE">
        <w:t xml:space="preserve">and estimates </w:t>
      </w:r>
      <w:r w:rsidR="005708C9" w:rsidRPr="004E70CE">
        <w:t xml:space="preserve">are </w:t>
      </w:r>
      <w:r w:rsidRPr="004E70CE">
        <w:t xml:space="preserve">assessed using </w:t>
      </w:r>
      <w:r w:rsidR="008C5A3C" w:rsidRPr="004E70CE">
        <w:t>6</w:t>
      </w:r>
      <w:r w:rsidRPr="004E70CE">
        <w:t xml:space="preserve"> key </w:t>
      </w:r>
      <w:r w:rsidR="0099607B" w:rsidRPr="004E70CE">
        <w:t>indicators:</w:t>
      </w:r>
    </w:p>
    <w:p w14:paraId="2B63C0EE" w14:textId="3DAE7F5A" w:rsidR="00357DF1" w:rsidRPr="004E70CE" w:rsidRDefault="0A993B24" w:rsidP="00CB1C96">
      <w:pPr>
        <w:pStyle w:val="ListParagraph"/>
        <w:numPr>
          <w:ilvl w:val="0"/>
          <w:numId w:val="15"/>
        </w:numPr>
        <w:spacing w:after="200" w:line="276" w:lineRule="auto"/>
      </w:pPr>
      <w:r w:rsidRPr="004E70CE">
        <w:rPr>
          <w:b/>
          <w:bCs/>
          <w:i/>
          <w:iCs/>
        </w:rPr>
        <w:t>C</w:t>
      </w:r>
      <w:r w:rsidR="334FF506" w:rsidRPr="004E70CE">
        <w:rPr>
          <w:b/>
          <w:bCs/>
          <w:i/>
          <w:iCs/>
        </w:rPr>
        <w:t>arbon cost</w:t>
      </w:r>
      <w:r w:rsidR="38AD27D6" w:rsidRPr="004E70CE">
        <w:rPr>
          <w:b/>
          <w:bCs/>
          <w:i/>
          <w:iCs/>
        </w:rPr>
        <w:t>s</w:t>
      </w:r>
      <w:r w:rsidR="334FF506" w:rsidRPr="004E70CE">
        <w:rPr>
          <w:b/>
          <w:bCs/>
          <w:i/>
          <w:iCs/>
        </w:rPr>
        <w:t xml:space="preserve"> as a share of </w:t>
      </w:r>
      <w:r w:rsidR="38AD27D6" w:rsidRPr="004E70CE">
        <w:rPr>
          <w:b/>
          <w:bCs/>
          <w:i/>
          <w:iCs/>
        </w:rPr>
        <w:t>commodity</w:t>
      </w:r>
      <w:r w:rsidR="334FF506" w:rsidRPr="004E70CE">
        <w:rPr>
          <w:b/>
          <w:bCs/>
          <w:i/>
          <w:iCs/>
        </w:rPr>
        <w:t xml:space="preserve"> prices</w:t>
      </w:r>
      <w:r w:rsidR="334FF506" w:rsidRPr="004E70CE">
        <w:rPr>
          <w:b/>
          <w:bCs/>
        </w:rPr>
        <w:t>:</w:t>
      </w:r>
      <w:r w:rsidR="334FF506" w:rsidRPr="004E70CE">
        <w:t xml:space="preserve"> </w:t>
      </w:r>
      <w:r w:rsidR="6F6CD51F" w:rsidRPr="004E70CE">
        <w:t xml:space="preserve"> </w:t>
      </w:r>
      <w:r w:rsidR="79FD02BB" w:rsidRPr="004E70CE">
        <w:t xml:space="preserve">Carbon costs </w:t>
      </w:r>
      <w:r w:rsidR="00800849" w:rsidRPr="004E70CE">
        <w:t xml:space="preserve">are </w:t>
      </w:r>
      <w:r w:rsidR="79FD02BB" w:rsidRPr="004E70CE">
        <w:t>estimated based on emission reduction obligation</w:t>
      </w:r>
      <w:r w:rsidR="38AD27D6" w:rsidRPr="004E70CE">
        <w:t>s</w:t>
      </w:r>
      <w:r w:rsidR="79FD02BB" w:rsidRPr="004E70CE">
        <w:t xml:space="preserve"> under the Safeguard Mechanism</w:t>
      </w:r>
      <w:r w:rsidR="7070562F" w:rsidRPr="004E70CE">
        <w:t xml:space="preserve"> in 2030</w:t>
      </w:r>
      <w:r w:rsidR="00EA6ABE" w:rsidRPr="004E70CE">
        <w:t xml:space="preserve"> (consistent with Australia’s current N</w:t>
      </w:r>
      <w:r w:rsidR="00164E22" w:rsidRPr="004E70CE">
        <w:t xml:space="preserve">ationally </w:t>
      </w:r>
      <w:r w:rsidR="00EA6ABE" w:rsidRPr="004E70CE">
        <w:t>D</w:t>
      </w:r>
      <w:r w:rsidR="00164E22" w:rsidRPr="004E70CE">
        <w:t xml:space="preserve">etermined </w:t>
      </w:r>
      <w:r w:rsidR="00EA6ABE" w:rsidRPr="004E70CE">
        <w:t>C</w:t>
      </w:r>
      <w:r w:rsidR="00164E22" w:rsidRPr="004E70CE">
        <w:t>ontribution</w:t>
      </w:r>
      <w:r w:rsidR="00EA6ABE" w:rsidRPr="004E70CE">
        <w:t>)</w:t>
      </w:r>
      <w:r w:rsidR="38AD27D6" w:rsidRPr="004E70CE">
        <w:t xml:space="preserve">. This obligation reflects the </w:t>
      </w:r>
      <w:r w:rsidR="7E3A3A3F" w:rsidRPr="004E70CE">
        <w:t xml:space="preserve">reduction of </w:t>
      </w:r>
      <w:r w:rsidR="7070562F" w:rsidRPr="004E70CE">
        <w:t>emissions intensities from</w:t>
      </w:r>
      <w:r w:rsidR="79FD02BB" w:rsidRPr="004E70CE">
        <w:t xml:space="preserve"> 2022 </w:t>
      </w:r>
      <w:r w:rsidR="00827ADD" w:rsidRPr="004E70CE">
        <w:t xml:space="preserve">baseline </w:t>
      </w:r>
      <w:r w:rsidR="7070562F" w:rsidRPr="004E70CE">
        <w:t xml:space="preserve">levels to </w:t>
      </w:r>
      <w:r w:rsidR="3E98AA07" w:rsidRPr="004E70CE">
        <w:t>levels</w:t>
      </w:r>
      <w:r w:rsidR="7070562F" w:rsidRPr="004E70CE">
        <w:t xml:space="preserve"> corresponding to </w:t>
      </w:r>
      <w:r w:rsidR="79FD02BB" w:rsidRPr="004E70CE">
        <w:t>2030 baseline</w:t>
      </w:r>
      <w:r w:rsidR="3E98AA07" w:rsidRPr="004E70CE">
        <w:t>s</w:t>
      </w:r>
      <w:r w:rsidR="7E3A3A3F" w:rsidRPr="004E70CE">
        <w:t xml:space="preserve"> (</w:t>
      </w:r>
      <w:r w:rsidR="5FE10A42" w:rsidRPr="004E70CE">
        <w:t xml:space="preserve">with </w:t>
      </w:r>
      <w:r w:rsidR="7E3A3A3F" w:rsidRPr="004E70CE">
        <w:t>estimated effects of TEBA settings</w:t>
      </w:r>
      <w:r w:rsidR="5FE10A42" w:rsidRPr="004E70CE">
        <w:t xml:space="preserve"> factored in</w:t>
      </w:r>
      <w:r w:rsidR="7E3A3A3F" w:rsidRPr="004E70CE">
        <w:t>)</w:t>
      </w:r>
      <w:r w:rsidR="3E98AA07" w:rsidRPr="004E70CE">
        <w:t>.</w:t>
      </w:r>
      <w:r w:rsidR="00066622" w:rsidRPr="004E70CE">
        <w:rPr>
          <w:rStyle w:val="FootnoteReference"/>
        </w:rPr>
        <w:footnoteReference w:id="18"/>
      </w:r>
      <w:r w:rsidR="3E98AA07" w:rsidRPr="004E70CE">
        <w:t xml:space="preserve"> This is </w:t>
      </w:r>
      <w:r w:rsidR="79FD02BB" w:rsidRPr="004E70CE">
        <w:t>multiplied by the projected ACCU price in 2030</w:t>
      </w:r>
      <w:r w:rsidR="348E54A1" w:rsidRPr="004E70CE">
        <w:t xml:space="preserve"> (consistent with Australia’s emissions projections)</w:t>
      </w:r>
      <w:r w:rsidR="1163ED8A" w:rsidRPr="004E70CE">
        <w:t>, which serves</w:t>
      </w:r>
      <w:r w:rsidR="60907122" w:rsidRPr="004E70CE">
        <w:t xml:space="preserve"> as</w:t>
      </w:r>
      <w:r w:rsidR="7E3A3A3F" w:rsidRPr="004E70CE">
        <w:t xml:space="preserve"> a proxy for</w:t>
      </w:r>
      <w:r w:rsidR="60907122" w:rsidRPr="004E70CE">
        <w:t xml:space="preserve"> the marginal cost of abatement</w:t>
      </w:r>
      <w:r w:rsidR="005B4079" w:rsidRPr="004E70CE">
        <w:t>,</w:t>
      </w:r>
      <w:r w:rsidR="60907122" w:rsidRPr="004E70CE">
        <w:t xml:space="preserve"> including onsite abatement where used</w:t>
      </w:r>
      <w:r w:rsidR="37829494" w:rsidRPr="004E70CE">
        <w:t>.</w:t>
      </w:r>
      <w:r w:rsidR="00C56DBC" w:rsidRPr="004E70CE">
        <w:rPr>
          <w:rStyle w:val="FootnoteReference"/>
        </w:rPr>
        <w:footnoteReference w:id="19"/>
      </w:r>
      <w:r w:rsidR="49BA1D14" w:rsidRPr="004E70CE">
        <w:t xml:space="preserve"> </w:t>
      </w:r>
      <w:r w:rsidR="79FD02BB" w:rsidRPr="004E70CE">
        <w:t xml:space="preserve">Prices of </w:t>
      </w:r>
      <w:r w:rsidR="2A69888C" w:rsidRPr="004E70CE">
        <w:t>commodities</w:t>
      </w:r>
      <w:r w:rsidR="79FD02BB" w:rsidRPr="004E70CE">
        <w:t xml:space="preserve"> </w:t>
      </w:r>
      <w:r w:rsidR="4EBF075C" w:rsidRPr="004E70CE">
        <w:t xml:space="preserve">are </w:t>
      </w:r>
      <w:r w:rsidR="00BD0004" w:rsidRPr="004E70CE">
        <w:t xml:space="preserve">drawn from multiple sources, </w:t>
      </w:r>
      <w:r w:rsidR="00920C2B" w:rsidRPr="004E70CE">
        <w:t xml:space="preserve">and </w:t>
      </w:r>
      <w:r w:rsidR="00BD0004" w:rsidRPr="004E70CE">
        <w:t xml:space="preserve">in most cases </w:t>
      </w:r>
      <w:r w:rsidR="7E3A3A3F" w:rsidRPr="004E70CE">
        <w:t xml:space="preserve">inferred </w:t>
      </w:r>
      <w:r w:rsidR="1C7438D8" w:rsidRPr="004E70CE">
        <w:t>from data on trade volumes and values</w:t>
      </w:r>
      <w:r w:rsidR="0DA3F0A1" w:rsidRPr="004E70CE">
        <w:t xml:space="preserve"> between </w:t>
      </w:r>
      <w:r w:rsidR="00102DCE" w:rsidRPr="004E70CE">
        <w:t>201</w:t>
      </w:r>
      <w:r w:rsidR="008A074E">
        <w:t>9</w:t>
      </w:r>
      <w:r w:rsidR="00102DCE" w:rsidRPr="004E70CE">
        <w:t xml:space="preserve"> </w:t>
      </w:r>
      <w:r w:rsidR="0DA3F0A1" w:rsidRPr="004E70CE">
        <w:t xml:space="preserve">and </w:t>
      </w:r>
      <w:r w:rsidR="00102DCE" w:rsidRPr="004E70CE">
        <w:t>202</w:t>
      </w:r>
      <w:r w:rsidR="008A074E">
        <w:t>3</w:t>
      </w:r>
      <w:r w:rsidR="00102DCE" w:rsidRPr="004E70CE">
        <w:t xml:space="preserve"> </w:t>
      </w:r>
      <w:r w:rsidR="0DA3F0A1" w:rsidRPr="004E70CE">
        <w:t>inclusive</w:t>
      </w:r>
      <w:r w:rsidR="1C7438D8" w:rsidRPr="004E70CE">
        <w:t>.</w:t>
      </w:r>
      <w:r w:rsidR="617C75E9" w:rsidRPr="004E70CE">
        <w:t xml:space="preserve"> </w:t>
      </w:r>
      <w:r w:rsidR="00F43E60" w:rsidRPr="004E70CE">
        <w:t>The</w:t>
      </w:r>
      <w:r w:rsidR="003964EE" w:rsidRPr="004E70CE">
        <w:t xml:space="preserve"> unit pric</w:t>
      </w:r>
      <w:r w:rsidR="005A4995" w:rsidRPr="004E70CE">
        <w:t xml:space="preserve">es of these commodities can vary significantly, </w:t>
      </w:r>
      <w:r w:rsidR="00F43E60" w:rsidRPr="004E70CE">
        <w:t xml:space="preserve">accordingly results of computations are presented as ranges rather than point estimates. </w:t>
      </w:r>
      <w:r w:rsidRPr="004E70CE">
        <w:t>C</w:t>
      </w:r>
      <w:r w:rsidR="2A19508C" w:rsidRPr="004E70CE">
        <w:t>arbon cost</w:t>
      </w:r>
      <w:r w:rsidRPr="004E70CE">
        <w:t>s</w:t>
      </w:r>
      <w:r w:rsidR="2A19508C" w:rsidRPr="004E70CE">
        <w:t xml:space="preserve"> as a share of </w:t>
      </w:r>
      <w:r w:rsidRPr="004E70CE">
        <w:t xml:space="preserve">commodity </w:t>
      </w:r>
      <w:r w:rsidR="2A19508C" w:rsidRPr="004E70CE">
        <w:t xml:space="preserve">prices </w:t>
      </w:r>
      <w:r w:rsidR="6B69799F" w:rsidRPr="004E70CE">
        <w:t>is given by the equation below</w:t>
      </w:r>
      <w:r w:rsidRPr="004E70CE">
        <w:t xml:space="preserve"> (see </w:t>
      </w:r>
      <w:r w:rsidR="00497FB2" w:rsidRPr="004E70CE">
        <w:t xml:space="preserve">the </w:t>
      </w:r>
      <w:r w:rsidR="00C9358F">
        <w:t>A</w:t>
      </w:r>
      <w:r w:rsidR="617C75E9" w:rsidRPr="004E70CE">
        <w:t xml:space="preserve">nnex </w:t>
      </w:r>
      <w:r w:rsidRPr="004E70CE">
        <w:t>for further details)</w:t>
      </w:r>
      <w:r w:rsidR="617C75E9" w:rsidRPr="004E70CE">
        <w:t>.</w:t>
      </w:r>
      <w:r w:rsidR="00987DAE" w:rsidRPr="004E70CE">
        <w:t xml:space="preserve"> </w:t>
      </w:r>
    </w:p>
    <w:p w14:paraId="2CED46ED" w14:textId="77777777" w:rsidR="00560775" w:rsidRPr="004E70CE" w:rsidRDefault="00171521" w:rsidP="00CB1C96">
      <w:pPr>
        <w:pStyle w:val="ListParagraph"/>
        <w:spacing w:after="200" w:line="276" w:lineRule="auto"/>
        <w:ind w:left="360"/>
      </w:pPr>
      <m:oMathPara>
        <m:oMath>
          <m:f>
            <m:fPr>
              <m:ctrlPr>
                <w:rPr>
                  <w:rFonts w:ascii="Cambria Math" w:hAnsi="Cambria Math"/>
                  <w:i/>
                  <w:sz w:val="18"/>
                  <w:szCs w:val="18"/>
                </w:rPr>
              </m:ctrlPr>
            </m:fPr>
            <m:num>
              <m:d>
                <m:dPr>
                  <m:ctrlPr>
                    <w:rPr>
                      <w:rFonts w:ascii="Cambria Math" w:hAnsi="Cambria Math"/>
                      <w:i/>
                      <w:sz w:val="18"/>
                      <w:szCs w:val="18"/>
                    </w:rPr>
                  </m:ctrlPr>
                </m:dPr>
                <m:e>
                  <m:sSub>
                    <m:sSubPr>
                      <m:ctrlPr>
                        <w:rPr>
                          <w:rFonts w:ascii="Cambria Math" w:hAnsi="Cambria Math"/>
                          <w:i/>
                          <w:sz w:val="18"/>
                          <w:szCs w:val="18"/>
                        </w:rPr>
                      </m:ctrlPr>
                    </m:sSubPr>
                    <m:e>
                      <m:sSub>
                        <m:sSubPr>
                          <m:ctrlPr>
                            <w:rPr>
                              <w:rFonts w:ascii="Cambria Math" w:hAnsi="Cambria Math"/>
                              <w:i/>
                              <w:sz w:val="18"/>
                              <w:szCs w:val="18"/>
                            </w:rPr>
                          </m:ctrlPr>
                        </m:sSubPr>
                        <m:e>
                          <m:r>
                            <w:rPr>
                              <w:rFonts w:ascii="Cambria Math" w:hAnsi="Cambria Math"/>
                              <w:sz w:val="18"/>
                              <w:szCs w:val="18"/>
                            </w:rPr>
                            <m:t>Average Emissions Intensity</m:t>
                          </m:r>
                        </m:e>
                        <m:sub>
                          <m:r>
                            <w:rPr>
                              <w:rFonts w:ascii="Cambria Math" w:hAnsi="Cambria Math"/>
                              <w:sz w:val="18"/>
                              <w:szCs w:val="18"/>
                            </w:rPr>
                            <m:t>2022</m:t>
                          </m:r>
                        </m:sub>
                      </m:sSub>
                      <m:r>
                        <w:rPr>
                          <w:rFonts w:ascii="Cambria Math" w:hAnsi="Cambria Math"/>
                          <w:sz w:val="18"/>
                          <w:szCs w:val="18"/>
                        </w:rPr>
                        <m:t xml:space="preserve"> - Baseline Emissions Intensity</m:t>
                      </m:r>
                    </m:e>
                    <m:sub>
                      <m:r>
                        <w:rPr>
                          <w:rFonts w:ascii="Cambria Math" w:hAnsi="Cambria Math"/>
                          <w:sz w:val="18"/>
                          <w:szCs w:val="18"/>
                        </w:rPr>
                        <m:t>2030</m:t>
                      </m:r>
                    </m:sub>
                  </m:sSub>
                  <m:r>
                    <w:rPr>
                      <w:rFonts w:ascii="Cambria Math" w:hAnsi="Cambria Math"/>
                      <w:sz w:val="18"/>
                      <w:szCs w:val="18"/>
                    </w:rPr>
                    <m:t xml:space="preserve"> </m:t>
                  </m:r>
                </m:e>
              </m:d>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ACCU price</m:t>
                  </m:r>
                </m:e>
                <m:sub>
                  <m:r>
                    <w:rPr>
                      <w:rFonts w:ascii="Cambria Math" w:hAnsi="Cambria Math"/>
                      <w:sz w:val="18"/>
                      <w:szCs w:val="18"/>
                    </w:rPr>
                    <m:t>2030</m:t>
                  </m:r>
                </m:sub>
              </m:sSub>
            </m:num>
            <m:den>
              <m:r>
                <w:rPr>
                  <w:rFonts w:ascii="Cambria Math" w:hAnsi="Cambria Math"/>
                  <w:sz w:val="18"/>
                  <w:szCs w:val="18"/>
                </w:rPr>
                <m:t>Commodity Price per unit (e.g. tonne)</m:t>
              </m:r>
            </m:den>
          </m:f>
          <m:r>
            <w:rPr>
              <w:rFonts w:ascii="Cambria Math" w:hAnsi="Cambria Math"/>
              <w:sz w:val="18"/>
              <w:szCs w:val="18"/>
            </w:rPr>
            <m:t xml:space="preserve">×100% </m:t>
          </m:r>
        </m:oMath>
      </m:oMathPara>
    </w:p>
    <w:p w14:paraId="6863BE5A" w14:textId="77777777" w:rsidR="003B1A96" w:rsidRDefault="003B1A96">
      <w:pPr>
        <w:spacing w:after="0" w:line="240" w:lineRule="auto"/>
        <w:rPr>
          <w:rFonts w:ascii="Calibri" w:hAnsi="Calibri" w:cs="Calibri"/>
          <w:b/>
          <w:bCs/>
          <w:i/>
        </w:rPr>
      </w:pPr>
      <w:r>
        <w:rPr>
          <w:b/>
          <w:bCs/>
          <w:i/>
        </w:rPr>
        <w:br w:type="page"/>
      </w:r>
    </w:p>
    <w:p w14:paraId="25C6B69F" w14:textId="17BDD366" w:rsidR="006C4C5C" w:rsidRPr="004E70CE" w:rsidRDefault="00560775" w:rsidP="00CB1C96">
      <w:pPr>
        <w:pStyle w:val="ListParagraph"/>
        <w:numPr>
          <w:ilvl w:val="0"/>
          <w:numId w:val="15"/>
        </w:numPr>
        <w:spacing w:after="200" w:line="276" w:lineRule="auto"/>
      </w:pPr>
      <w:r w:rsidRPr="004E70CE">
        <w:rPr>
          <w:b/>
          <w:bCs/>
          <w:i/>
        </w:rPr>
        <w:lastRenderedPageBreak/>
        <w:t>I</w:t>
      </w:r>
      <w:r w:rsidR="00651164" w:rsidRPr="004E70CE">
        <w:rPr>
          <w:b/>
          <w:bCs/>
          <w:i/>
        </w:rPr>
        <w:t xml:space="preserve">mports/exports </w:t>
      </w:r>
      <w:r w:rsidR="0002040C" w:rsidRPr="004E70CE">
        <w:rPr>
          <w:b/>
          <w:bCs/>
          <w:i/>
        </w:rPr>
        <w:t>relative to Safeguard</w:t>
      </w:r>
      <w:r w:rsidR="00651164" w:rsidRPr="004E70CE">
        <w:rPr>
          <w:b/>
          <w:bCs/>
          <w:i/>
        </w:rPr>
        <w:t xml:space="preserve"> production</w:t>
      </w:r>
      <w:r w:rsidR="006C4C5C" w:rsidRPr="004E70CE">
        <w:rPr>
          <w:b/>
          <w:bCs/>
        </w:rPr>
        <w:t>:</w:t>
      </w:r>
      <w:r w:rsidR="006C4C5C" w:rsidRPr="004E70CE">
        <w:t xml:space="preserve"> This </w:t>
      </w:r>
      <w:r w:rsidR="00651164" w:rsidRPr="004E70CE">
        <w:t xml:space="preserve">assesses the </w:t>
      </w:r>
      <w:r w:rsidR="006C4C5C" w:rsidRPr="004E70CE">
        <w:t xml:space="preserve">extent to which </w:t>
      </w:r>
      <w:r w:rsidR="00B01D29" w:rsidRPr="004E70CE">
        <w:t xml:space="preserve">trade matters for </w:t>
      </w:r>
      <w:r w:rsidR="006C4C5C" w:rsidRPr="004E70CE">
        <w:t xml:space="preserve">Australian </w:t>
      </w:r>
      <w:r w:rsidR="00021B12" w:rsidRPr="004E70CE">
        <w:t>commodities</w:t>
      </w:r>
      <w:r w:rsidR="0048608A" w:rsidRPr="004E70CE">
        <w:t xml:space="preserve"> and whether </w:t>
      </w:r>
      <w:r w:rsidR="002755E5" w:rsidRPr="004E70CE">
        <w:t xml:space="preserve">trade exposure </w:t>
      </w:r>
      <w:r w:rsidR="0048608A" w:rsidRPr="004E70CE">
        <w:t>exist</w:t>
      </w:r>
      <w:r w:rsidR="002755E5" w:rsidRPr="004E70CE">
        <w:t>s</w:t>
      </w:r>
      <w:r w:rsidR="0048608A" w:rsidRPr="004E70CE">
        <w:t xml:space="preserve"> mainly in domestic or export markets</w:t>
      </w:r>
      <w:r w:rsidR="006C4C5C" w:rsidRPr="004E70CE">
        <w:t xml:space="preserve">. </w:t>
      </w:r>
      <w:r w:rsidR="002755E5" w:rsidRPr="004E70CE">
        <w:t>The indicator is</w:t>
      </w:r>
      <w:r w:rsidR="00651164" w:rsidRPr="004E70CE">
        <w:t xml:space="preserve"> </w:t>
      </w:r>
      <w:r w:rsidR="007278BC">
        <w:t xml:space="preserve">a ratio </w:t>
      </w:r>
      <w:r w:rsidR="00651164" w:rsidRPr="004E70CE">
        <w:t xml:space="preserve">calculated </w:t>
      </w:r>
      <w:r w:rsidR="006C4C5C" w:rsidRPr="004E70CE">
        <w:t xml:space="preserve">as the volume of imports or exports </w:t>
      </w:r>
      <w:r w:rsidR="00D72854" w:rsidRPr="004E70CE">
        <w:t xml:space="preserve">in </w:t>
      </w:r>
      <w:r w:rsidR="00651164" w:rsidRPr="004E70CE">
        <w:t xml:space="preserve">2022 </w:t>
      </w:r>
      <w:r w:rsidR="00B01D29" w:rsidRPr="004E70CE">
        <w:t xml:space="preserve">divided by </w:t>
      </w:r>
      <w:r w:rsidR="006C4C5C" w:rsidRPr="004E70CE">
        <w:t xml:space="preserve">the volume of </w:t>
      </w:r>
      <w:r w:rsidR="003C5B40" w:rsidRPr="004E70CE">
        <w:t xml:space="preserve">Safeguard Mechanism-covered </w:t>
      </w:r>
      <w:r w:rsidR="006C4C5C" w:rsidRPr="004E70CE">
        <w:t xml:space="preserve">domestic production. </w:t>
      </w:r>
      <w:r w:rsidR="007278BC">
        <w:t>The r</w:t>
      </w:r>
      <w:r w:rsidR="006B03D3">
        <w:t xml:space="preserve">atios </w:t>
      </w:r>
      <w:r w:rsidR="007A79FE" w:rsidRPr="004E70CE">
        <w:t>are presented as ranges</w:t>
      </w:r>
      <w:r w:rsidR="006260B5" w:rsidRPr="004E70CE">
        <w:t xml:space="preserve"> </w:t>
      </w:r>
      <w:r w:rsidR="00665E4F" w:rsidRPr="004E70CE">
        <w:t>because</w:t>
      </w:r>
      <w:r w:rsidR="00D2729A" w:rsidRPr="004E70CE">
        <w:t xml:space="preserve"> some underlying </w:t>
      </w:r>
      <w:r w:rsidR="007636EB" w:rsidRPr="004E70CE">
        <w:t>Safeguard data</w:t>
      </w:r>
      <w:r w:rsidR="00665E4F" w:rsidRPr="004E70CE">
        <w:t xml:space="preserve"> </w:t>
      </w:r>
      <w:r w:rsidR="00F600B4" w:rsidRPr="004E70CE">
        <w:t>is</w:t>
      </w:r>
      <w:r w:rsidR="00665E4F" w:rsidRPr="004E70CE">
        <w:t xml:space="preserve"> confidential</w:t>
      </w:r>
      <w:r w:rsidR="007636EB" w:rsidRPr="004E70CE">
        <w:t>.</w:t>
      </w:r>
    </w:p>
    <w:p w14:paraId="5358BCA7" w14:textId="6E2699D6" w:rsidR="00D700EA" w:rsidRPr="004E70CE" w:rsidRDefault="00171521" w:rsidP="00CB1C96">
      <w:pPr>
        <w:pStyle w:val="FootnoteText"/>
        <w:spacing w:after="200" w:line="276" w:lineRule="auto"/>
        <w:rPr>
          <w:sz w:val="22"/>
          <w:szCs w:val="22"/>
        </w:rPr>
      </w:pPr>
      <m:oMathPara>
        <m:oMath>
          <m:f>
            <m:fPr>
              <m:ctrlPr>
                <w:rPr>
                  <w:rFonts w:ascii="Cambria Math" w:hAnsi="Cambria Math"/>
                  <w:i/>
                  <w:sz w:val="22"/>
                  <w:szCs w:val="22"/>
                </w:rPr>
              </m:ctrlPr>
            </m:fPr>
            <m:num>
              <m:r>
                <w:rPr>
                  <w:rFonts w:ascii="Cambria Math" w:hAnsi="Cambria Math"/>
                  <w:sz w:val="22"/>
                  <w:szCs w:val="22"/>
                </w:rPr>
                <m:t>Exports</m:t>
              </m:r>
              <m:r>
                <m:rPr>
                  <m:nor/>
                </m:rPr>
                <w:rPr>
                  <w:rFonts w:ascii="Cambria Math" w:hAnsi="Cambria Math"/>
                  <w:sz w:val="22"/>
                  <w:szCs w:val="22"/>
                </w:rPr>
                <m:t xml:space="preserve"> OR </m:t>
              </m:r>
              <m:r>
                <w:rPr>
                  <w:rFonts w:ascii="Cambria Math" w:hAnsi="Cambria Math"/>
                  <w:sz w:val="22"/>
                  <w:szCs w:val="22"/>
                </w:rPr>
                <m:t>Imports</m:t>
              </m:r>
            </m:num>
            <m:den>
              <m:r>
                <w:rPr>
                  <w:rFonts w:ascii="Cambria Math" w:hAnsi="Cambria Math"/>
                  <w:sz w:val="22"/>
                  <w:szCs w:val="22"/>
                </w:rPr>
                <m:t>Safeguard Production</m:t>
              </m:r>
            </m:den>
          </m:f>
        </m:oMath>
      </m:oMathPara>
    </w:p>
    <w:p w14:paraId="0E4A2E6C" w14:textId="66223862" w:rsidR="00B751B1" w:rsidRPr="004E70CE" w:rsidRDefault="131EB1A9" w:rsidP="00CB1C96">
      <w:pPr>
        <w:pStyle w:val="ListParagraph"/>
        <w:numPr>
          <w:ilvl w:val="0"/>
          <w:numId w:val="12"/>
        </w:numPr>
        <w:spacing w:after="200" w:line="276" w:lineRule="auto"/>
        <w:ind w:left="357" w:hanging="357"/>
      </w:pPr>
      <w:r w:rsidRPr="004E70CE">
        <w:rPr>
          <w:b/>
          <w:bCs/>
          <w:i/>
          <w:iCs/>
        </w:rPr>
        <w:t>S</w:t>
      </w:r>
      <w:r w:rsidR="2114ED75" w:rsidRPr="004E70CE">
        <w:rPr>
          <w:b/>
          <w:bCs/>
          <w:i/>
          <w:iCs/>
        </w:rPr>
        <w:t>ensitivity</w:t>
      </w:r>
      <w:r w:rsidRPr="004E70CE">
        <w:rPr>
          <w:b/>
          <w:bCs/>
          <w:i/>
          <w:iCs/>
        </w:rPr>
        <w:t xml:space="preserve"> of imports/exports to price changes</w:t>
      </w:r>
      <w:r w:rsidR="2114ED75" w:rsidRPr="004E70CE">
        <w:rPr>
          <w:b/>
          <w:bCs/>
        </w:rPr>
        <w:t>:</w:t>
      </w:r>
      <w:r w:rsidR="2114ED75" w:rsidRPr="004E70CE">
        <w:t xml:space="preserve"> </w:t>
      </w:r>
      <w:r w:rsidR="6564AB92" w:rsidRPr="004E70CE">
        <w:t xml:space="preserve">Trade-price elasticities </w:t>
      </w:r>
      <w:r w:rsidR="006E0A66" w:rsidRPr="004E70CE">
        <w:t xml:space="preserve">are </w:t>
      </w:r>
      <w:r w:rsidR="6564AB92" w:rsidRPr="004E70CE">
        <w:t xml:space="preserve">estimated </w:t>
      </w:r>
      <w:r w:rsidRPr="004E70CE">
        <w:t xml:space="preserve">for each </w:t>
      </w:r>
      <w:r w:rsidR="2A69888C" w:rsidRPr="004E70CE">
        <w:t>commodity</w:t>
      </w:r>
      <w:r w:rsidRPr="004E70CE">
        <w:t xml:space="preserve"> </w:t>
      </w:r>
      <w:r w:rsidR="6564AB92" w:rsidRPr="004E70CE">
        <w:t xml:space="preserve">to understand the sensitivity of imports and exports to price changes. </w:t>
      </w:r>
      <w:r w:rsidR="4EB808FA" w:rsidRPr="004E70CE">
        <w:t xml:space="preserve">They give a broad </w:t>
      </w:r>
      <w:r w:rsidR="688A5434" w:rsidRPr="004E70CE">
        <w:t>indicat</w:t>
      </w:r>
      <w:r w:rsidR="4EB808FA" w:rsidRPr="004E70CE">
        <w:t xml:space="preserve">ion of </w:t>
      </w:r>
      <w:r w:rsidR="688A5434" w:rsidRPr="004E70CE">
        <w:t xml:space="preserve">how </w:t>
      </w:r>
      <w:r w:rsidR="640495EE" w:rsidRPr="004E70CE">
        <w:t>susceptib</w:t>
      </w:r>
      <w:r w:rsidR="688A5434" w:rsidRPr="004E70CE">
        <w:t xml:space="preserve">le </w:t>
      </w:r>
      <w:r w:rsidR="2A69888C" w:rsidRPr="004E70CE">
        <w:t>commodities</w:t>
      </w:r>
      <w:r w:rsidR="688A5434" w:rsidRPr="004E70CE">
        <w:t xml:space="preserve"> </w:t>
      </w:r>
      <w:r w:rsidR="4EB808FA" w:rsidRPr="004E70CE">
        <w:t xml:space="preserve">may be </w:t>
      </w:r>
      <w:r w:rsidR="640495EE" w:rsidRPr="004E70CE">
        <w:t>to trade leakage. For example, a</w:t>
      </w:r>
      <w:r w:rsidR="688A5434" w:rsidRPr="004E70CE">
        <w:t>n elasticity</w:t>
      </w:r>
      <w:r w:rsidR="640495EE" w:rsidRPr="004E70CE">
        <w:t xml:space="preserve"> of -0.5</w:t>
      </w:r>
      <w:r w:rsidR="6564AB92" w:rsidRPr="004E70CE">
        <w:t xml:space="preserve"> </w:t>
      </w:r>
      <w:r w:rsidR="4AF6DE42" w:rsidRPr="004E70CE">
        <w:t>implies</w:t>
      </w:r>
      <w:r w:rsidR="640495EE" w:rsidRPr="004E70CE">
        <w:t xml:space="preserve"> a 1% increase in price </w:t>
      </w:r>
      <w:r w:rsidR="4EB808FA" w:rsidRPr="004E70CE">
        <w:t>has been</w:t>
      </w:r>
      <w:r w:rsidR="688A5434" w:rsidRPr="004E70CE">
        <w:t>,</w:t>
      </w:r>
      <w:r w:rsidR="3B9A9A85" w:rsidRPr="004E70CE">
        <w:rPr>
          <w:i/>
          <w:iCs/>
        </w:rPr>
        <w:t xml:space="preserve"> </w:t>
      </w:r>
      <w:r w:rsidR="640495EE" w:rsidRPr="004E70CE">
        <w:t>on average</w:t>
      </w:r>
      <w:r w:rsidR="688A5434" w:rsidRPr="004E70CE">
        <w:t>,</w:t>
      </w:r>
      <w:r w:rsidR="640495EE" w:rsidRPr="004E70CE">
        <w:t xml:space="preserve"> associated with a 0.5% reduction in imports or exports. </w:t>
      </w:r>
      <w:r w:rsidR="2114ED75" w:rsidRPr="004E70CE">
        <w:t xml:space="preserve">These </w:t>
      </w:r>
      <w:r w:rsidR="688A5434" w:rsidRPr="004E70CE">
        <w:t>estimates</w:t>
      </w:r>
      <w:r w:rsidR="2114ED75" w:rsidRPr="004E70CE" w:rsidDel="00A73840">
        <w:t xml:space="preserve"> </w:t>
      </w:r>
      <w:r w:rsidR="00A73840" w:rsidRPr="004E70CE">
        <w:t xml:space="preserve">are </w:t>
      </w:r>
      <w:r w:rsidR="2114ED75" w:rsidRPr="004E70CE">
        <w:t>derived from</w:t>
      </w:r>
      <w:r w:rsidR="03CD1681" w:rsidRPr="004E70CE">
        <w:t xml:space="preserve"> </w:t>
      </w:r>
      <w:r w:rsidR="2114ED75" w:rsidRPr="004E70CE">
        <w:t>econometric analysis of A</w:t>
      </w:r>
      <w:r w:rsidR="00164E22" w:rsidRPr="004E70CE">
        <w:t xml:space="preserve">ustralian </w:t>
      </w:r>
      <w:r w:rsidR="2114ED75" w:rsidRPr="004E70CE">
        <w:t>B</w:t>
      </w:r>
      <w:r w:rsidR="00164E22" w:rsidRPr="004E70CE">
        <w:t xml:space="preserve">ureau of </w:t>
      </w:r>
      <w:r w:rsidR="2114ED75" w:rsidRPr="004E70CE">
        <w:t>S</w:t>
      </w:r>
      <w:r w:rsidR="00164E22" w:rsidRPr="004E70CE">
        <w:t>tatistics (ABS)</w:t>
      </w:r>
      <w:r w:rsidR="2114ED75" w:rsidRPr="004E70CE">
        <w:t xml:space="preserve"> data</w:t>
      </w:r>
      <w:r w:rsidR="466E46DD" w:rsidRPr="004E70CE">
        <w:t xml:space="preserve">. </w:t>
      </w:r>
      <w:r w:rsidR="3B2CB2CE" w:rsidRPr="004E70CE">
        <w:t xml:space="preserve">See </w:t>
      </w:r>
      <w:r w:rsidR="00795351" w:rsidRPr="004E70CE">
        <w:t>A</w:t>
      </w:r>
      <w:r w:rsidR="3B2CB2CE" w:rsidRPr="004E70CE">
        <w:t>nnex for further d</w:t>
      </w:r>
      <w:r w:rsidR="466E46DD" w:rsidRPr="004E70CE">
        <w:t>etails</w:t>
      </w:r>
      <w:r w:rsidR="00CE503C" w:rsidRPr="004E70CE">
        <w:t xml:space="preserve"> including </w:t>
      </w:r>
      <w:r w:rsidR="00A91DA6" w:rsidRPr="004E70CE">
        <w:t xml:space="preserve">a discussion of </w:t>
      </w:r>
      <w:r w:rsidR="00CE503C" w:rsidRPr="004E70CE">
        <w:t xml:space="preserve">confidence </w:t>
      </w:r>
      <w:r w:rsidR="00A91DA6" w:rsidRPr="004E70CE">
        <w:t>interval and robustness checks</w:t>
      </w:r>
      <w:r w:rsidR="3B2CB2CE" w:rsidRPr="004E70CE">
        <w:t>.</w:t>
      </w:r>
      <w:r w:rsidR="466E46DD" w:rsidRPr="004E70CE">
        <w:t xml:space="preserve"> </w:t>
      </w:r>
    </w:p>
    <w:p w14:paraId="4EE395A3" w14:textId="4B4508B3" w:rsidR="00836DFD" w:rsidRPr="004E70CE" w:rsidRDefault="1298499E" w:rsidP="00CB1C96">
      <w:pPr>
        <w:pStyle w:val="ListParagraph"/>
        <w:numPr>
          <w:ilvl w:val="0"/>
          <w:numId w:val="12"/>
        </w:numPr>
        <w:spacing w:after="200" w:line="276" w:lineRule="auto"/>
        <w:ind w:left="357" w:hanging="357"/>
      </w:pPr>
      <w:r w:rsidRPr="004E70CE">
        <w:rPr>
          <w:b/>
          <w:bCs/>
          <w:i/>
          <w:iCs/>
        </w:rPr>
        <w:t xml:space="preserve">Share of </w:t>
      </w:r>
      <w:r w:rsidR="63A26A91" w:rsidRPr="004E70CE">
        <w:rPr>
          <w:b/>
          <w:bCs/>
          <w:i/>
          <w:iCs/>
        </w:rPr>
        <w:t xml:space="preserve">production </w:t>
      </w:r>
      <w:r w:rsidRPr="004E70CE">
        <w:rPr>
          <w:b/>
          <w:bCs/>
          <w:i/>
          <w:iCs/>
        </w:rPr>
        <w:t>covered by the Safeguard Mechanism</w:t>
      </w:r>
      <w:r w:rsidRPr="004E70CE">
        <w:rPr>
          <w:b/>
          <w:bCs/>
        </w:rPr>
        <w:t>:</w:t>
      </w:r>
      <w:r w:rsidR="0511570F" w:rsidRPr="004E70CE">
        <w:t xml:space="preserve"> </w:t>
      </w:r>
      <w:r w:rsidR="4CB4AC52" w:rsidRPr="004E70CE">
        <w:t xml:space="preserve">The proportion of domestic production covered by the Safeguard Mechanism varies across </w:t>
      </w:r>
      <w:r w:rsidR="2A69888C" w:rsidRPr="004E70CE">
        <w:t>commodities</w:t>
      </w:r>
      <w:r w:rsidR="2450D7B0" w:rsidRPr="004E70CE">
        <w:t xml:space="preserve">. </w:t>
      </w:r>
      <w:r w:rsidR="49208C01" w:rsidRPr="004E70CE">
        <w:t xml:space="preserve">As production data </w:t>
      </w:r>
      <w:r w:rsidR="4C524579" w:rsidRPr="004E70CE">
        <w:t xml:space="preserve">is </w:t>
      </w:r>
      <w:r w:rsidR="49208C01" w:rsidRPr="004E70CE">
        <w:t xml:space="preserve">not available for some commodities, Safeguard-covered emissions as a percentage of </w:t>
      </w:r>
      <w:r w:rsidR="0FCB2E84" w:rsidRPr="004E70CE">
        <w:t xml:space="preserve">total </w:t>
      </w:r>
      <w:r w:rsidR="0AD714D0" w:rsidRPr="004E70CE">
        <w:t xml:space="preserve">emissions </w:t>
      </w:r>
      <w:r w:rsidR="49208C01" w:rsidRPr="004E70CE">
        <w:t xml:space="preserve">from all </w:t>
      </w:r>
      <w:r w:rsidR="32B2960B" w:rsidRPr="004E70CE">
        <w:t>National Greenhouse and Energy Reporting Scheme (</w:t>
      </w:r>
      <w:r w:rsidR="49208C01" w:rsidRPr="004E70CE">
        <w:t>NGER</w:t>
      </w:r>
      <w:r w:rsidR="32B2960B" w:rsidRPr="004E70CE">
        <w:t>)</w:t>
      </w:r>
      <w:r w:rsidR="49208C01" w:rsidRPr="004E70CE">
        <w:t xml:space="preserve"> facilities producing that commodity </w:t>
      </w:r>
      <w:r w:rsidR="6C8698D3" w:rsidRPr="004E70CE">
        <w:t>are</w:t>
      </w:r>
      <w:r w:rsidR="49208C01" w:rsidRPr="004E70CE">
        <w:t xml:space="preserve"> </w:t>
      </w:r>
      <w:r w:rsidR="7FEDD051" w:rsidRPr="004E70CE">
        <w:t>calculate</w:t>
      </w:r>
      <w:r w:rsidR="49208C01" w:rsidRPr="004E70CE">
        <w:t>d</w:t>
      </w:r>
      <w:r w:rsidR="7FEDD051" w:rsidRPr="004E70CE">
        <w:t xml:space="preserve"> </w:t>
      </w:r>
      <w:r w:rsidR="49208C01" w:rsidRPr="004E70CE">
        <w:t>as a proxy for</w:t>
      </w:r>
      <w:r w:rsidR="7FEDD051" w:rsidRPr="004E70CE">
        <w:t xml:space="preserve"> this. </w:t>
      </w:r>
      <w:r w:rsidR="00841CB0" w:rsidRPr="004E70CE">
        <w:t>The ratio indicates what share of production is potentially subject to leakage risk</w:t>
      </w:r>
      <w:r w:rsidR="00795351" w:rsidRPr="004E70CE">
        <w:t>.</w:t>
      </w:r>
      <w:r w:rsidR="00841CB0" w:rsidRPr="004E70CE">
        <w:t xml:space="preserve"> </w:t>
      </w:r>
      <w:r w:rsidR="00795351" w:rsidRPr="004E70CE">
        <w:t>It</w:t>
      </w:r>
      <w:r w:rsidR="00841CB0" w:rsidRPr="004E70CE">
        <w:t xml:space="preserve"> </w:t>
      </w:r>
      <w:r w:rsidR="00C24741" w:rsidRPr="004E70CE">
        <w:t xml:space="preserve">is </w:t>
      </w:r>
      <w:r w:rsidR="00795351" w:rsidRPr="004E70CE">
        <w:t>also</w:t>
      </w:r>
      <w:r w:rsidR="00C24741" w:rsidRPr="004E70CE">
        <w:t xml:space="preserve"> </w:t>
      </w:r>
      <w:r w:rsidR="51BB7CCC" w:rsidRPr="004E70CE">
        <w:t xml:space="preserve">a factor in assessment of feasibility of carbon leakage policy instruments. </w:t>
      </w:r>
    </w:p>
    <w:p w14:paraId="0BF07518" w14:textId="77777777" w:rsidR="00E337E8" w:rsidRPr="004E70CE" w:rsidRDefault="00171521" w:rsidP="00CB1C96">
      <w:pPr>
        <w:pStyle w:val="ListParagraph"/>
        <w:spacing w:after="200" w:line="276" w:lineRule="auto"/>
        <w:ind w:left="357"/>
        <w:rPr>
          <w:i/>
        </w:rPr>
      </w:pPr>
      <m:oMathPara>
        <m:oMath>
          <m:f>
            <m:fPr>
              <m:ctrlPr>
                <w:rPr>
                  <w:rFonts w:ascii="Cambria Math" w:hAnsi="Cambria Math"/>
                  <w:i/>
                </w:rPr>
              </m:ctrlPr>
            </m:fPr>
            <m:num>
              <m:r>
                <m:rPr>
                  <m:nor/>
                </m:rPr>
                <w:rPr>
                  <w:rFonts w:ascii="Cambria Math" w:hAnsi="Cambria Math"/>
                  <w:i/>
                </w:rPr>
                <m:t>Emissions from Safeguard facilities producing a commodity</m:t>
              </m:r>
            </m:num>
            <m:den>
              <m:r>
                <m:rPr>
                  <m:nor/>
                </m:rPr>
                <w:rPr>
                  <w:rFonts w:ascii="Cambria Math" w:hAnsi="Cambria Math"/>
                  <w:i/>
                </w:rPr>
                <m:t>Emissions from all NGER facilities producing a commodity</m:t>
              </m:r>
            </m:den>
          </m:f>
          <m:r>
            <w:rPr>
              <w:rFonts w:ascii="Cambria Math" w:hAnsi="Cambria Math"/>
            </w:rPr>
            <m:t xml:space="preserve"> ×100%</m:t>
          </m:r>
        </m:oMath>
      </m:oMathPara>
    </w:p>
    <w:p w14:paraId="22C8DC42" w14:textId="625391B3" w:rsidR="00DD05FC" w:rsidRPr="004E70CE" w:rsidRDefault="684D2BDD" w:rsidP="00CB1C96">
      <w:pPr>
        <w:pStyle w:val="ListParagraph"/>
        <w:numPr>
          <w:ilvl w:val="0"/>
          <w:numId w:val="12"/>
        </w:numPr>
        <w:spacing w:after="200" w:line="276" w:lineRule="auto"/>
        <w:ind w:left="357" w:hanging="357"/>
      </w:pPr>
      <w:r w:rsidRPr="004E70CE">
        <w:rPr>
          <w:b/>
          <w:bCs/>
          <w:i/>
          <w:iCs/>
        </w:rPr>
        <w:t xml:space="preserve">Changes in </w:t>
      </w:r>
      <w:r w:rsidR="00795351" w:rsidRPr="004E70CE">
        <w:rPr>
          <w:b/>
          <w:bCs/>
          <w:i/>
          <w:iCs/>
        </w:rPr>
        <w:t>Safeguard</w:t>
      </w:r>
      <w:r w:rsidRPr="004E70CE">
        <w:rPr>
          <w:b/>
          <w:bCs/>
          <w:i/>
          <w:iCs/>
        </w:rPr>
        <w:t xml:space="preserve"> production:</w:t>
      </w:r>
      <w:r w:rsidRPr="004E70CE">
        <w:rPr>
          <w:i/>
          <w:iCs/>
        </w:rPr>
        <w:t xml:space="preserve"> </w:t>
      </w:r>
      <w:r w:rsidRPr="004E70CE">
        <w:t xml:space="preserve">This </w:t>
      </w:r>
      <w:r w:rsidR="00795351" w:rsidRPr="004E70CE">
        <w:t>indicator</w:t>
      </w:r>
      <w:r w:rsidRPr="004E70CE">
        <w:t xml:space="preserve"> </w:t>
      </w:r>
      <w:r w:rsidR="1E8EE2B7" w:rsidRPr="004E70CE">
        <w:t xml:space="preserve">provides </w:t>
      </w:r>
      <w:r w:rsidRPr="004E70CE">
        <w:t>an estimate of trade leakage, drawing on elements of the</w:t>
      </w:r>
      <w:r w:rsidR="0AD14E99" w:rsidRPr="004E70CE">
        <w:t xml:space="preserve"> first three</w:t>
      </w:r>
      <w:r w:rsidR="000B0B55" w:rsidRPr="004E70CE">
        <w:t xml:space="preserve"> </w:t>
      </w:r>
      <w:r w:rsidRPr="004E70CE">
        <w:t xml:space="preserve">risk indicators described above. </w:t>
      </w:r>
      <w:r w:rsidR="00AE58BC" w:rsidRPr="004E70CE">
        <w:t xml:space="preserve">Changes in </w:t>
      </w:r>
      <w:r w:rsidR="00795351" w:rsidRPr="004E70CE">
        <w:t>Safeguard</w:t>
      </w:r>
      <w:r w:rsidR="00AE58BC" w:rsidRPr="004E70CE">
        <w:t xml:space="preserve"> production are estimated based on the equation below</w:t>
      </w:r>
      <w:r w:rsidR="009976B8" w:rsidRPr="004E70CE">
        <w:t xml:space="preserve">, which links </w:t>
      </w:r>
      <w:r w:rsidR="00BE4843" w:rsidRPr="004E70CE">
        <w:t xml:space="preserve">the percentage change of prices to </w:t>
      </w:r>
      <w:r w:rsidR="003368F9" w:rsidRPr="004E70CE">
        <w:t>quantities via an econometrically estimated elasticity</w:t>
      </w:r>
      <w:r w:rsidR="00AE58BC" w:rsidRPr="004E70CE">
        <w:t xml:space="preserve">. </w:t>
      </w:r>
      <w:r w:rsidR="00E35A14" w:rsidRPr="004E70CE">
        <w:t xml:space="preserve">Import or export changes are assumed to </w:t>
      </w:r>
      <w:r w:rsidR="00375ECD" w:rsidRPr="004E70CE">
        <w:t>proportionally change (</w:t>
      </w:r>
      <w:r w:rsidR="008325A7" w:rsidRPr="004E70CE">
        <w:t xml:space="preserve">increase </w:t>
      </w:r>
      <w:r w:rsidR="004C411D" w:rsidRPr="004E70CE">
        <w:t xml:space="preserve">or </w:t>
      </w:r>
      <w:r w:rsidR="00375ECD" w:rsidRPr="004E70CE">
        <w:t>reduce)</w:t>
      </w:r>
      <w:r w:rsidR="0042293E" w:rsidRPr="004E70CE">
        <w:t xml:space="preserve"> </w:t>
      </w:r>
      <w:r w:rsidR="00DF0AEE" w:rsidRPr="004E70CE">
        <w:t>domestic production</w:t>
      </w:r>
      <w:r w:rsidR="00AA1E77" w:rsidRPr="004E70CE">
        <w:t>, and</w:t>
      </w:r>
      <w:r w:rsidR="00907CAD" w:rsidRPr="004E70CE">
        <w:t xml:space="preserve"> rounded to </w:t>
      </w:r>
      <w:r w:rsidR="00936F78" w:rsidRPr="004E70CE">
        <w:t>the nearest per cent</w:t>
      </w:r>
      <w:r w:rsidR="00907CAD" w:rsidRPr="004E70CE">
        <w:t xml:space="preserve"> given the range of plausible </w:t>
      </w:r>
      <w:r w:rsidR="00FA0B9C" w:rsidRPr="004E70CE">
        <w:t xml:space="preserve">values for key parameters discussed above. </w:t>
      </w:r>
      <w:r w:rsidRPr="004E70CE">
        <w:t xml:space="preserve">Further details on the assessment approach are provided </w:t>
      </w:r>
      <w:r w:rsidR="001E2857" w:rsidRPr="004E70CE">
        <w:rPr>
          <w:b/>
          <w:bCs/>
        </w:rPr>
        <w:t>S</w:t>
      </w:r>
      <w:r w:rsidRPr="004E70CE">
        <w:rPr>
          <w:b/>
          <w:bCs/>
        </w:rPr>
        <w:t>ection 2.4</w:t>
      </w:r>
      <w:r w:rsidRPr="004E70CE">
        <w:t>.</w:t>
      </w:r>
    </w:p>
    <w:p w14:paraId="0EB68ED8" w14:textId="664D3906" w:rsidR="00ED6764" w:rsidRPr="004E70CE" w:rsidRDefault="00171521" w:rsidP="00CB1C96">
      <w:pPr>
        <w:pStyle w:val="ListParagraph"/>
        <w:spacing w:after="200" w:line="276" w:lineRule="auto"/>
        <w:ind w:left="357"/>
      </w:pPr>
      <m:oMathPara>
        <m:oMath>
          <m:sSub>
            <m:sSubPr>
              <m:ctrlPr>
                <w:rPr>
                  <w:rFonts w:ascii="Cambria Math" w:hAnsi="Cambria Math"/>
                  <w:i/>
                </w:rPr>
              </m:ctrlPr>
            </m:sSubPr>
            <m:e>
              <m:r>
                <w:rPr>
                  <w:rFonts w:ascii="Cambria Math" w:hAnsi="Cambria Math"/>
                </w:rPr>
                <m:t>Elasticity</m:t>
              </m:r>
            </m:e>
            <m:sub>
              <m:r>
                <w:rPr>
                  <w:rFonts w:ascii="Cambria Math" w:hAnsi="Cambria Math"/>
                </w:rPr>
                <m:t>trade,  price</m:t>
              </m:r>
            </m:sub>
          </m:sSub>
          <m:r>
            <w:rPr>
              <w:rFonts w:ascii="Cambria Math" w:hAnsi="Cambria Math"/>
            </w:rPr>
            <m:t xml:space="preserve"> × % Change in price</m:t>
          </m:r>
          <m:r>
            <w:rPr>
              <w:rFonts w:ascii="Cambria Math" w:eastAsiaTheme="minorEastAsia" w:hAnsi="Cambria Math"/>
            </w:rPr>
            <m:t xml:space="preserve"> ×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Imports OR Exports</m:t>
                  </m:r>
                </m:e>
                <m:sub>
                  <m:r>
                    <w:rPr>
                      <w:rFonts w:ascii="Cambria Math" w:eastAsiaTheme="minorEastAsia" w:hAnsi="Cambria Math"/>
                    </w:rPr>
                    <m:t>(e.g.,  tonnes), t</m:t>
                  </m:r>
                </m:sub>
              </m:sSub>
            </m:num>
            <m:den>
              <m:sSub>
                <m:sSubPr>
                  <m:ctrlPr>
                    <w:rPr>
                      <w:rFonts w:ascii="Cambria Math" w:eastAsiaTheme="minorEastAsia" w:hAnsi="Cambria Math"/>
                      <w:i/>
                    </w:rPr>
                  </m:ctrlPr>
                </m:sSubPr>
                <m:e>
                  <m:r>
                    <w:rPr>
                      <w:rFonts w:ascii="Cambria Math" w:eastAsiaTheme="minorEastAsia" w:hAnsi="Cambria Math"/>
                    </w:rPr>
                    <m:t>Safeguard production</m:t>
                  </m:r>
                </m:e>
                <m:sub>
                  <m:r>
                    <w:rPr>
                      <w:rFonts w:ascii="Cambria Math" w:eastAsiaTheme="minorEastAsia" w:hAnsi="Cambria Math"/>
                    </w:rPr>
                    <m:t>t</m:t>
                  </m:r>
                </m:sub>
              </m:sSub>
            </m:den>
          </m:f>
          <m:r>
            <w:rPr>
              <w:rFonts w:ascii="Cambria Math" w:eastAsiaTheme="minorEastAsia" w:hAnsi="Cambria Math"/>
            </w:rPr>
            <m:t>×100%</m:t>
          </m:r>
        </m:oMath>
      </m:oMathPara>
    </w:p>
    <w:p w14:paraId="0C92B729" w14:textId="3B0977D7" w:rsidR="00462D21" w:rsidRPr="004E70CE" w:rsidRDefault="000A35FC" w:rsidP="00CB1C96">
      <w:pPr>
        <w:pStyle w:val="ListParagraph"/>
        <w:numPr>
          <w:ilvl w:val="0"/>
          <w:numId w:val="12"/>
        </w:numPr>
        <w:spacing w:after="200" w:line="276" w:lineRule="auto"/>
        <w:ind w:left="357" w:hanging="357"/>
      </w:pPr>
      <w:r w:rsidRPr="004E70CE">
        <w:rPr>
          <w:b/>
          <w:bCs/>
          <w:i/>
          <w:iCs/>
        </w:rPr>
        <w:t>Emissions</w:t>
      </w:r>
      <w:r w:rsidR="5CC145DE" w:rsidRPr="004E70CE">
        <w:rPr>
          <w:b/>
          <w:bCs/>
          <w:i/>
          <w:iCs/>
        </w:rPr>
        <w:t xml:space="preserve"> </w:t>
      </w:r>
      <w:r w:rsidRPr="004E70CE">
        <w:rPr>
          <w:b/>
          <w:bCs/>
          <w:i/>
          <w:iCs/>
        </w:rPr>
        <w:t xml:space="preserve">to </w:t>
      </w:r>
      <w:r w:rsidR="5CC145DE" w:rsidRPr="004E70CE">
        <w:rPr>
          <w:b/>
          <w:bCs/>
          <w:i/>
          <w:iCs/>
        </w:rPr>
        <w:t xml:space="preserve">industry </w:t>
      </w:r>
      <w:r w:rsidR="00BC5912" w:rsidRPr="004E70CE">
        <w:rPr>
          <w:b/>
          <w:bCs/>
          <w:i/>
          <w:iCs/>
        </w:rPr>
        <w:t>group</w:t>
      </w:r>
      <w:r w:rsidR="5CC145DE" w:rsidRPr="004E70CE">
        <w:rPr>
          <w:b/>
          <w:bCs/>
          <w:i/>
          <w:iCs/>
        </w:rPr>
        <w:t xml:space="preserve"> profits</w:t>
      </w:r>
      <w:r w:rsidR="5E63F5A1" w:rsidRPr="004E70CE">
        <w:rPr>
          <w:i/>
          <w:iCs/>
        </w:rPr>
        <w:t xml:space="preserve"> </w:t>
      </w:r>
      <w:r w:rsidRPr="004E70CE">
        <w:rPr>
          <w:b/>
          <w:bCs/>
          <w:i/>
          <w:iCs/>
        </w:rPr>
        <w:t>ratio</w:t>
      </w:r>
      <w:r w:rsidR="75ADD141" w:rsidRPr="004E70CE">
        <w:t>:</w:t>
      </w:r>
      <w:r w:rsidR="5CC145DE" w:rsidRPr="004E70CE">
        <w:t xml:space="preserve"> This </w:t>
      </w:r>
      <w:r w:rsidR="0063329F" w:rsidRPr="004E70CE">
        <w:t>indicator</w:t>
      </w:r>
      <w:r w:rsidR="002B7F7D" w:rsidRPr="004E70CE">
        <w:t xml:space="preserve"> </w:t>
      </w:r>
      <w:r w:rsidR="50DE5612" w:rsidRPr="004E70CE">
        <w:t xml:space="preserve">provides insight </w:t>
      </w:r>
      <w:r w:rsidR="008325A7" w:rsidRPr="004E70CE">
        <w:t>in</w:t>
      </w:r>
      <w:r w:rsidR="50DE5612" w:rsidRPr="004E70CE">
        <w:t xml:space="preserve">to investment leakage risk on the assumption that </w:t>
      </w:r>
      <w:r w:rsidR="614AEF4E" w:rsidRPr="004E70CE">
        <w:t>inability to pass carbon costs through to customers</w:t>
      </w:r>
      <w:r w:rsidR="008325A7" w:rsidRPr="004E70CE">
        <w:t>,</w:t>
      </w:r>
      <w:r w:rsidR="614AEF4E" w:rsidRPr="004E70CE">
        <w:t xml:space="preserve"> or </w:t>
      </w:r>
      <w:r w:rsidR="1C9ED447" w:rsidRPr="004E70CE">
        <w:t>deeper cuts to profit margins</w:t>
      </w:r>
      <w:r w:rsidR="008325A7" w:rsidRPr="004E70CE">
        <w:t>,</w:t>
      </w:r>
      <w:r w:rsidR="1C9ED447" w:rsidRPr="004E70CE">
        <w:t xml:space="preserve"> could lead to </w:t>
      </w:r>
      <w:r w:rsidR="6B6E3851" w:rsidRPr="004E70CE">
        <w:t xml:space="preserve">investment moving offshore </w:t>
      </w:r>
      <w:r w:rsidR="193E31EC" w:rsidRPr="004E70CE">
        <w:t xml:space="preserve">to </w:t>
      </w:r>
      <w:r w:rsidR="5045F3CD" w:rsidRPr="004E70CE">
        <w:t>jurisdiction</w:t>
      </w:r>
      <w:r w:rsidR="193E31EC" w:rsidRPr="004E70CE">
        <w:t>s</w:t>
      </w:r>
      <w:r w:rsidR="5045F3CD" w:rsidRPr="004E70CE">
        <w:t xml:space="preserve"> where </w:t>
      </w:r>
      <w:r w:rsidR="5AE996AE" w:rsidRPr="004E70CE">
        <w:t>carbon costs are low or zero</w:t>
      </w:r>
      <w:r w:rsidR="5CC145DE" w:rsidRPr="004E70CE">
        <w:t>.</w:t>
      </w:r>
      <w:r w:rsidR="131B15B3" w:rsidRPr="004E70CE">
        <w:t xml:space="preserve"> </w:t>
      </w:r>
      <w:r w:rsidR="00E20F11" w:rsidRPr="004E70CE">
        <w:t xml:space="preserve">Facility-level </w:t>
      </w:r>
      <w:r w:rsidR="000B3794" w:rsidRPr="004E70CE">
        <w:t>carbon</w:t>
      </w:r>
      <w:r w:rsidR="131B15B3" w:rsidRPr="004E70CE">
        <w:t xml:space="preserve"> </w:t>
      </w:r>
      <w:r w:rsidR="008F0F10" w:rsidRPr="004E70CE">
        <w:t>emissions</w:t>
      </w:r>
      <w:r w:rsidR="131B15B3" w:rsidRPr="004E70CE">
        <w:t xml:space="preserve"> </w:t>
      </w:r>
      <w:r w:rsidR="000B3794" w:rsidRPr="004E70CE">
        <w:t>were</w:t>
      </w:r>
      <w:r w:rsidR="004038A6" w:rsidRPr="004E70CE">
        <w:t xml:space="preserve"> integrated with firm-level data on profits from </w:t>
      </w:r>
      <w:r w:rsidR="000B3794" w:rsidRPr="004E70CE">
        <w:t xml:space="preserve">the </w:t>
      </w:r>
      <w:r w:rsidR="004038A6" w:rsidRPr="004E70CE">
        <w:t xml:space="preserve">ABS.  This analysis and its results are discussed further in </w:t>
      </w:r>
      <w:r w:rsidR="001E2857" w:rsidRPr="004E70CE">
        <w:rPr>
          <w:b/>
          <w:bCs/>
        </w:rPr>
        <w:t>S</w:t>
      </w:r>
      <w:r w:rsidR="004038A6" w:rsidRPr="004E70CE">
        <w:rPr>
          <w:b/>
          <w:bCs/>
        </w:rPr>
        <w:t>ection 2.5</w:t>
      </w:r>
      <w:r w:rsidR="004038A6" w:rsidRPr="004E70CE">
        <w:t xml:space="preserve"> below.</w:t>
      </w:r>
      <w:r w:rsidR="008F1EFB" w:rsidRPr="004E70CE">
        <w:t xml:space="preserve"> </w:t>
      </w:r>
      <w:r w:rsidR="00462D21" w:rsidRPr="004E70CE">
        <w:t xml:space="preserve">   </w:t>
      </w:r>
    </w:p>
    <w:p w14:paraId="73894654" w14:textId="59E89543" w:rsidR="00085385" w:rsidRPr="004E70CE" w:rsidRDefault="00462D21" w:rsidP="00CB1C96">
      <w:pPr>
        <w:pStyle w:val="ListParagraph"/>
        <w:spacing w:after="200" w:line="276" w:lineRule="auto"/>
        <w:ind w:left="357"/>
        <w:jc w:val="center"/>
        <w:rPr>
          <w:rFonts w:asciiTheme="minorHAnsi" w:eastAsiaTheme="minorEastAsia" w:hAnsiTheme="minorHAnsi" w:cstheme="minorBidi"/>
        </w:rPr>
      </w:pPr>
      <m:oMathPara>
        <m:oMath>
          <m:r>
            <w:rPr>
              <w:rFonts w:ascii="Cambria Math" w:hAnsi="Cambria Math"/>
            </w:rPr>
            <m:t xml:space="preserve">Ratio </m:t>
          </m:r>
          <m:d>
            <m:dPr>
              <m:ctrlPr>
                <w:rPr>
                  <w:rFonts w:ascii="Cambria Math" w:hAnsi="Cambria Math"/>
                  <w:i/>
                </w:rPr>
              </m:ctrlPr>
            </m:dPr>
            <m:e>
              <m:r>
                <w:rPr>
                  <w:rFonts w:ascii="Cambria Math" w:hAnsi="Cambria Math"/>
                </w:rPr>
                <m:t>emissions intensity</m:t>
              </m:r>
            </m:e>
          </m:d>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Emissions</m:t>
                  </m:r>
                </m:e>
                <m:sub>
                  <m:r>
                    <w:rPr>
                      <w:rFonts w:ascii="Cambria Math" w:hAnsi="Cambria Math"/>
                    </w:rPr>
                    <m:t>firm,t</m:t>
                  </m:r>
                </m:sub>
              </m:sSub>
            </m:num>
            <m:den>
              <m:sSub>
                <m:sSubPr>
                  <m:ctrlPr>
                    <w:rPr>
                      <w:rFonts w:ascii="Cambria Math" w:hAnsi="Cambria Math"/>
                      <w:i/>
                    </w:rPr>
                  </m:ctrlPr>
                </m:sSubPr>
                <m:e>
                  <m:r>
                    <w:rPr>
                      <w:rFonts w:ascii="Cambria Math" w:hAnsi="Cambria Math"/>
                    </w:rPr>
                    <m:t>Profits</m:t>
                  </m:r>
                </m:e>
                <m:sub>
                  <m:r>
                    <w:rPr>
                      <w:rFonts w:ascii="Cambria Math" w:hAnsi="Cambria Math"/>
                    </w:rPr>
                    <m:t>firm, t</m:t>
                  </m:r>
                </m:sub>
              </m:sSub>
            </m:den>
          </m:f>
          <m:r>
            <w:rPr>
              <w:rFonts w:ascii="Cambria Math" w:hAnsi="Cambria Math"/>
            </w:rPr>
            <m:t xml:space="preserve">  </m:t>
          </m:r>
        </m:oMath>
      </m:oMathPara>
    </w:p>
    <w:p w14:paraId="745C0BAF" w14:textId="49D9280C" w:rsidR="00F754E9" w:rsidRPr="004E70CE" w:rsidRDefault="00430E2A" w:rsidP="00CB1C96">
      <w:pPr>
        <w:pStyle w:val="Heading3"/>
        <w:spacing w:before="200"/>
      </w:pPr>
      <w:bookmarkStart w:id="15" w:name="_Toc173997659"/>
      <w:r w:rsidRPr="004E70CE">
        <w:lastRenderedPageBreak/>
        <w:t xml:space="preserve">Assessing </w:t>
      </w:r>
      <w:r w:rsidR="004A0764" w:rsidRPr="004E70CE">
        <w:t xml:space="preserve">trade </w:t>
      </w:r>
      <w:r w:rsidR="00A30F7E" w:rsidRPr="004E70CE">
        <w:t>leakage</w:t>
      </w:r>
      <w:r w:rsidRPr="004E70CE">
        <w:t xml:space="preserve"> risk</w:t>
      </w:r>
      <w:bookmarkEnd w:id="15"/>
    </w:p>
    <w:p w14:paraId="0A392C7E" w14:textId="77777777" w:rsidR="00F754E9" w:rsidRPr="004E70CE" w:rsidRDefault="048DA5DC" w:rsidP="00CB1C96">
      <w:r w:rsidRPr="004E70CE">
        <w:t xml:space="preserve">Building on the leakage risk </w:t>
      </w:r>
      <w:r w:rsidR="09E7C369" w:rsidRPr="004E70CE">
        <w:t>indicators</w:t>
      </w:r>
      <w:r w:rsidRPr="004E70CE">
        <w:t xml:space="preserve">, </w:t>
      </w:r>
      <w:r w:rsidR="09E7C369" w:rsidRPr="004E70CE">
        <w:t>the Review</w:t>
      </w:r>
      <w:r w:rsidRPr="004E70CE">
        <w:t xml:space="preserve"> illustratively estimate</w:t>
      </w:r>
      <w:r w:rsidR="09E7C369" w:rsidRPr="004E70CE">
        <w:t>s</w:t>
      </w:r>
      <w:r w:rsidRPr="004E70CE">
        <w:t xml:space="preserve"> the potential shifts in </w:t>
      </w:r>
      <w:r w:rsidR="7EF45FCE" w:rsidRPr="004E70CE">
        <w:t xml:space="preserve">Safeguard-covered </w:t>
      </w:r>
      <w:r w:rsidRPr="004E70CE">
        <w:t xml:space="preserve">production due to differences in carbon </w:t>
      </w:r>
      <w:r w:rsidR="3BE13229" w:rsidRPr="004E70CE">
        <w:t xml:space="preserve">costs </w:t>
      </w:r>
      <w:r w:rsidRPr="004E70CE">
        <w:t xml:space="preserve">as they might be observed in 2030 for each </w:t>
      </w:r>
      <w:r w:rsidR="4AC5A0D1" w:rsidRPr="004E70CE">
        <w:t>commodity</w:t>
      </w:r>
      <w:r w:rsidRPr="004E70CE">
        <w:t xml:space="preserve">. </w:t>
      </w:r>
      <w:r w:rsidR="0B683F31" w:rsidRPr="004E70CE">
        <w:t xml:space="preserve">This </w:t>
      </w:r>
      <w:r w:rsidR="2F062479" w:rsidRPr="004E70CE">
        <w:t xml:space="preserve">approach </w:t>
      </w:r>
      <w:r w:rsidR="34D5BBAA" w:rsidRPr="004E70CE">
        <w:t>generate</w:t>
      </w:r>
      <w:r w:rsidR="7A6D23BE" w:rsidRPr="004E70CE">
        <w:t>s</w:t>
      </w:r>
      <w:r w:rsidR="34D5BBAA" w:rsidRPr="004E70CE">
        <w:t xml:space="preserve"> approximate </w:t>
      </w:r>
      <w:r w:rsidR="782A6329" w:rsidRPr="004E70CE">
        <w:t>order of magnitude</w:t>
      </w:r>
      <w:r w:rsidR="34D5BBAA" w:rsidRPr="004E70CE">
        <w:t xml:space="preserve"> </w:t>
      </w:r>
      <w:r w:rsidR="782A6329" w:rsidRPr="004E70CE">
        <w:t xml:space="preserve">estimates of </w:t>
      </w:r>
      <w:r w:rsidR="24B45774" w:rsidRPr="004E70CE">
        <w:t xml:space="preserve">potential </w:t>
      </w:r>
      <w:r w:rsidR="34D5BBAA" w:rsidRPr="004E70CE">
        <w:t>leakage</w:t>
      </w:r>
      <w:r w:rsidR="21F60B03" w:rsidRPr="004E70CE">
        <w:t xml:space="preserve"> in trade</w:t>
      </w:r>
      <w:r w:rsidR="24B45774" w:rsidRPr="004E70CE">
        <w:t xml:space="preserve">. </w:t>
      </w:r>
      <w:r w:rsidR="5B7F1A13" w:rsidRPr="004E70CE">
        <w:t>They</w:t>
      </w:r>
      <w:r w:rsidR="2DC182F8" w:rsidRPr="004E70CE">
        <w:t xml:space="preserve"> </w:t>
      </w:r>
      <w:r w:rsidR="21F60B03" w:rsidRPr="004E70CE">
        <w:t>are no</w:t>
      </w:r>
      <w:r w:rsidR="2DC182F8" w:rsidRPr="004E70CE">
        <w:t>t</w:t>
      </w:r>
      <w:r w:rsidR="21F60B03" w:rsidRPr="004E70CE">
        <w:t xml:space="preserve"> </w:t>
      </w:r>
      <w:r w:rsidR="09E7C369" w:rsidRPr="004E70CE">
        <w:t xml:space="preserve">intended to be </w:t>
      </w:r>
      <w:r w:rsidR="21F60B03" w:rsidRPr="004E70CE">
        <w:t>forecasts or projections</w:t>
      </w:r>
      <w:r w:rsidR="6ACDE841" w:rsidRPr="004E70CE">
        <w:t xml:space="preserve"> of </w:t>
      </w:r>
      <w:r w:rsidR="09E7C369" w:rsidRPr="004E70CE">
        <w:t>leakage</w:t>
      </w:r>
      <w:r w:rsidR="6ACDE841" w:rsidRPr="004E70CE">
        <w:t>.</w:t>
      </w:r>
    </w:p>
    <w:p w14:paraId="4E6C9140" w14:textId="6BC12A42" w:rsidR="00F754E9" w:rsidRPr="004E70CE" w:rsidRDefault="048DA5DC" w:rsidP="00CB1C96">
      <w:r w:rsidRPr="004E70CE">
        <w:t>The</w:t>
      </w:r>
      <w:r w:rsidR="6ACDE841" w:rsidRPr="004E70CE">
        <w:t xml:space="preserve"> </w:t>
      </w:r>
      <w:r w:rsidR="39EEEE90" w:rsidRPr="004E70CE">
        <w:t>approach</w:t>
      </w:r>
      <w:r w:rsidRPr="004E70CE">
        <w:t xml:space="preserve"> consider</w:t>
      </w:r>
      <w:r w:rsidR="3C3C665E" w:rsidRPr="004E70CE">
        <w:t>s</w:t>
      </w:r>
      <w:r w:rsidRPr="004E70CE">
        <w:t xml:space="preserve"> two production entities </w:t>
      </w:r>
      <w:r w:rsidR="008325A7" w:rsidRPr="004E70CE">
        <w:t xml:space="preserve">- </w:t>
      </w:r>
      <w:r w:rsidR="78236127" w:rsidRPr="004E70CE">
        <w:t xml:space="preserve">a representative </w:t>
      </w:r>
      <w:r w:rsidRPr="004E70CE">
        <w:t>Australia</w:t>
      </w:r>
      <w:r w:rsidR="78236127" w:rsidRPr="004E70CE">
        <w:t>n</w:t>
      </w:r>
      <w:r w:rsidRPr="004E70CE">
        <w:t xml:space="preserve"> </w:t>
      </w:r>
      <w:r w:rsidR="78236127" w:rsidRPr="004E70CE">
        <w:t xml:space="preserve">producer </w:t>
      </w:r>
      <w:r w:rsidRPr="004E70CE">
        <w:t xml:space="preserve">and </w:t>
      </w:r>
      <w:r w:rsidR="78236127" w:rsidRPr="004E70CE">
        <w:t>a</w:t>
      </w:r>
      <w:r w:rsidR="7DD8DE8A" w:rsidRPr="004E70CE">
        <w:t xml:space="preserve"> </w:t>
      </w:r>
      <w:r w:rsidRPr="004E70CE">
        <w:t xml:space="preserve">representative foreign producer </w:t>
      </w:r>
      <w:r w:rsidR="008325A7" w:rsidRPr="004E70CE">
        <w:t xml:space="preserve">- </w:t>
      </w:r>
      <w:r w:rsidR="7DD8DE8A" w:rsidRPr="004E70CE">
        <w:t>as proxies for</w:t>
      </w:r>
      <w:r w:rsidR="5F0F3075" w:rsidRPr="004E70CE">
        <w:t xml:space="preserve"> domestic and</w:t>
      </w:r>
      <w:r w:rsidRPr="004E70CE">
        <w:t xml:space="preserve"> overseas produc</w:t>
      </w:r>
      <w:r w:rsidR="5F0F3075" w:rsidRPr="004E70CE">
        <w:t>ers</w:t>
      </w:r>
      <w:r w:rsidRPr="004E70CE">
        <w:t xml:space="preserve"> in the aggregate.</w:t>
      </w:r>
      <w:r w:rsidR="0003287B" w:rsidRPr="004E70CE">
        <w:t xml:space="preserve"> </w:t>
      </w:r>
      <w:r w:rsidR="0003287B" w:rsidRPr="004E70CE">
        <w:rPr>
          <w:szCs w:val="18"/>
        </w:rPr>
        <w:t xml:space="preserve">It is recognised that this approach may under or overestimate </w:t>
      </w:r>
      <w:r w:rsidR="009A366F" w:rsidRPr="004E70CE">
        <w:rPr>
          <w:szCs w:val="18"/>
        </w:rPr>
        <w:t xml:space="preserve">trade </w:t>
      </w:r>
      <w:r w:rsidR="0003287B" w:rsidRPr="004E70CE">
        <w:rPr>
          <w:szCs w:val="18"/>
        </w:rPr>
        <w:t>leakage, compared to a fuller approach that captures multiple domestic and foreign producers with a broad range of emissions intensities and cost profiles.</w:t>
      </w:r>
      <w:r w:rsidR="00A53903" w:rsidRPr="004E70CE" w:rsidDel="00A53903">
        <w:rPr>
          <w:rStyle w:val="FootnoteReference"/>
        </w:rPr>
        <w:t xml:space="preserve"> </w:t>
      </w:r>
      <w:r w:rsidRPr="004E70CE">
        <w:t xml:space="preserve">  </w:t>
      </w:r>
    </w:p>
    <w:p w14:paraId="360D15EC" w14:textId="77777777" w:rsidR="00A801D4" w:rsidRPr="004E70CE" w:rsidRDefault="00340AEA" w:rsidP="00CB1C96">
      <w:r w:rsidRPr="004E70CE">
        <w:t>T</w:t>
      </w:r>
      <w:r w:rsidR="00E14789" w:rsidRPr="004E70CE">
        <w:t xml:space="preserve">rade </w:t>
      </w:r>
      <w:r w:rsidR="00F754E9" w:rsidRPr="004E70CE">
        <w:t xml:space="preserve">leakage </w:t>
      </w:r>
      <w:r w:rsidR="003D6764" w:rsidRPr="004E70CE">
        <w:t>is</w:t>
      </w:r>
      <w:r w:rsidR="00F754E9" w:rsidRPr="004E70CE">
        <w:t xml:space="preserve"> estimated for each </w:t>
      </w:r>
      <w:r w:rsidR="00F3595A" w:rsidRPr="004E70CE">
        <w:t>commodity</w:t>
      </w:r>
      <w:r w:rsidR="00F754E9" w:rsidRPr="004E70CE">
        <w:t xml:space="preserve">, </w:t>
      </w:r>
      <w:r w:rsidR="00113DFD" w:rsidRPr="004E70CE">
        <w:t xml:space="preserve">based on a </w:t>
      </w:r>
      <w:r w:rsidR="00C52801" w:rsidRPr="004E70CE">
        <w:t xml:space="preserve">scenario of maximum </w:t>
      </w:r>
      <w:r w:rsidR="00475480" w:rsidRPr="004E70CE">
        <w:t xml:space="preserve">carbon </w:t>
      </w:r>
      <w:r w:rsidR="00C52801" w:rsidRPr="004E70CE">
        <w:t xml:space="preserve">cost differences </w:t>
      </w:r>
      <w:r w:rsidR="00063DAC" w:rsidRPr="004E70CE">
        <w:t>between Australian and foreign producer</w:t>
      </w:r>
      <w:r w:rsidR="00D04240" w:rsidRPr="004E70CE">
        <w:t>s</w:t>
      </w:r>
      <w:r w:rsidR="00063DAC" w:rsidRPr="004E70CE">
        <w:t xml:space="preserve">. </w:t>
      </w:r>
      <w:r w:rsidR="004C411D" w:rsidRPr="004E70CE">
        <w:t>Under this scenario, it</w:t>
      </w:r>
      <w:r w:rsidR="001270E2" w:rsidRPr="004E70CE">
        <w:t xml:space="preserve"> </w:t>
      </w:r>
      <w:r w:rsidR="003F100D" w:rsidRPr="004E70CE">
        <w:t>is assum</w:t>
      </w:r>
      <w:r w:rsidR="004C411D" w:rsidRPr="004E70CE">
        <w:t>ed</w:t>
      </w:r>
      <w:r w:rsidR="003F100D" w:rsidRPr="004E70CE">
        <w:t xml:space="preserve"> </w:t>
      </w:r>
      <w:r w:rsidR="004C411D" w:rsidRPr="004E70CE">
        <w:t>that</w:t>
      </w:r>
      <w:r w:rsidR="003F100D" w:rsidRPr="004E70CE">
        <w:t xml:space="preserve"> </w:t>
      </w:r>
      <w:r w:rsidR="00663433" w:rsidRPr="004E70CE">
        <w:t>foreign producer</w:t>
      </w:r>
      <w:r w:rsidR="00D73E91" w:rsidRPr="004E70CE">
        <w:t>s fac</w:t>
      </w:r>
      <w:r w:rsidR="004C411D" w:rsidRPr="004E70CE">
        <w:t>e no</w:t>
      </w:r>
      <w:r w:rsidR="00D73E91" w:rsidRPr="004E70CE">
        <w:t xml:space="preserve"> carbon price</w:t>
      </w:r>
      <w:r w:rsidR="00A801D4" w:rsidRPr="004E70CE">
        <w:t>, and therefore no carbon costs,</w:t>
      </w:r>
      <w:r w:rsidR="00663433" w:rsidRPr="004E70CE">
        <w:t xml:space="preserve"> in 2030</w:t>
      </w:r>
      <w:r w:rsidR="00A801D4" w:rsidRPr="004E70CE">
        <w:t xml:space="preserve">. </w:t>
      </w:r>
    </w:p>
    <w:p w14:paraId="2F0ED820" w14:textId="77777777" w:rsidR="00B83982" w:rsidRPr="004E70CE" w:rsidRDefault="00A801D4" w:rsidP="00CB1C96">
      <w:r w:rsidRPr="004E70CE">
        <w:t>Carbon costs for</w:t>
      </w:r>
      <w:r w:rsidR="004C411D" w:rsidRPr="004E70CE">
        <w:t xml:space="preserve"> Australian producers </w:t>
      </w:r>
      <w:r w:rsidR="00B83982" w:rsidRPr="004E70CE">
        <w:t xml:space="preserve">are </w:t>
      </w:r>
      <w:r w:rsidRPr="004E70CE">
        <w:t>based on</w:t>
      </w:r>
      <w:r w:rsidR="00995E9D" w:rsidRPr="004E70CE">
        <w:t xml:space="preserve"> emission reduction </w:t>
      </w:r>
      <w:r w:rsidR="00B83982" w:rsidRPr="004E70CE">
        <w:t>obligations under the</w:t>
      </w:r>
      <w:r w:rsidR="00995E9D" w:rsidRPr="004E70CE">
        <w:t xml:space="preserve"> Safeguard Mechanism</w:t>
      </w:r>
      <w:r w:rsidRPr="004E70CE">
        <w:t xml:space="preserve">. </w:t>
      </w:r>
      <w:r w:rsidR="00B83982" w:rsidRPr="004E70CE">
        <w:t xml:space="preserve">This obligation </w:t>
      </w:r>
      <w:r w:rsidRPr="004E70CE">
        <w:t xml:space="preserve">is </w:t>
      </w:r>
      <w:r w:rsidR="00B83982" w:rsidRPr="004E70CE">
        <w:t xml:space="preserve">calculated </w:t>
      </w:r>
      <w:r w:rsidRPr="004E70CE">
        <w:t>based</w:t>
      </w:r>
      <w:r w:rsidR="00663433" w:rsidRPr="004E70CE">
        <w:t xml:space="preserve"> </w:t>
      </w:r>
      <w:r w:rsidR="1F173426" w:rsidRPr="004E70CE">
        <w:t xml:space="preserve">on </w:t>
      </w:r>
      <w:r w:rsidR="08479CD9" w:rsidRPr="004E70CE">
        <w:t xml:space="preserve">the </w:t>
      </w:r>
      <w:r w:rsidR="32B21587" w:rsidRPr="004E70CE">
        <w:t xml:space="preserve">difference between </w:t>
      </w:r>
      <w:r w:rsidR="62317026" w:rsidRPr="004E70CE">
        <w:t xml:space="preserve">emissions intensity levels </w:t>
      </w:r>
      <w:r w:rsidR="32B21587" w:rsidRPr="004E70CE">
        <w:t xml:space="preserve">in 2022 and estimated </w:t>
      </w:r>
      <w:r w:rsidR="1F173426" w:rsidRPr="004E70CE">
        <w:t>baselines in 2030</w:t>
      </w:r>
      <w:r w:rsidR="00FD33DF" w:rsidRPr="004E70CE">
        <w:t xml:space="preserve"> (with estimated </w:t>
      </w:r>
      <w:r w:rsidRPr="004E70CE">
        <w:t xml:space="preserve">TEBA </w:t>
      </w:r>
      <w:r w:rsidR="00FD33DF" w:rsidRPr="004E70CE">
        <w:t>effects factored in)</w:t>
      </w:r>
      <w:r w:rsidR="008A7348" w:rsidRPr="004E70CE">
        <w:t>. This is then</w:t>
      </w:r>
      <w:r w:rsidR="00B83982" w:rsidRPr="004E70CE">
        <w:t xml:space="preserve"> </w:t>
      </w:r>
      <w:r w:rsidR="00B16892" w:rsidRPr="004E70CE">
        <w:t>multiplied by the projected ACCU price in 2030 (consistent with Australia’s emissions projections)</w:t>
      </w:r>
      <w:r w:rsidR="00F77B1D" w:rsidRPr="004E70CE">
        <w:t xml:space="preserve"> to estimate </w:t>
      </w:r>
      <w:r w:rsidR="00B83982" w:rsidRPr="004E70CE">
        <w:t xml:space="preserve">a </w:t>
      </w:r>
      <w:r w:rsidR="00F77B1D" w:rsidRPr="004E70CE">
        <w:t>carbon cost</w:t>
      </w:r>
      <w:r w:rsidR="00EF0B13" w:rsidRPr="004E70CE">
        <w:t>.</w:t>
      </w:r>
      <w:r w:rsidR="00DD5555" w:rsidRPr="004E70CE">
        <w:rPr>
          <w:rStyle w:val="FootnoteReference"/>
        </w:rPr>
        <w:footnoteReference w:id="20"/>
      </w:r>
      <w:r w:rsidR="00F77B1D" w:rsidRPr="004E70CE">
        <w:t xml:space="preserve"> </w:t>
      </w:r>
    </w:p>
    <w:p w14:paraId="678611D9" w14:textId="77777777" w:rsidR="00F754E9" w:rsidRPr="004E70CE" w:rsidRDefault="00237986" w:rsidP="00CB1C96">
      <w:r w:rsidRPr="004E70CE">
        <w:t>E</w:t>
      </w:r>
      <w:r w:rsidR="689C83E2" w:rsidRPr="004E70CE">
        <w:t>missions intensities of Australian and foreign commodities are assumed to be equal</w:t>
      </w:r>
      <w:r w:rsidR="00DC36AB" w:rsidRPr="004E70CE">
        <w:t>, and</w:t>
      </w:r>
      <w:r w:rsidR="0BE7DF3B" w:rsidRPr="004E70CE">
        <w:t xml:space="preserve"> n</w:t>
      </w:r>
      <w:r w:rsidR="689C83E2" w:rsidRPr="004E70CE">
        <w:t>o declines in emissions intensity are assumed between 2022 and 2030.</w:t>
      </w:r>
      <w:r w:rsidR="00C16A85" w:rsidRPr="004E70CE">
        <w:rPr>
          <w:rStyle w:val="FootnoteReference"/>
        </w:rPr>
        <w:footnoteReference w:id="21"/>
      </w:r>
      <w:r w:rsidR="008B4E96" w:rsidRPr="004E70CE">
        <w:t xml:space="preserve"> </w:t>
      </w:r>
    </w:p>
    <w:p w14:paraId="1D67A3F3" w14:textId="77777777" w:rsidR="006C38AC" w:rsidRPr="004E70CE" w:rsidRDefault="00C23A8B" w:rsidP="00CB1C96">
      <w:r w:rsidRPr="004E70CE">
        <w:t xml:space="preserve">Where the </w:t>
      </w:r>
      <w:r w:rsidR="00B87EFD" w:rsidRPr="004E70CE">
        <w:t>Safeguard</w:t>
      </w:r>
      <w:r w:rsidRPr="004E70CE">
        <w:t xml:space="preserve"> Mechanism </w:t>
      </w:r>
      <w:r w:rsidR="00B87EFD" w:rsidRPr="004E70CE">
        <w:t>cover</w:t>
      </w:r>
      <w:r w:rsidR="0007196F" w:rsidRPr="004E70CE">
        <w:t>s</w:t>
      </w:r>
      <w:r w:rsidR="00B87EFD" w:rsidRPr="004E70CE">
        <w:t xml:space="preserve"> </w:t>
      </w:r>
      <w:r w:rsidRPr="004E70CE">
        <w:t xml:space="preserve">more than one </w:t>
      </w:r>
      <w:r w:rsidR="00021B12" w:rsidRPr="004E70CE">
        <w:t>commodit</w:t>
      </w:r>
      <w:r w:rsidR="002E7462" w:rsidRPr="004E70CE">
        <w:t>y</w:t>
      </w:r>
      <w:r w:rsidRPr="004E70CE">
        <w:t xml:space="preserve"> along a supply chain</w:t>
      </w:r>
      <w:r w:rsidR="00B87EFD" w:rsidRPr="004E70CE">
        <w:t xml:space="preserve">, </w:t>
      </w:r>
      <w:r w:rsidR="00DB0BCA" w:rsidRPr="004E70CE">
        <w:t xml:space="preserve">there is potential for </w:t>
      </w:r>
      <w:r w:rsidR="00B87EFD" w:rsidRPr="004E70CE">
        <w:t xml:space="preserve">carbon costs </w:t>
      </w:r>
      <w:r w:rsidR="00205549" w:rsidRPr="004E70CE">
        <w:t xml:space="preserve">for </w:t>
      </w:r>
      <w:r w:rsidRPr="004E70CE">
        <w:t xml:space="preserve">input </w:t>
      </w:r>
      <w:r w:rsidR="00F3595A" w:rsidRPr="004E70CE">
        <w:t xml:space="preserve">commodities </w:t>
      </w:r>
      <w:r w:rsidRPr="004E70CE">
        <w:t>to</w:t>
      </w:r>
      <w:r w:rsidR="00205549" w:rsidRPr="004E70CE">
        <w:t xml:space="preserve"> affect carbon costs for</w:t>
      </w:r>
      <w:r w:rsidRPr="004E70CE">
        <w:t xml:space="preserve"> </w:t>
      </w:r>
      <w:r w:rsidR="00DB0BCA" w:rsidRPr="004E70CE">
        <w:t>intermediate or</w:t>
      </w:r>
      <w:r w:rsidRPr="004E70CE">
        <w:t xml:space="preserve"> final </w:t>
      </w:r>
      <w:r w:rsidR="00F3595A" w:rsidRPr="004E70CE">
        <w:t>commodities</w:t>
      </w:r>
      <w:r w:rsidR="00B87EFD" w:rsidRPr="004E70CE">
        <w:t xml:space="preserve">. </w:t>
      </w:r>
      <w:r w:rsidR="0007196F" w:rsidRPr="004E70CE">
        <w:t>Carbon costs of input commodities (</w:t>
      </w:r>
      <w:r w:rsidR="00CB2E76" w:rsidRPr="004E70CE">
        <w:t>e.g.</w:t>
      </w:r>
      <w:r w:rsidR="0007196F" w:rsidRPr="004E70CE">
        <w:t xml:space="preserve"> ammonia, </w:t>
      </w:r>
      <w:r w:rsidR="005006F3" w:rsidRPr="004E70CE">
        <w:t>crude</w:t>
      </w:r>
      <w:r w:rsidR="0007196F" w:rsidRPr="004E70CE">
        <w:t xml:space="preserve"> steel, bauxite) </w:t>
      </w:r>
      <w:r w:rsidR="00D97D31" w:rsidRPr="004E70CE">
        <w:t xml:space="preserve">are </w:t>
      </w:r>
      <w:r w:rsidR="0007196F" w:rsidRPr="004E70CE">
        <w:t>taken into account in</w:t>
      </w:r>
      <w:r w:rsidR="009E0677" w:rsidRPr="004E70CE">
        <w:t xml:space="preserve"> estimating carbon costs for</w:t>
      </w:r>
      <w:r w:rsidR="00B87EFD" w:rsidRPr="004E70CE">
        <w:t xml:space="preserve"> </w:t>
      </w:r>
      <w:r w:rsidR="0007196F" w:rsidRPr="004E70CE">
        <w:t>ammonia derivatives, long and flat steel, and alumina and aluminium</w:t>
      </w:r>
      <w:r w:rsidR="006C38AC" w:rsidRPr="004E70CE">
        <w:t>.</w:t>
      </w:r>
    </w:p>
    <w:p w14:paraId="2C096D42" w14:textId="77777777" w:rsidR="00085821" w:rsidRPr="004E70CE" w:rsidRDefault="00B83982" w:rsidP="00CB1C96">
      <w:r w:rsidRPr="004E70CE">
        <w:t xml:space="preserve">As </w:t>
      </w:r>
      <w:r w:rsidR="00085821" w:rsidRPr="004E70CE">
        <w:t xml:space="preserve">shown in the </w:t>
      </w:r>
      <w:r w:rsidRPr="004E70CE">
        <w:t xml:space="preserve">relevant equation in </w:t>
      </w:r>
      <w:r w:rsidR="00B5715D" w:rsidRPr="004E70CE">
        <w:rPr>
          <w:b/>
          <w:bCs/>
        </w:rPr>
        <w:t>S</w:t>
      </w:r>
      <w:r w:rsidRPr="004E70CE">
        <w:rPr>
          <w:b/>
          <w:bCs/>
        </w:rPr>
        <w:t>ection</w:t>
      </w:r>
      <w:r w:rsidRPr="004E70CE">
        <w:rPr>
          <w:b/>
        </w:rPr>
        <w:t xml:space="preserve"> 2.3</w:t>
      </w:r>
      <w:r w:rsidRPr="004E70CE">
        <w:t>, e</w:t>
      </w:r>
      <w:r w:rsidR="4FDDC358" w:rsidRPr="004E70CE">
        <w:t xml:space="preserve">stimates of </w:t>
      </w:r>
      <w:r w:rsidR="321199B4" w:rsidRPr="004E70CE">
        <w:t>trade</w:t>
      </w:r>
      <w:r w:rsidR="4FDDC358" w:rsidRPr="004E70CE">
        <w:t xml:space="preserve"> leakage </w:t>
      </w:r>
      <w:r w:rsidR="5E211AFF" w:rsidRPr="004E70CE">
        <w:t xml:space="preserve">are </w:t>
      </w:r>
      <w:r w:rsidRPr="004E70CE">
        <w:t xml:space="preserve">then </w:t>
      </w:r>
      <w:r w:rsidR="4FDDC358" w:rsidRPr="004E70CE">
        <w:t xml:space="preserve">calculated </w:t>
      </w:r>
      <w:r w:rsidR="0018734F" w:rsidRPr="004E70CE">
        <w:t xml:space="preserve">by linking </w:t>
      </w:r>
      <w:r w:rsidR="4FDDC358" w:rsidRPr="004E70CE">
        <w:t xml:space="preserve">changes in </w:t>
      </w:r>
      <w:r w:rsidR="0018734F" w:rsidRPr="004E70CE">
        <w:t xml:space="preserve">relative </w:t>
      </w:r>
      <w:r w:rsidR="4FDDC358" w:rsidRPr="004E70CE">
        <w:t xml:space="preserve">prices of Australian and foreign </w:t>
      </w:r>
      <w:r w:rsidR="2A69888C" w:rsidRPr="004E70CE">
        <w:t>commodities</w:t>
      </w:r>
      <w:r w:rsidR="4FDDC358" w:rsidRPr="004E70CE">
        <w:t xml:space="preserve"> </w:t>
      </w:r>
      <w:r w:rsidR="0018734F" w:rsidRPr="004E70CE">
        <w:t>to changes in volumes of imports or exports (and thus production</w:t>
      </w:r>
      <w:r w:rsidR="00085821" w:rsidRPr="004E70CE">
        <w:t>)</w:t>
      </w:r>
      <w:r w:rsidR="0018734F" w:rsidRPr="004E70CE">
        <w:t xml:space="preserve"> using</w:t>
      </w:r>
      <w:r w:rsidR="1C9DD017" w:rsidRPr="004E70CE">
        <w:t xml:space="preserve"> </w:t>
      </w:r>
      <w:r w:rsidR="0018734F" w:rsidRPr="004E70CE">
        <w:t>econometrically</w:t>
      </w:r>
      <w:r w:rsidR="1C9DD017" w:rsidRPr="004E70CE">
        <w:t xml:space="preserve"> estimated</w:t>
      </w:r>
      <w:r w:rsidR="4FDDC358" w:rsidRPr="004E70CE">
        <w:t xml:space="preserve"> </w:t>
      </w:r>
      <w:r w:rsidR="07C6FB05" w:rsidRPr="004E70CE">
        <w:t>trade-</w:t>
      </w:r>
      <w:r w:rsidR="4FDDC358" w:rsidRPr="004E70CE">
        <w:t>price elasticities</w:t>
      </w:r>
      <w:r w:rsidR="23BA0270" w:rsidRPr="004E70CE">
        <w:t xml:space="preserve">. </w:t>
      </w:r>
      <w:r w:rsidR="56A16ED4" w:rsidRPr="004E70CE">
        <w:t xml:space="preserve"> </w:t>
      </w:r>
    </w:p>
    <w:p w14:paraId="00B13780" w14:textId="6CC8BE1D" w:rsidR="008C7EE6" w:rsidRPr="004E70CE" w:rsidRDefault="598B36DE" w:rsidP="00CB1C96">
      <w:r w:rsidRPr="004E70CE">
        <w:t>The volume of emissions that</w:t>
      </w:r>
      <w:r w:rsidR="0462D2E5" w:rsidRPr="004E70CE">
        <w:t xml:space="preserve"> would</w:t>
      </w:r>
      <w:r w:rsidRPr="004E70CE">
        <w:t xml:space="preserve"> relocate from Australia to overseas due to </w:t>
      </w:r>
      <w:r w:rsidR="00E90219" w:rsidRPr="004E70CE">
        <w:t>trade</w:t>
      </w:r>
      <w:r w:rsidRPr="004E70CE">
        <w:t xml:space="preserve"> leakage</w:t>
      </w:r>
      <w:r w:rsidR="536720FA" w:rsidRPr="004E70CE">
        <w:t xml:space="preserve"> </w:t>
      </w:r>
      <w:r w:rsidR="5E211AFF" w:rsidRPr="004E70CE">
        <w:t xml:space="preserve">has </w:t>
      </w:r>
      <w:r w:rsidRPr="004E70CE">
        <w:t xml:space="preserve">also </w:t>
      </w:r>
      <w:r w:rsidR="5E211AFF" w:rsidRPr="004E70CE">
        <w:t>been</w:t>
      </w:r>
      <w:r w:rsidR="144AD057" w:rsidRPr="004E70CE">
        <w:t xml:space="preserve"> illustratively</w:t>
      </w:r>
      <w:r w:rsidR="5E211AFF" w:rsidRPr="004E70CE">
        <w:t xml:space="preserve"> </w:t>
      </w:r>
      <w:r w:rsidRPr="004E70CE">
        <w:t xml:space="preserve">estimated. </w:t>
      </w:r>
      <w:r w:rsidR="4FDDC358" w:rsidRPr="004E70CE">
        <w:t xml:space="preserve"> </w:t>
      </w:r>
    </w:p>
    <w:p w14:paraId="29AAD7A8" w14:textId="5B2A8EDB" w:rsidR="00414B01" w:rsidRPr="004E70CE" w:rsidRDefault="51E521BA" w:rsidP="00CB1C96">
      <w:r w:rsidRPr="004E70CE">
        <w:lastRenderedPageBreak/>
        <w:t>L</w:t>
      </w:r>
      <w:r w:rsidR="12ACB1A6" w:rsidRPr="004E70CE">
        <w:t xml:space="preserve">eakage through </w:t>
      </w:r>
      <w:r w:rsidR="2A69888C" w:rsidRPr="004E70CE">
        <w:t>commodities</w:t>
      </w:r>
      <w:r w:rsidR="12ACB1A6" w:rsidRPr="004E70CE">
        <w:t xml:space="preserve"> that are downstream of Safeguard boundaries</w:t>
      </w:r>
      <w:r w:rsidRPr="004E70CE">
        <w:t xml:space="preserve"> (</w:t>
      </w:r>
      <w:r w:rsidR="0DFE3E97" w:rsidRPr="004E70CE">
        <w:t>downstream</w:t>
      </w:r>
      <w:r w:rsidRPr="004E70CE">
        <w:t xml:space="preserve"> leakage)</w:t>
      </w:r>
      <w:r w:rsidR="12ACB1A6" w:rsidRPr="004E70CE">
        <w:t xml:space="preserve"> </w:t>
      </w:r>
      <w:r w:rsidRPr="004E70CE">
        <w:t>has been raised as a potential</w:t>
      </w:r>
      <w:r w:rsidR="12ACB1A6" w:rsidRPr="004E70CE">
        <w:t xml:space="preserve"> issue for some sectors. </w:t>
      </w:r>
      <w:r w:rsidR="4A908DD0" w:rsidRPr="004E70CE">
        <w:t>Some i</w:t>
      </w:r>
      <w:r w:rsidR="12ACB1A6" w:rsidRPr="004E70CE">
        <w:t xml:space="preserve">ndustry </w:t>
      </w:r>
      <w:r w:rsidR="4A908DD0" w:rsidRPr="004E70CE">
        <w:t>stakeholders</w:t>
      </w:r>
      <w:r w:rsidR="12ACB1A6" w:rsidRPr="004E70CE">
        <w:t xml:space="preserve"> noted that data collection was </w:t>
      </w:r>
      <w:r w:rsidR="7EF45FCE" w:rsidRPr="004E70CE">
        <w:t>underway</w:t>
      </w:r>
      <w:r w:rsidR="12ACB1A6" w:rsidRPr="004E70CE">
        <w:t xml:space="preserve"> </w:t>
      </w:r>
      <w:r w:rsidR="522C4D59" w:rsidRPr="004E70CE">
        <w:t xml:space="preserve">to </w:t>
      </w:r>
      <w:r w:rsidR="12ACB1A6" w:rsidRPr="004E70CE">
        <w:t xml:space="preserve">understand the full range of downstream </w:t>
      </w:r>
      <w:r w:rsidR="2A69888C" w:rsidRPr="004E70CE">
        <w:t>commodities</w:t>
      </w:r>
      <w:r w:rsidR="12ACB1A6" w:rsidRPr="004E70CE">
        <w:t xml:space="preserve"> produced from Safeguard </w:t>
      </w:r>
      <w:r w:rsidR="2A69888C" w:rsidRPr="004E70CE">
        <w:t>commodities</w:t>
      </w:r>
      <w:r w:rsidR="12ACB1A6" w:rsidRPr="004E70CE">
        <w:t xml:space="preserve">, </w:t>
      </w:r>
      <w:r w:rsidR="7C9D9C9F" w:rsidRPr="004E70CE">
        <w:t xml:space="preserve">for example </w:t>
      </w:r>
      <w:r w:rsidR="4A908DD0" w:rsidRPr="004E70CE">
        <w:t xml:space="preserve">building </w:t>
      </w:r>
      <w:r w:rsidR="30EE6F82" w:rsidRPr="004E70CE">
        <w:t>materials</w:t>
      </w:r>
      <w:r w:rsidR="12ACB1A6" w:rsidRPr="004E70CE">
        <w:t xml:space="preserve"> which </w:t>
      </w:r>
      <w:r w:rsidR="30EE6F82" w:rsidRPr="004E70CE">
        <w:t>are principally made from steel</w:t>
      </w:r>
      <w:r w:rsidR="31CDE89C" w:rsidRPr="004E70CE">
        <w:t>.</w:t>
      </w:r>
      <w:r w:rsidR="12ACB1A6" w:rsidRPr="004E70CE">
        <w:t xml:space="preserve"> </w:t>
      </w:r>
      <w:r w:rsidR="157F166E" w:rsidRPr="004E70CE">
        <w:t xml:space="preserve"> </w:t>
      </w:r>
      <w:r w:rsidR="7029CAB5" w:rsidRPr="004E70CE">
        <w:t>Quantitative analysis focuses</w:t>
      </w:r>
      <w:r w:rsidR="157F166E" w:rsidRPr="004E70CE">
        <w:t xml:space="preserve"> on commodities directly covered by the Safeguard Mechanism</w:t>
      </w:r>
      <w:r w:rsidR="7EF45FCE" w:rsidRPr="004E70CE">
        <w:t xml:space="preserve">, where </w:t>
      </w:r>
      <w:r w:rsidR="00D05F8D" w:rsidRPr="004E70CE">
        <w:t xml:space="preserve">trade </w:t>
      </w:r>
      <w:r w:rsidR="7EF45FCE" w:rsidRPr="004E70CE">
        <w:t>leakage risks</w:t>
      </w:r>
      <w:r w:rsidR="157F166E" w:rsidRPr="004E70CE">
        <w:t xml:space="preserve"> are </w:t>
      </w:r>
      <w:r w:rsidR="7EF45FCE" w:rsidRPr="004E70CE">
        <w:t xml:space="preserve">expected to be </w:t>
      </w:r>
      <w:r w:rsidR="157F166E" w:rsidRPr="004E70CE">
        <w:t xml:space="preserve">more </w:t>
      </w:r>
      <w:r w:rsidR="7EF45FCE" w:rsidRPr="004E70CE">
        <w:t>significant</w:t>
      </w:r>
      <w:r w:rsidR="20B6042C" w:rsidRPr="004E70CE">
        <w:t xml:space="preserve">. </w:t>
      </w:r>
      <w:r w:rsidR="12ACB1A6" w:rsidRPr="004E70CE">
        <w:t xml:space="preserve">The Review has </w:t>
      </w:r>
      <w:r w:rsidR="2BC21E23" w:rsidRPr="004E70CE">
        <w:t>however assessed at a macroeconomic level the downstream impacts from a border carbon adjustment. This suggests that</w:t>
      </w:r>
      <w:r w:rsidR="5EEFA396" w:rsidRPr="004E70CE">
        <w:t xml:space="preserve"> </w:t>
      </w:r>
      <w:r w:rsidR="2BC21E23" w:rsidRPr="004E70CE">
        <w:t xml:space="preserve">downstream </w:t>
      </w:r>
      <w:r w:rsidR="00B84467" w:rsidRPr="004E70CE">
        <w:t>trade</w:t>
      </w:r>
      <w:r w:rsidR="2BC21E23" w:rsidRPr="004E70CE">
        <w:t xml:space="preserve"> leakage </w:t>
      </w:r>
      <w:r w:rsidR="657671B5" w:rsidRPr="004E70CE">
        <w:t>risk</w:t>
      </w:r>
      <w:r w:rsidR="2BC21E23" w:rsidRPr="004E70CE">
        <w:t xml:space="preserve"> is </w:t>
      </w:r>
      <w:r w:rsidR="01A02690" w:rsidRPr="004E70CE">
        <w:t>present</w:t>
      </w:r>
      <w:r w:rsidR="4C424A47" w:rsidRPr="004E70CE">
        <w:t xml:space="preserve"> </w:t>
      </w:r>
      <w:r w:rsidR="59AFC202" w:rsidRPr="004E70CE">
        <w:t xml:space="preserve">in principle </w:t>
      </w:r>
      <w:r w:rsidR="4C424A47" w:rsidRPr="004E70CE">
        <w:t xml:space="preserve">but </w:t>
      </w:r>
      <w:r w:rsidR="62291CEE" w:rsidRPr="004E70CE">
        <w:t xml:space="preserve">very </w:t>
      </w:r>
      <w:r w:rsidR="4C424A47" w:rsidRPr="004E70CE">
        <w:t xml:space="preserve">limited in </w:t>
      </w:r>
      <w:r w:rsidR="7F805FF5" w:rsidRPr="004E70CE">
        <w:t>material</w:t>
      </w:r>
      <w:r w:rsidR="7FCB9DFA" w:rsidRPr="004E70CE">
        <w:t>ity</w:t>
      </w:r>
      <w:r w:rsidR="12ACB1A6" w:rsidRPr="004E70CE">
        <w:t xml:space="preserve">. </w:t>
      </w:r>
      <w:r w:rsidR="7EF45FCE" w:rsidRPr="004E70CE">
        <w:t xml:space="preserve">See </w:t>
      </w:r>
      <w:r w:rsidR="00D9451F" w:rsidRPr="004E70CE">
        <w:rPr>
          <w:b/>
        </w:rPr>
        <w:t>C</w:t>
      </w:r>
      <w:r w:rsidR="7EF45FCE" w:rsidRPr="004E70CE">
        <w:rPr>
          <w:b/>
        </w:rPr>
        <w:t xml:space="preserve">hapter </w:t>
      </w:r>
      <w:r w:rsidR="00B17B75" w:rsidRPr="004E70CE">
        <w:rPr>
          <w:b/>
        </w:rPr>
        <w:t xml:space="preserve">4 </w:t>
      </w:r>
      <w:r w:rsidR="7EF45FCE" w:rsidRPr="004E70CE">
        <w:t>for further details.</w:t>
      </w:r>
    </w:p>
    <w:p w14:paraId="1A201DAE" w14:textId="77777777" w:rsidR="00C9159C" w:rsidRPr="004E70CE" w:rsidRDefault="000F6427" w:rsidP="00CB1C96">
      <w:pPr>
        <w:rPr>
          <w:b/>
        </w:rPr>
      </w:pPr>
      <w:r w:rsidRPr="004E70CE">
        <w:rPr>
          <w:b/>
        </w:rPr>
        <w:t xml:space="preserve">2.4.1 </w:t>
      </w:r>
      <w:r w:rsidR="00C9159C" w:rsidRPr="004E70CE">
        <w:rPr>
          <w:b/>
        </w:rPr>
        <w:t xml:space="preserve">Results </w:t>
      </w:r>
      <w:r w:rsidR="00FE3C9B" w:rsidRPr="004E70CE">
        <w:rPr>
          <w:b/>
        </w:rPr>
        <w:t>of trade leakage risk assessment</w:t>
      </w:r>
    </w:p>
    <w:p w14:paraId="5D1F4C6D" w14:textId="77777777" w:rsidR="00C9159C" w:rsidRPr="004E70CE" w:rsidRDefault="64F7F851" w:rsidP="00CB1C96">
      <w:r w:rsidRPr="004E70CE">
        <w:t xml:space="preserve">Results </w:t>
      </w:r>
      <w:r w:rsidR="006F539D" w:rsidRPr="004E70CE">
        <w:t>for leakage risk indicators and trade leakage estimates</w:t>
      </w:r>
      <w:r w:rsidRPr="004E70CE">
        <w:t xml:space="preserve"> are </w:t>
      </w:r>
      <w:r w:rsidR="2114ED75" w:rsidRPr="004E70CE">
        <w:t xml:space="preserve">presented </w:t>
      </w:r>
      <w:r w:rsidR="00616536" w:rsidRPr="004E70CE">
        <w:t xml:space="preserve">numerically </w:t>
      </w:r>
      <w:r w:rsidR="2114ED75" w:rsidRPr="004E70CE">
        <w:t xml:space="preserve">in Table </w:t>
      </w:r>
      <w:r w:rsidR="00C63C83" w:rsidRPr="004E70CE">
        <w:t xml:space="preserve">2 </w:t>
      </w:r>
      <w:r w:rsidR="2114ED75" w:rsidRPr="004E70CE">
        <w:t xml:space="preserve">for </w:t>
      </w:r>
      <w:r w:rsidR="485B8A0A" w:rsidRPr="004E70CE">
        <w:t xml:space="preserve">import-competing </w:t>
      </w:r>
      <w:r w:rsidR="2A69888C" w:rsidRPr="004E70CE">
        <w:t>commodities</w:t>
      </w:r>
      <w:r w:rsidR="2114ED75" w:rsidRPr="004E70CE">
        <w:t xml:space="preserve"> in domestic market</w:t>
      </w:r>
      <w:r w:rsidR="485B8A0A" w:rsidRPr="004E70CE">
        <w:t>s</w:t>
      </w:r>
      <w:r w:rsidR="2114ED75" w:rsidRPr="004E70CE">
        <w:t xml:space="preserve">, and Table </w:t>
      </w:r>
      <w:r w:rsidR="00C63C83" w:rsidRPr="004E70CE">
        <w:t xml:space="preserve">3 </w:t>
      </w:r>
      <w:r w:rsidR="2114ED75" w:rsidRPr="004E70CE">
        <w:t xml:space="preserve">for </w:t>
      </w:r>
      <w:r w:rsidR="2A69888C" w:rsidRPr="004E70CE">
        <w:t>commodities</w:t>
      </w:r>
      <w:r w:rsidR="2114ED75" w:rsidRPr="004E70CE">
        <w:t xml:space="preserve"> competing in export markets. </w:t>
      </w:r>
      <w:r w:rsidR="0816875D" w:rsidRPr="004E70CE">
        <w:t xml:space="preserve"> </w:t>
      </w:r>
      <w:r w:rsidR="00616536" w:rsidRPr="004E70CE">
        <w:t>To support interpretation, t</w:t>
      </w:r>
      <w:r w:rsidR="006F539D" w:rsidRPr="004E70CE">
        <w:t xml:space="preserve">hey are also </w:t>
      </w:r>
      <w:r w:rsidR="0816875D" w:rsidRPr="004E70CE">
        <w:t>presented graphically in Figure</w:t>
      </w:r>
      <w:r w:rsidR="006F539D" w:rsidRPr="004E70CE">
        <w:t>s</w:t>
      </w:r>
      <w:r w:rsidR="0816875D" w:rsidRPr="004E70CE">
        <w:t xml:space="preserve"> 2</w:t>
      </w:r>
      <w:r w:rsidR="006F539D" w:rsidRPr="004E70CE">
        <w:t>, 3 and 4</w:t>
      </w:r>
      <w:r w:rsidR="0816875D" w:rsidRPr="004E70CE">
        <w:t>.</w:t>
      </w:r>
      <w:r w:rsidR="006F539D" w:rsidRPr="004E70CE">
        <w:t xml:space="preserve">  Results for investment leakage risks based on </w:t>
      </w:r>
      <w:r w:rsidR="001D5AF4" w:rsidRPr="004E70CE">
        <w:t xml:space="preserve">the ratio of emissions to industry </w:t>
      </w:r>
      <w:r w:rsidR="00702083" w:rsidRPr="004E70CE">
        <w:t>group</w:t>
      </w:r>
      <w:r w:rsidR="001D5AF4" w:rsidRPr="004E70CE">
        <w:t xml:space="preserve"> profits</w:t>
      </w:r>
      <w:r w:rsidR="006F539D" w:rsidRPr="004E70CE">
        <w:t xml:space="preserve"> </w:t>
      </w:r>
      <w:r w:rsidR="00616536" w:rsidRPr="004E70CE">
        <w:t>are</w:t>
      </w:r>
      <w:r w:rsidR="006F539D" w:rsidRPr="004E70CE">
        <w:t xml:space="preserve"> presented separately in </w:t>
      </w:r>
      <w:r w:rsidR="00B9330A" w:rsidRPr="004E70CE">
        <w:rPr>
          <w:b/>
          <w:bCs/>
        </w:rPr>
        <w:t>S</w:t>
      </w:r>
      <w:r w:rsidR="006F539D" w:rsidRPr="004E70CE">
        <w:rPr>
          <w:b/>
          <w:bCs/>
        </w:rPr>
        <w:t xml:space="preserve">ection </w:t>
      </w:r>
      <w:r w:rsidR="00413AC1" w:rsidRPr="004E70CE">
        <w:rPr>
          <w:b/>
          <w:bCs/>
        </w:rPr>
        <w:t>2.5</w:t>
      </w:r>
      <w:r w:rsidR="00413AC1" w:rsidRPr="004E70CE">
        <w:t>.</w:t>
      </w:r>
    </w:p>
    <w:p w14:paraId="14C3DA3D" w14:textId="77777777" w:rsidR="00615303" w:rsidRPr="004E70CE" w:rsidRDefault="00616536" w:rsidP="00CB1C96">
      <w:r w:rsidRPr="004E70CE">
        <w:t xml:space="preserve">These results and charts provide </w:t>
      </w:r>
      <w:r w:rsidR="008D55AC" w:rsidRPr="004E70CE">
        <w:t xml:space="preserve">insights into </w:t>
      </w:r>
      <w:r w:rsidR="00516A43" w:rsidRPr="004E70CE">
        <w:t xml:space="preserve">general </w:t>
      </w:r>
      <w:r w:rsidR="00E94DDF" w:rsidRPr="004E70CE">
        <w:t>patterns</w:t>
      </w:r>
      <w:r w:rsidR="008D55AC" w:rsidRPr="004E70CE">
        <w:t xml:space="preserve"> of trade leakage risk</w:t>
      </w:r>
      <w:r w:rsidR="00E54BC9" w:rsidRPr="004E70CE">
        <w:t xml:space="preserve">, as well as </w:t>
      </w:r>
      <w:r w:rsidR="00516A43" w:rsidRPr="004E70CE">
        <w:t xml:space="preserve">specific commodities that are </w:t>
      </w:r>
      <w:r w:rsidR="00015469" w:rsidRPr="004E70CE">
        <w:t xml:space="preserve">potentially more </w:t>
      </w:r>
      <w:r w:rsidR="00516A43" w:rsidRPr="004E70CE">
        <w:t>vulnerable to leakage</w:t>
      </w:r>
      <w:r w:rsidR="003C5409" w:rsidRPr="004E70CE">
        <w:t xml:space="preserve"> based on different indicators</w:t>
      </w:r>
      <w:r w:rsidR="008D55AC" w:rsidRPr="004E70CE">
        <w:t xml:space="preserve">. </w:t>
      </w:r>
    </w:p>
    <w:p w14:paraId="38980FDB" w14:textId="2F88085E" w:rsidR="0041785C" w:rsidRPr="004E70CE" w:rsidRDefault="008D55AC" w:rsidP="00CB1C96">
      <w:r w:rsidRPr="004E70CE">
        <w:t xml:space="preserve">In </w:t>
      </w:r>
      <w:r w:rsidR="00E94DDF" w:rsidRPr="004E70CE">
        <w:t>domestic markets</w:t>
      </w:r>
      <w:r w:rsidRPr="004E70CE">
        <w:t xml:space="preserve">, </w:t>
      </w:r>
      <w:r w:rsidR="00717F94" w:rsidRPr="004E70CE">
        <w:t xml:space="preserve">commodities </w:t>
      </w:r>
      <w:r w:rsidR="007D6651" w:rsidRPr="004E70CE">
        <w:t xml:space="preserve">are </w:t>
      </w:r>
      <w:r w:rsidR="00822E6B" w:rsidRPr="004E70CE">
        <w:t xml:space="preserve">concentrated </w:t>
      </w:r>
      <w:r w:rsidR="00300538" w:rsidRPr="004E70CE">
        <w:t xml:space="preserve">in the ranges of 0-5% </w:t>
      </w:r>
      <w:r w:rsidR="00484B3D" w:rsidRPr="004E70CE">
        <w:t xml:space="preserve">for </w:t>
      </w:r>
      <w:r w:rsidR="00F8429E" w:rsidRPr="004E70CE">
        <w:t xml:space="preserve">estimated </w:t>
      </w:r>
      <w:r w:rsidR="007E4E09" w:rsidRPr="004E70CE">
        <w:t xml:space="preserve">carbon costs </w:t>
      </w:r>
      <w:r w:rsidR="00484B3D" w:rsidRPr="004E70CE">
        <w:t xml:space="preserve">as a share of price, and </w:t>
      </w:r>
      <w:r w:rsidR="008711EF">
        <w:t>0-0.2</w:t>
      </w:r>
      <w:r w:rsidR="00484B3D" w:rsidRPr="004E70CE">
        <w:t xml:space="preserve"> for imports </w:t>
      </w:r>
      <w:r w:rsidR="00F7062E" w:rsidRPr="004E70CE">
        <w:t>relative to</w:t>
      </w:r>
      <w:r w:rsidR="00484B3D" w:rsidRPr="004E70CE">
        <w:t xml:space="preserve"> </w:t>
      </w:r>
      <w:r w:rsidR="00D924A0" w:rsidRPr="004E70CE">
        <w:t xml:space="preserve">Safeguard </w:t>
      </w:r>
      <w:r w:rsidR="00484B3D" w:rsidRPr="004E70CE">
        <w:t>production</w:t>
      </w:r>
      <w:r w:rsidR="00197B5C" w:rsidRPr="004E70CE">
        <w:t xml:space="preserve"> (Figure 2a</w:t>
      </w:r>
      <w:r w:rsidR="000B0445" w:rsidRPr="004E70CE">
        <w:t xml:space="preserve">). </w:t>
      </w:r>
      <w:r w:rsidR="002329E2" w:rsidRPr="004E70CE">
        <w:t xml:space="preserve">Commodities with </w:t>
      </w:r>
      <w:r w:rsidR="00F8429E" w:rsidRPr="004E70CE">
        <w:t xml:space="preserve">estimated </w:t>
      </w:r>
      <w:r w:rsidR="002329E2" w:rsidRPr="004E70CE">
        <w:t xml:space="preserve">risk levels that exceed these ranges include </w:t>
      </w:r>
      <w:r w:rsidR="00BD0004" w:rsidRPr="004E70CE">
        <w:t xml:space="preserve">urea, </w:t>
      </w:r>
      <w:r w:rsidRPr="004E70CE">
        <w:t xml:space="preserve">ammonium phosphate, </w:t>
      </w:r>
      <w:r w:rsidR="000E31A6" w:rsidRPr="004E70CE">
        <w:t>polyethylene</w:t>
      </w:r>
      <w:r w:rsidRPr="004E70CE">
        <w:t xml:space="preserve">, long steel, clinker, </w:t>
      </w:r>
      <w:r w:rsidR="009D032B" w:rsidRPr="004E70CE">
        <w:t>cement, lime</w:t>
      </w:r>
      <w:r w:rsidR="000846CC" w:rsidRPr="004E70CE">
        <w:t xml:space="preserve">, </w:t>
      </w:r>
      <w:r w:rsidR="000D1696" w:rsidRPr="004E70CE">
        <w:t xml:space="preserve">crude steel, </w:t>
      </w:r>
      <w:r w:rsidRPr="004E70CE">
        <w:t xml:space="preserve">treated </w:t>
      </w:r>
      <w:r w:rsidR="00721E3C">
        <w:t xml:space="preserve">flat </w:t>
      </w:r>
      <w:r w:rsidRPr="004E70CE">
        <w:t xml:space="preserve">steel, pulp and paper, </w:t>
      </w:r>
      <w:r w:rsidR="007B2CBE" w:rsidRPr="004E70CE">
        <w:t>glass containers</w:t>
      </w:r>
      <w:r w:rsidR="000D1696" w:rsidRPr="004E70CE">
        <w:t>,</w:t>
      </w:r>
      <w:r w:rsidR="007B2CBE" w:rsidRPr="004E70CE">
        <w:t xml:space="preserve"> </w:t>
      </w:r>
      <w:r w:rsidR="000D1696" w:rsidRPr="004E70CE">
        <w:t>refined petroleum, crude oil</w:t>
      </w:r>
      <w:r w:rsidR="00721E3C">
        <w:t>,</w:t>
      </w:r>
      <w:r w:rsidR="000D1696" w:rsidRPr="004E70CE">
        <w:t xml:space="preserve"> and </w:t>
      </w:r>
      <w:r w:rsidR="00721E3C">
        <w:t>ethane and LPG</w:t>
      </w:r>
      <w:r w:rsidRPr="004E70CE">
        <w:t>.  Among these, clinker</w:t>
      </w:r>
      <w:r w:rsidR="008141E3" w:rsidRPr="004E70CE">
        <w:t xml:space="preserve"> and </w:t>
      </w:r>
      <w:r w:rsidR="00BD0004" w:rsidRPr="004E70CE">
        <w:t>lime</w:t>
      </w:r>
      <w:r w:rsidRPr="004E70CE">
        <w:t xml:space="preserve"> stand out </w:t>
      </w:r>
      <w:r w:rsidR="00C30D35" w:rsidRPr="004E70CE">
        <w:t xml:space="preserve">as </w:t>
      </w:r>
      <w:r w:rsidR="00AA572D" w:rsidRPr="004E70CE">
        <w:t xml:space="preserve">commodities with </w:t>
      </w:r>
      <w:r w:rsidR="00373107" w:rsidRPr="004E70CE">
        <w:t>particular</w:t>
      </w:r>
      <w:r w:rsidR="00B30F06" w:rsidRPr="004E70CE">
        <w:t xml:space="preserve"> </w:t>
      </w:r>
      <w:r w:rsidR="00C30D35" w:rsidRPr="004E70CE">
        <w:t>material</w:t>
      </w:r>
      <w:r w:rsidRPr="004E70CE">
        <w:t xml:space="preserve"> risk levels </w:t>
      </w:r>
      <w:r w:rsidR="00F8429E" w:rsidRPr="004E70CE">
        <w:t xml:space="preserve">on the basis of </w:t>
      </w:r>
      <w:r w:rsidRPr="004E70CE">
        <w:t>both</w:t>
      </w:r>
      <w:r w:rsidR="00AA572D" w:rsidRPr="004E70CE">
        <w:t xml:space="preserve"> indicators</w:t>
      </w:r>
      <w:r w:rsidRPr="004E70CE">
        <w:t xml:space="preserve">. </w:t>
      </w:r>
    </w:p>
    <w:p w14:paraId="3CA51927" w14:textId="092BE390" w:rsidR="00616536" w:rsidRPr="004E70CE" w:rsidRDefault="00502E98" w:rsidP="00CB1C96">
      <w:r w:rsidRPr="004E70CE">
        <w:t>In export markets, r</w:t>
      </w:r>
      <w:r w:rsidR="00E94DDF" w:rsidRPr="004E70CE">
        <w:t xml:space="preserve">isk </w:t>
      </w:r>
      <w:r w:rsidRPr="004E70CE">
        <w:t xml:space="preserve">levels </w:t>
      </w:r>
      <w:r w:rsidR="00615303" w:rsidRPr="004E70CE">
        <w:t xml:space="preserve">are </w:t>
      </w:r>
      <w:r w:rsidR="00586C2D" w:rsidRPr="004E70CE">
        <w:t xml:space="preserve">also </w:t>
      </w:r>
      <w:r w:rsidR="00B37381" w:rsidRPr="004E70CE">
        <w:t xml:space="preserve">concentrated </w:t>
      </w:r>
      <w:r w:rsidR="00607C04" w:rsidRPr="004E70CE">
        <w:t xml:space="preserve">in terms of carbon costs </w:t>
      </w:r>
      <w:r w:rsidR="000A69D2" w:rsidRPr="004E70CE">
        <w:t xml:space="preserve">as a share of price, with </w:t>
      </w:r>
      <w:r w:rsidR="00A12770" w:rsidRPr="004E70CE">
        <w:t xml:space="preserve">most </w:t>
      </w:r>
      <w:r w:rsidR="00B575E7" w:rsidRPr="004E70CE">
        <w:t xml:space="preserve">commodities </w:t>
      </w:r>
      <w:r w:rsidR="009342EC" w:rsidRPr="004E70CE">
        <w:t>between 0-</w:t>
      </w:r>
      <w:r w:rsidR="003E3814" w:rsidRPr="004E70CE">
        <w:t>5</w:t>
      </w:r>
      <w:r w:rsidR="00CD27A8" w:rsidRPr="004E70CE">
        <w:t xml:space="preserve">% </w:t>
      </w:r>
      <w:r w:rsidR="00E94DDF" w:rsidRPr="004E70CE">
        <w:t>(Figure 2</w:t>
      </w:r>
      <w:r w:rsidR="00157ED5" w:rsidRPr="004E70CE">
        <w:t>b</w:t>
      </w:r>
      <w:r w:rsidR="00E94DDF" w:rsidRPr="004E70CE">
        <w:t>)</w:t>
      </w:r>
      <w:r w:rsidRPr="004E70CE">
        <w:t>.</w:t>
      </w:r>
      <w:r w:rsidR="00AF29EE" w:rsidRPr="004E70CE">
        <w:t xml:space="preserve"> However, risk</w:t>
      </w:r>
      <w:r w:rsidR="009342EC" w:rsidRPr="004E70CE">
        <w:t xml:space="preserve"> level</w:t>
      </w:r>
      <w:r w:rsidR="00AF29EE" w:rsidRPr="004E70CE">
        <w:t>s are</w:t>
      </w:r>
      <w:r w:rsidR="00586C2D" w:rsidRPr="004E70CE">
        <w:t xml:space="preserve"> </w:t>
      </w:r>
      <w:r w:rsidRPr="004E70CE">
        <w:t xml:space="preserve">more dispersed </w:t>
      </w:r>
      <w:r w:rsidR="00AF29EE" w:rsidRPr="004E70CE">
        <w:t xml:space="preserve">in </w:t>
      </w:r>
      <w:r w:rsidR="009342EC" w:rsidRPr="004E70CE">
        <w:t xml:space="preserve">relation to </w:t>
      </w:r>
      <w:r w:rsidR="00AF29EE" w:rsidRPr="004E70CE">
        <w:t xml:space="preserve">export </w:t>
      </w:r>
      <w:r w:rsidR="002B036E" w:rsidRPr="004E70CE">
        <w:t xml:space="preserve">trade leakage </w:t>
      </w:r>
      <w:r w:rsidR="00AF29EE" w:rsidRPr="004E70CE">
        <w:t xml:space="preserve">exposure, </w:t>
      </w:r>
      <w:r w:rsidR="00BA6610" w:rsidRPr="004E70CE">
        <w:t xml:space="preserve">including a </w:t>
      </w:r>
      <w:r w:rsidR="006625E8" w:rsidRPr="004E70CE">
        <w:t xml:space="preserve">significant </w:t>
      </w:r>
      <w:r w:rsidR="00BA6610" w:rsidRPr="004E70CE">
        <w:t>group of commodities</w:t>
      </w:r>
      <w:r w:rsidR="006625E8" w:rsidRPr="004E70CE">
        <w:t xml:space="preserve"> </w:t>
      </w:r>
      <w:r w:rsidR="00221D20" w:rsidRPr="004E70CE">
        <w:t xml:space="preserve">where </w:t>
      </w:r>
      <w:r w:rsidR="006625E8" w:rsidRPr="004E70CE">
        <w:t>export</w:t>
      </w:r>
      <w:r w:rsidR="000B04BA" w:rsidRPr="004E70CE">
        <w:t xml:space="preserve">s </w:t>
      </w:r>
      <w:r w:rsidR="00823188">
        <w:t xml:space="preserve">relative to </w:t>
      </w:r>
      <w:r w:rsidR="002B036E" w:rsidRPr="004E70CE">
        <w:t xml:space="preserve">Safeguard </w:t>
      </w:r>
      <w:r w:rsidR="00B11368" w:rsidRPr="004E70CE">
        <w:t>production</w:t>
      </w:r>
      <w:r w:rsidR="00823188">
        <w:t xml:space="preserve"> are over 0.6</w:t>
      </w:r>
      <w:r w:rsidR="00B11368" w:rsidRPr="004E70CE">
        <w:t>.</w:t>
      </w:r>
      <w:r w:rsidR="00BA6610" w:rsidRPr="004E70CE">
        <w:t xml:space="preserve"> </w:t>
      </w:r>
      <w:r w:rsidR="0075510B" w:rsidRPr="004E70CE">
        <w:t xml:space="preserve"> </w:t>
      </w:r>
      <w:r w:rsidR="00615303" w:rsidRPr="004E70CE">
        <w:t xml:space="preserve"> </w:t>
      </w:r>
    </w:p>
    <w:p w14:paraId="24C2C9C8" w14:textId="77777777" w:rsidR="00464856" w:rsidRPr="004E70CE" w:rsidRDefault="0026443E" w:rsidP="00CB1C96">
      <w:r w:rsidRPr="004E70CE">
        <w:t xml:space="preserve">Significant proportions of </w:t>
      </w:r>
      <w:r w:rsidR="007120EA" w:rsidRPr="004E70CE">
        <w:t>imported and exported commodities appear sensitive to price changes</w:t>
      </w:r>
      <w:r w:rsidR="000A33CD" w:rsidRPr="004E70CE">
        <w:t xml:space="preserve"> (Figure 3)</w:t>
      </w:r>
      <w:r w:rsidR="007120EA" w:rsidRPr="004E70CE">
        <w:t xml:space="preserve">. Around </w:t>
      </w:r>
      <w:r w:rsidR="00FE329E" w:rsidRPr="004E70CE">
        <w:t>46%</w:t>
      </w:r>
      <w:r w:rsidR="00464856" w:rsidRPr="004E70CE">
        <w:t xml:space="preserve"> of </w:t>
      </w:r>
      <w:r w:rsidR="009D0B1D" w:rsidRPr="004E70CE">
        <w:t>import</w:t>
      </w:r>
      <w:r w:rsidR="0007608E" w:rsidRPr="004E70CE">
        <w:t xml:space="preserve">ed commodities have </w:t>
      </w:r>
      <w:r w:rsidR="003273D9" w:rsidRPr="004E70CE">
        <w:t>trade-price elasticities with an absolute value greater than 1,</w:t>
      </w:r>
      <w:r w:rsidR="00060CA3" w:rsidRPr="004E70CE">
        <w:t xml:space="preserve"> while in export markets, the proportion is around 35%</w:t>
      </w:r>
      <w:r w:rsidR="000A33CD" w:rsidRPr="004E70CE">
        <w:t xml:space="preserve">. </w:t>
      </w:r>
    </w:p>
    <w:p w14:paraId="5FC3C49D" w14:textId="00AC3551" w:rsidR="009458BE" w:rsidRPr="004E70CE" w:rsidRDefault="009458BE" w:rsidP="00CB1C96">
      <w:r w:rsidRPr="004E70CE">
        <w:t xml:space="preserve">Figure 4 </w:t>
      </w:r>
      <w:r w:rsidR="00806C8F" w:rsidRPr="004E70CE">
        <w:t>summarises</w:t>
      </w:r>
      <w:r w:rsidRPr="004E70CE">
        <w:t xml:space="preserve"> the estimated level of trade leakage </w:t>
      </w:r>
      <w:r w:rsidR="00806C8F" w:rsidRPr="004E70CE">
        <w:t xml:space="preserve">for all commodities in </w:t>
      </w:r>
      <w:r w:rsidRPr="004E70CE">
        <w:t xml:space="preserve">domestic and export markets, which </w:t>
      </w:r>
      <w:r w:rsidR="00CC1A84" w:rsidRPr="004E70CE">
        <w:t>takes into consideration</w:t>
      </w:r>
      <w:r w:rsidR="00447FA5" w:rsidRPr="004E70CE">
        <w:t xml:space="preserve"> risk levels for the indicators in Figures 2 and 3</w:t>
      </w:r>
      <w:r w:rsidRPr="004E70CE">
        <w:t>.</w:t>
      </w:r>
      <w:r w:rsidR="00711A35" w:rsidRPr="004E70CE">
        <w:t xml:space="preserve"> </w:t>
      </w:r>
      <w:r w:rsidR="00E84923" w:rsidRPr="004E70CE">
        <w:t xml:space="preserve">Trade leakage due to imports is highest </w:t>
      </w:r>
      <w:r w:rsidR="00855A3E" w:rsidRPr="004E70CE">
        <w:t xml:space="preserve">for </w:t>
      </w:r>
      <w:r w:rsidR="00E84923" w:rsidRPr="004E70CE">
        <w:t>c</w:t>
      </w:r>
      <w:r w:rsidR="007D3B71" w:rsidRPr="004E70CE">
        <w:t>linker, urea</w:t>
      </w:r>
      <w:r w:rsidR="00791A35" w:rsidRPr="004E70CE">
        <w:t xml:space="preserve"> and</w:t>
      </w:r>
      <w:r w:rsidR="00A95826" w:rsidRPr="004E70CE">
        <w:t xml:space="preserve"> lime</w:t>
      </w:r>
      <w:r w:rsidR="00653115" w:rsidRPr="004E70CE">
        <w:t xml:space="preserve"> with declines in </w:t>
      </w:r>
      <w:r w:rsidR="002B036E" w:rsidRPr="004E70CE">
        <w:t xml:space="preserve">Safeguard </w:t>
      </w:r>
      <w:r w:rsidR="00653115" w:rsidRPr="004E70CE">
        <w:t>production of over 5%</w:t>
      </w:r>
      <w:r w:rsidR="00A95826" w:rsidRPr="004E70CE">
        <w:t xml:space="preserve">. </w:t>
      </w:r>
      <w:r w:rsidR="00F8429E" w:rsidRPr="004E70CE">
        <w:t>Estimated t</w:t>
      </w:r>
      <w:r w:rsidR="00AC1578" w:rsidRPr="004E70CE">
        <w:t xml:space="preserve">rade leakage </w:t>
      </w:r>
      <w:r w:rsidR="00F8429E" w:rsidRPr="004E70CE">
        <w:t xml:space="preserve">risk </w:t>
      </w:r>
      <w:r w:rsidR="002C4855" w:rsidRPr="004E70CE">
        <w:t xml:space="preserve">is less pronounced for commodities in export markets, with only </w:t>
      </w:r>
      <w:r w:rsidR="00653115" w:rsidRPr="004E70CE">
        <w:t xml:space="preserve">crude and </w:t>
      </w:r>
      <w:r w:rsidR="004C1B89" w:rsidRPr="004E70CE">
        <w:t>treated</w:t>
      </w:r>
      <w:r w:rsidR="00653115" w:rsidRPr="004E70CE">
        <w:t xml:space="preserve"> flat steel </w:t>
      </w:r>
      <w:r w:rsidR="004C1B89" w:rsidRPr="004E70CE">
        <w:t>products</w:t>
      </w:r>
      <w:r w:rsidR="00397778" w:rsidRPr="004E70CE">
        <w:t xml:space="preserve"> reaching</w:t>
      </w:r>
      <w:r w:rsidR="00FC6A55" w:rsidRPr="004E70CE">
        <w:t xml:space="preserve"> </w:t>
      </w:r>
      <w:r w:rsidR="00E668ED" w:rsidRPr="004E70CE">
        <w:t>similar</w:t>
      </w:r>
      <w:r w:rsidR="002C4855" w:rsidRPr="004E70CE">
        <w:t xml:space="preserve"> levels</w:t>
      </w:r>
      <w:r w:rsidR="00DF5783" w:rsidRPr="004E70CE">
        <w:t>.</w:t>
      </w:r>
    </w:p>
    <w:p w14:paraId="6EE310B3" w14:textId="77777777" w:rsidR="00FD2EA4" w:rsidRDefault="00FD2EA4">
      <w:pPr>
        <w:spacing w:after="0" w:line="240" w:lineRule="auto"/>
        <w:rPr>
          <w:b/>
        </w:rPr>
      </w:pPr>
      <w:r>
        <w:rPr>
          <w:b/>
        </w:rPr>
        <w:br w:type="page"/>
      </w:r>
    </w:p>
    <w:p w14:paraId="745A9565" w14:textId="0A0EA52B" w:rsidR="00106076" w:rsidRPr="004E70CE" w:rsidRDefault="00941373" w:rsidP="00106076">
      <w:r w:rsidRPr="004E70CE">
        <w:rPr>
          <w:b/>
        </w:rPr>
        <w:lastRenderedPageBreak/>
        <w:t>Section 2.6</w:t>
      </w:r>
      <w:r w:rsidRPr="004E70CE">
        <w:t xml:space="preserve"> brings together the results summarised here, </w:t>
      </w:r>
      <w:r w:rsidR="00732A0A" w:rsidRPr="004E70CE">
        <w:t xml:space="preserve">together with </w:t>
      </w:r>
      <w:r w:rsidR="006E3C43" w:rsidRPr="004E70CE">
        <w:t xml:space="preserve">analysis </w:t>
      </w:r>
      <w:r w:rsidR="008B0B19" w:rsidRPr="004E70CE">
        <w:t xml:space="preserve">of investment leakage and qualitative </w:t>
      </w:r>
      <w:r w:rsidR="006E3C43" w:rsidRPr="004E70CE">
        <w:t xml:space="preserve">considerations </w:t>
      </w:r>
      <w:r w:rsidR="00416DF7" w:rsidRPr="004E70CE">
        <w:t>from stakeholders and other sources</w:t>
      </w:r>
      <w:r w:rsidR="006E3C43" w:rsidRPr="004E70CE">
        <w:t xml:space="preserve">, to </w:t>
      </w:r>
      <w:r w:rsidR="00993F72" w:rsidRPr="004E70CE">
        <w:t>provide findings on the adequacy of existing policies in addressing leakage risks for each commodity.</w:t>
      </w:r>
    </w:p>
    <w:p w14:paraId="07E9B610" w14:textId="77777777" w:rsidR="00106076" w:rsidRPr="004E70CE" w:rsidRDefault="00106076" w:rsidP="00106076">
      <w:pPr>
        <w:contextualSpacing/>
      </w:pPr>
      <w:r w:rsidRPr="004E70CE">
        <w:t>The emissions shift associated with the total shifts in production from Australian to foreign producers under the scenario in Tables 2 and 3 is estimated to be around 1.6 million tonnes CO</w:t>
      </w:r>
      <w:r w:rsidRPr="004E70CE">
        <w:rPr>
          <w:vertAlign w:val="subscript"/>
        </w:rPr>
        <w:t>2</w:t>
      </w:r>
      <w:r w:rsidRPr="004E70CE">
        <w:t>-e per year, equivalent to 0.3% of Australia’s total emissions in 2023.</w:t>
      </w:r>
      <w:r w:rsidRPr="004E70CE">
        <w:rPr>
          <w:vertAlign w:val="superscript"/>
        </w:rPr>
        <w:footnoteReference w:id="22"/>
      </w:r>
      <w:r w:rsidR="00993F72" w:rsidRPr="004E70CE">
        <w:t xml:space="preserve"> </w:t>
      </w:r>
    </w:p>
    <w:p w14:paraId="1488525C" w14:textId="77777777" w:rsidR="00B84467" w:rsidRPr="004E70CE" w:rsidRDefault="00B84467">
      <w:pPr>
        <w:spacing w:after="0" w:line="240" w:lineRule="auto"/>
        <w:rPr>
          <w:b/>
          <w:bCs/>
        </w:rPr>
      </w:pPr>
      <w:r w:rsidRPr="004E70CE">
        <w:rPr>
          <w:b/>
          <w:bCs/>
        </w:rPr>
        <w:br w:type="page"/>
      </w:r>
    </w:p>
    <w:p w14:paraId="2BFA3544" w14:textId="52AB6681" w:rsidR="00141F0F" w:rsidRPr="004E70CE" w:rsidRDefault="2800FF58" w:rsidP="00CB1C96">
      <w:pPr>
        <w:spacing w:after="120" w:line="264" w:lineRule="auto"/>
        <w:rPr>
          <w:b/>
          <w:bCs/>
        </w:rPr>
      </w:pPr>
      <w:r w:rsidRPr="004E70CE">
        <w:rPr>
          <w:b/>
          <w:bCs/>
        </w:rPr>
        <w:lastRenderedPageBreak/>
        <w:t xml:space="preserve">Table </w:t>
      </w:r>
      <w:r w:rsidR="00C63C83" w:rsidRPr="004E70CE">
        <w:rPr>
          <w:b/>
          <w:bCs/>
        </w:rPr>
        <w:t>2</w:t>
      </w:r>
      <w:r w:rsidRPr="004E70CE">
        <w:rPr>
          <w:b/>
          <w:bCs/>
        </w:rPr>
        <w:t>: Carbon leakage risk and estimates (trade leakage) – domestic market</w:t>
      </w:r>
    </w:p>
    <w:tbl>
      <w:tblPr>
        <w:tblStyle w:val="ListTable3-Accent1"/>
        <w:tblW w:w="9209" w:type="dxa"/>
        <w:tblLayout w:type="fixed"/>
        <w:tblLook w:val="04A0" w:firstRow="1" w:lastRow="0" w:firstColumn="1" w:lastColumn="0" w:noHBand="0" w:noVBand="1"/>
      </w:tblPr>
      <w:tblGrid>
        <w:gridCol w:w="3256"/>
        <w:gridCol w:w="1134"/>
        <w:gridCol w:w="1275"/>
        <w:gridCol w:w="1049"/>
        <w:gridCol w:w="1247"/>
        <w:gridCol w:w="1248"/>
      </w:tblGrid>
      <w:tr w:rsidR="000C3396" w:rsidRPr="004E70CE" w14:paraId="40422776" w14:textId="77777777" w:rsidTr="00507820">
        <w:trPr>
          <w:cnfStyle w:val="100000000000" w:firstRow="1" w:lastRow="0" w:firstColumn="0" w:lastColumn="0" w:oddVBand="0" w:evenVBand="0" w:oddHBand="0" w:evenHBand="0" w:firstRowFirstColumn="0" w:firstRowLastColumn="0" w:lastRowFirstColumn="0" w:lastRowLastColumn="0"/>
          <w:trHeight w:val="855"/>
        </w:trPr>
        <w:tc>
          <w:tcPr>
            <w:cnfStyle w:val="001000000100" w:firstRow="0" w:lastRow="0" w:firstColumn="1" w:lastColumn="0" w:oddVBand="0" w:evenVBand="0" w:oddHBand="0" w:evenHBand="0" w:firstRowFirstColumn="1" w:firstRowLastColumn="0" w:lastRowFirstColumn="0" w:lastRowLastColumn="0"/>
            <w:tcW w:w="3256" w:type="dxa"/>
            <w:noWrap/>
            <w:vAlign w:val="center"/>
            <w:hideMark/>
          </w:tcPr>
          <w:p w14:paraId="38DA470C" w14:textId="77777777" w:rsidR="00141F0F" w:rsidRPr="004E70CE" w:rsidRDefault="00141F0F" w:rsidP="00141F0F">
            <w:pPr>
              <w:spacing w:after="0" w:line="240" w:lineRule="auto"/>
              <w:rPr>
                <w:rFonts w:cstheme="minorHAnsi"/>
                <w:sz w:val="18"/>
                <w:szCs w:val="18"/>
              </w:rPr>
            </w:pPr>
            <w:bookmarkStart w:id="16" w:name="_Hlk166851856"/>
            <w:r w:rsidRPr="004E70CE">
              <w:rPr>
                <w:rFonts w:cstheme="minorHAnsi"/>
                <w:sz w:val="18"/>
                <w:szCs w:val="18"/>
              </w:rPr>
              <w:t>Commodities</w:t>
            </w:r>
          </w:p>
          <w:p w14:paraId="28E46CEE" w14:textId="77777777" w:rsidR="00141F0F" w:rsidRPr="004E70CE" w:rsidRDefault="00141F0F" w:rsidP="00141F0F">
            <w:pPr>
              <w:spacing w:after="0" w:line="240" w:lineRule="auto"/>
              <w:rPr>
                <w:rFonts w:cstheme="minorHAnsi"/>
                <w:sz w:val="18"/>
                <w:szCs w:val="18"/>
              </w:rPr>
            </w:pPr>
          </w:p>
        </w:tc>
        <w:tc>
          <w:tcPr>
            <w:tcW w:w="1134" w:type="dxa"/>
            <w:vAlign w:val="center"/>
            <w:hideMark/>
          </w:tcPr>
          <w:p w14:paraId="5E33AA92" w14:textId="77777777" w:rsidR="00141F0F" w:rsidRPr="004E70CE" w:rsidRDefault="00197335" w:rsidP="00141F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4E70CE">
              <w:rPr>
                <w:rFonts w:cstheme="minorHAnsi"/>
                <w:sz w:val="18"/>
                <w:szCs w:val="18"/>
              </w:rPr>
              <w:t xml:space="preserve">Indicative </w:t>
            </w:r>
            <w:r w:rsidR="00141F0F" w:rsidRPr="004E70CE">
              <w:rPr>
                <w:rFonts w:cstheme="minorHAnsi"/>
                <w:sz w:val="18"/>
                <w:szCs w:val="18"/>
              </w:rPr>
              <w:t>2030 carbon cost as % of price</w:t>
            </w:r>
          </w:p>
        </w:tc>
        <w:tc>
          <w:tcPr>
            <w:tcW w:w="1275" w:type="dxa"/>
            <w:vAlign w:val="center"/>
            <w:hideMark/>
          </w:tcPr>
          <w:p w14:paraId="7F238125" w14:textId="77777777" w:rsidR="00141F0F" w:rsidRPr="004E70CE" w:rsidRDefault="2800FF58" w:rsidP="00141F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4E70CE">
              <w:rPr>
                <w:sz w:val="18"/>
                <w:szCs w:val="18"/>
              </w:rPr>
              <w:t xml:space="preserve">Imports </w:t>
            </w:r>
            <w:r w:rsidR="00DD3E14" w:rsidRPr="004E70CE">
              <w:rPr>
                <w:sz w:val="18"/>
                <w:szCs w:val="18"/>
              </w:rPr>
              <w:t>relative to</w:t>
            </w:r>
            <w:r w:rsidRPr="004E70CE">
              <w:rPr>
                <w:sz w:val="18"/>
                <w:szCs w:val="18"/>
              </w:rPr>
              <w:t xml:space="preserve"> Safeguard production</w:t>
            </w:r>
            <w:r w:rsidR="00AB0A7F" w:rsidRPr="004E70CE">
              <w:rPr>
                <w:rStyle w:val="FootnoteReference"/>
                <w:sz w:val="18"/>
                <w:szCs w:val="18"/>
              </w:rPr>
              <w:footnoteReference w:id="23"/>
            </w:r>
          </w:p>
        </w:tc>
        <w:tc>
          <w:tcPr>
            <w:tcW w:w="1049" w:type="dxa"/>
            <w:vAlign w:val="center"/>
            <w:hideMark/>
          </w:tcPr>
          <w:p w14:paraId="101E6E0B" w14:textId="77777777" w:rsidR="00141F0F" w:rsidRPr="004E70CE" w:rsidRDefault="2800FF58" w:rsidP="00141F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4E70CE">
              <w:rPr>
                <w:sz w:val="18"/>
                <w:szCs w:val="18"/>
              </w:rPr>
              <w:t>Sensitivity of imports to price changes</w:t>
            </w:r>
            <w:r w:rsidR="00141F0F" w:rsidRPr="004E70CE">
              <w:rPr>
                <w:sz w:val="18"/>
                <w:szCs w:val="18"/>
                <w:vertAlign w:val="superscript"/>
              </w:rPr>
              <w:footnoteReference w:id="24"/>
            </w:r>
            <w:r w:rsidRPr="004E70CE">
              <w:rPr>
                <w:sz w:val="18"/>
                <w:szCs w:val="18"/>
              </w:rPr>
              <w:t xml:space="preserve"> </w:t>
            </w:r>
          </w:p>
        </w:tc>
        <w:tc>
          <w:tcPr>
            <w:tcW w:w="1247" w:type="dxa"/>
            <w:vAlign w:val="center"/>
            <w:hideMark/>
          </w:tcPr>
          <w:p w14:paraId="7A704A60" w14:textId="77777777" w:rsidR="00141F0F" w:rsidRPr="004E70CE" w:rsidRDefault="00141F0F" w:rsidP="00141F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4E70CE">
              <w:rPr>
                <w:rFonts w:cstheme="minorHAnsi"/>
                <w:sz w:val="18"/>
                <w:szCs w:val="18"/>
              </w:rPr>
              <w:t xml:space="preserve">% of emissions covered by Safeguard </w:t>
            </w:r>
          </w:p>
        </w:tc>
        <w:tc>
          <w:tcPr>
            <w:tcW w:w="1248" w:type="dxa"/>
            <w:vAlign w:val="center"/>
            <w:hideMark/>
          </w:tcPr>
          <w:p w14:paraId="40E22F6C" w14:textId="77777777" w:rsidR="00141F0F" w:rsidRPr="004E70CE" w:rsidRDefault="00517218" w:rsidP="054D2312">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4E70CE">
              <w:rPr>
                <w:sz w:val="18"/>
                <w:szCs w:val="18"/>
              </w:rPr>
              <w:t>Illustrative estimate of r</w:t>
            </w:r>
            <w:r w:rsidR="2800FF58" w:rsidRPr="004E70CE">
              <w:rPr>
                <w:sz w:val="18"/>
                <w:szCs w:val="18"/>
              </w:rPr>
              <w:t xml:space="preserve">eduction in </w:t>
            </w:r>
            <w:r w:rsidR="00A01677" w:rsidRPr="004E70CE">
              <w:rPr>
                <w:sz w:val="18"/>
                <w:szCs w:val="18"/>
              </w:rPr>
              <w:t xml:space="preserve">Safeguard </w:t>
            </w:r>
            <w:r w:rsidR="2800FF58" w:rsidRPr="004E70CE">
              <w:rPr>
                <w:sz w:val="18"/>
                <w:szCs w:val="18"/>
              </w:rPr>
              <w:t>production</w:t>
            </w:r>
            <w:r w:rsidR="00141F0F" w:rsidRPr="004E70CE">
              <w:rPr>
                <w:sz w:val="18"/>
                <w:szCs w:val="18"/>
                <w:vertAlign w:val="superscript"/>
              </w:rPr>
              <w:footnoteReference w:id="25"/>
            </w:r>
            <w:r w:rsidR="2800FF58" w:rsidRPr="004E70CE">
              <w:rPr>
                <w:sz w:val="18"/>
                <w:szCs w:val="18"/>
              </w:rPr>
              <w:t xml:space="preserve"> </w:t>
            </w:r>
          </w:p>
        </w:tc>
      </w:tr>
      <w:bookmarkEnd w:id="16"/>
      <w:tr w:rsidR="000C3396" w:rsidRPr="004E70CE" w14:paraId="2BDAC405"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44F0C2EB" w14:textId="77777777" w:rsidR="00141F0F" w:rsidRPr="004E70CE" w:rsidRDefault="00141F0F" w:rsidP="00141F0F">
            <w:pPr>
              <w:spacing w:after="0" w:line="240" w:lineRule="auto"/>
              <w:rPr>
                <w:rFonts w:cstheme="minorHAnsi"/>
                <w:sz w:val="18"/>
                <w:szCs w:val="18"/>
              </w:rPr>
            </w:pPr>
            <w:r w:rsidRPr="004E70CE">
              <w:rPr>
                <w:rFonts w:ascii="Calibri" w:hAnsi="Calibri" w:cs="Calibri"/>
                <w:color w:val="000000"/>
                <w:sz w:val="18"/>
                <w:szCs w:val="18"/>
              </w:rPr>
              <w:t xml:space="preserve">Steel: </w:t>
            </w:r>
            <w:r w:rsidR="001D4D4A" w:rsidRPr="004E70CE">
              <w:rPr>
                <w:rFonts w:ascii="Calibri" w:hAnsi="Calibri" w:cs="Calibri"/>
                <w:color w:val="000000"/>
                <w:sz w:val="18"/>
                <w:szCs w:val="18"/>
              </w:rPr>
              <w:t xml:space="preserve">Crude </w:t>
            </w:r>
            <w:r w:rsidRPr="004E70CE">
              <w:rPr>
                <w:rFonts w:ascii="Calibri" w:hAnsi="Calibri" w:cs="Calibri"/>
                <w:color w:val="000000"/>
                <w:sz w:val="18"/>
                <w:szCs w:val="18"/>
              </w:rPr>
              <w:t>steel</w:t>
            </w:r>
            <w:r w:rsidR="00D23227" w:rsidRPr="004E70CE">
              <w:rPr>
                <w:rStyle w:val="FootnoteReference"/>
                <w:rFonts w:ascii="Calibri" w:hAnsi="Calibri" w:cs="Calibri"/>
                <w:color w:val="000000"/>
                <w:sz w:val="18"/>
                <w:szCs w:val="18"/>
              </w:rPr>
              <w:footnoteReference w:id="26"/>
            </w:r>
          </w:p>
        </w:tc>
        <w:tc>
          <w:tcPr>
            <w:tcW w:w="1134" w:type="dxa"/>
            <w:noWrap/>
            <w:vAlign w:val="center"/>
            <w:hideMark/>
          </w:tcPr>
          <w:p w14:paraId="63727E2C" w14:textId="20EC6788" w:rsidR="00141F0F" w:rsidRPr="004E70CE" w:rsidRDefault="009A3EB1"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5-10</w:t>
            </w:r>
            <w:r w:rsidR="00141F0F" w:rsidRPr="004E70CE">
              <w:rPr>
                <w:rFonts w:ascii="Calibri" w:hAnsi="Calibri" w:cs="Calibri"/>
                <w:color w:val="000000"/>
                <w:sz w:val="18"/>
                <w:szCs w:val="18"/>
              </w:rPr>
              <w:t>%</w:t>
            </w:r>
          </w:p>
        </w:tc>
        <w:tc>
          <w:tcPr>
            <w:tcW w:w="1275" w:type="dxa"/>
            <w:noWrap/>
            <w:vAlign w:val="center"/>
            <w:hideMark/>
          </w:tcPr>
          <w:p w14:paraId="3A5F3ECB" w14:textId="0579EE72" w:rsidR="00141F0F" w:rsidRPr="004E70CE" w:rsidRDefault="007B2710"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Calibri" w:hAnsi="Calibri" w:cs="Calibri"/>
                <w:color w:val="000000"/>
                <w:sz w:val="18"/>
                <w:szCs w:val="18"/>
              </w:rPr>
              <w:t>0-0.2</w:t>
            </w:r>
          </w:p>
        </w:tc>
        <w:tc>
          <w:tcPr>
            <w:tcW w:w="1049" w:type="dxa"/>
            <w:noWrap/>
            <w:vAlign w:val="center"/>
            <w:hideMark/>
          </w:tcPr>
          <w:p w14:paraId="72F8BF4B"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 xml:space="preserve">-3.9   </w:t>
            </w:r>
          </w:p>
        </w:tc>
        <w:tc>
          <w:tcPr>
            <w:tcW w:w="1247" w:type="dxa"/>
            <w:noWrap/>
            <w:vAlign w:val="center"/>
            <w:hideMark/>
          </w:tcPr>
          <w:p w14:paraId="4BCFA060"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100%</w:t>
            </w:r>
          </w:p>
        </w:tc>
        <w:tc>
          <w:tcPr>
            <w:tcW w:w="1248" w:type="dxa"/>
            <w:noWrap/>
            <w:vAlign w:val="center"/>
            <w:hideMark/>
          </w:tcPr>
          <w:p w14:paraId="77484DBA" w14:textId="284C9FF4" w:rsidR="00141F0F" w:rsidRPr="004E70CE" w:rsidRDefault="009A3EB1"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1</w:t>
            </w:r>
            <w:r w:rsidR="00141F0F" w:rsidRPr="004E70CE">
              <w:rPr>
                <w:rFonts w:ascii="Calibri" w:hAnsi="Calibri" w:cs="Calibri"/>
                <w:color w:val="000000"/>
                <w:sz w:val="18"/>
                <w:szCs w:val="18"/>
              </w:rPr>
              <w:t xml:space="preserve">%   </w:t>
            </w:r>
          </w:p>
        </w:tc>
      </w:tr>
      <w:tr w:rsidR="000C3396" w:rsidRPr="004E70CE" w14:paraId="4780A282"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029EB994" w14:textId="77777777" w:rsidR="00141F0F" w:rsidRPr="004E70CE" w:rsidRDefault="00141F0F" w:rsidP="00141F0F">
            <w:pPr>
              <w:spacing w:after="0" w:line="240" w:lineRule="auto"/>
              <w:rPr>
                <w:rFonts w:cstheme="minorHAnsi"/>
                <w:sz w:val="18"/>
                <w:szCs w:val="18"/>
              </w:rPr>
            </w:pPr>
            <w:r w:rsidRPr="004E70CE">
              <w:rPr>
                <w:rFonts w:ascii="Calibri" w:hAnsi="Calibri" w:cs="Calibri"/>
                <w:color w:val="000000"/>
                <w:sz w:val="18"/>
                <w:szCs w:val="18"/>
              </w:rPr>
              <w:t>Steel: Long steel products</w:t>
            </w:r>
          </w:p>
        </w:tc>
        <w:tc>
          <w:tcPr>
            <w:tcW w:w="1134" w:type="dxa"/>
            <w:noWrap/>
            <w:vAlign w:val="center"/>
            <w:hideMark/>
          </w:tcPr>
          <w:p w14:paraId="1E421A5D" w14:textId="1EA11B6D" w:rsidR="00141F0F" w:rsidRPr="004E70CE" w:rsidRDefault="009A3EB1"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0-1</w:t>
            </w:r>
            <w:r w:rsidR="00141F0F" w:rsidRPr="004E70CE">
              <w:rPr>
                <w:rFonts w:ascii="Calibri" w:hAnsi="Calibri" w:cs="Calibri"/>
                <w:color w:val="000000"/>
                <w:sz w:val="18"/>
                <w:szCs w:val="18"/>
              </w:rPr>
              <w:t>%</w:t>
            </w:r>
          </w:p>
        </w:tc>
        <w:tc>
          <w:tcPr>
            <w:tcW w:w="1275" w:type="dxa"/>
            <w:noWrap/>
            <w:vAlign w:val="center"/>
            <w:hideMark/>
          </w:tcPr>
          <w:p w14:paraId="68FA3315" w14:textId="3E0DD233" w:rsidR="00141F0F" w:rsidRPr="004E70CE" w:rsidRDefault="007B2710"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Calibri" w:hAnsi="Calibri" w:cs="Calibri"/>
                <w:color w:val="000000"/>
                <w:sz w:val="18"/>
                <w:szCs w:val="18"/>
              </w:rPr>
              <w:t>0.4-0.6</w:t>
            </w:r>
          </w:p>
        </w:tc>
        <w:tc>
          <w:tcPr>
            <w:tcW w:w="1049" w:type="dxa"/>
            <w:noWrap/>
            <w:vAlign w:val="center"/>
            <w:hideMark/>
          </w:tcPr>
          <w:p w14:paraId="6186A08B"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 xml:space="preserve">-0.6   </w:t>
            </w:r>
          </w:p>
        </w:tc>
        <w:tc>
          <w:tcPr>
            <w:tcW w:w="1247" w:type="dxa"/>
            <w:noWrap/>
            <w:vAlign w:val="center"/>
            <w:hideMark/>
          </w:tcPr>
          <w:p w14:paraId="04C9CE44"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94%</w:t>
            </w:r>
          </w:p>
        </w:tc>
        <w:tc>
          <w:tcPr>
            <w:tcW w:w="1248" w:type="dxa"/>
            <w:noWrap/>
            <w:vAlign w:val="center"/>
            <w:hideMark/>
          </w:tcPr>
          <w:p w14:paraId="4CFAAB0B" w14:textId="25A5D886" w:rsidR="00141F0F" w:rsidRPr="004E70CE" w:rsidRDefault="00B95F3B"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0</w:t>
            </w:r>
            <w:r w:rsidR="00141F0F" w:rsidRPr="004E70CE">
              <w:rPr>
                <w:rFonts w:ascii="Calibri" w:hAnsi="Calibri" w:cs="Calibri"/>
                <w:color w:val="000000"/>
                <w:sz w:val="18"/>
                <w:szCs w:val="18"/>
              </w:rPr>
              <w:t xml:space="preserve">%   </w:t>
            </w:r>
          </w:p>
        </w:tc>
      </w:tr>
      <w:tr w:rsidR="000C3396" w:rsidRPr="004E70CE" w14:paraId="77815831"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CE72314" w14:textId="77777777" w:rsidR="00141F0F" w:rsidRPr="004E70CE" w:rsidRDefault="00141F0F" w:rsidP="00141F0F">
            <w:pPr>
              <w:spacing w:after="0" w:line="240" w:lineRule="auto"/>
              <w:rPr>
                <w:rFonts w:cstheme="minorHAnsi"/>
                <w:sz w:val="18"/>
                <w:szCs w:val="18"/>
              </w:rPr>
            </w:pPr>
            <w:r w:rsidRPr="004E70CE">
              <w:rPr>
                <w:rFonts w:ascii="Calibri" w:hAnsi="Calibri" w:cs="Calibri"/>
                <w:color w:val="000000"/>
                <w:sz w:val="18"/>
                <w:szCs w:val="18"/>
              </w:rPr>
              <w:t>Steel: Flat steel products</w:t>
            </w:r>
          </w:p>
        </w:tc>
        <w:tc>
          <w:tcPr>
            <w:tcW w:w="1134" w:type="dxa"/>
            <w:noWrap/>
            <w:vAlign w:val="center"/>
            <w:hideMark/>
          </w:tcPr>
          <w:p w14:paraId="3A39858A" w14:textId="667061CC" w:rsidR="00141F0F" w:rsidRPr="004E70CE" w:rsidRDefault="009A3EB1"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1-3</w:t>
            </w:r>
            <w:r w:rsidR="00141F0F" w:rsidRPr="004E70CE">
              <w:rPr>
                <w:rFonts w:ascii="Calibri" w:hAnsi="Calibri" w:cs="Calibri"/>
                <w:color w:val="000000"/>
                <w:sz w:val="18"/>
                <w:szCs w:val="18"/>
              </w:rPr>
              <w:t>%</w:t>
            </w:r>
          </w:p>
        </w:tc>
        <w:tc>
          <w:tcPr>
            <w:tcW w:w="1275" w:type="dxa"/>
            <w:noWrap/>
            <w:vAlign w:val="center"/>
            <w:hideMark/>
          </w:tcPr>
          <w:p w14:paraId="4BC4DFB7" w14:textId="085AC132" w:rsidR="00141F0F" w:rsidRPr="004E70CE" w:rsidRDefault="007B2710"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Calibri" w:hAnsi="Calibri" w:cs="Calibri"/>
                <w:color w:val="000000"/>
                <w:sz w:val="18"/>
                <w:szCs w:val="18"/>
              </w:rPr>
              <w:t>0-0.2</w:t>
            </w:r>
          </w:p>
        </w:tc>
        <w:tc>
          <w:tcPr>
            <w:tcW w:w="1049" w:type="dxa"/>
            <w:noWrap/>
            <w:vAlign w:val="center"/>
            <w:hideMark/>
          </w:tcPr>
          <w:p w14:paraId="5AC74E7D"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 xml:space="preserve">-0.5   </w:t>
            </w:r>
          </w:p>
        </w:tc>
        <w:tc>
          <w:tcPr>
            <w:tcW w:w="1247" w:type="dxa"/>
            <w:noWrap/>
            <w:vAlign w:val="center"/>
            <w:hideMark/>
          </w:tcPr>
          <w:p w14:paraId="2B1AF78A"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100%</w:t>
            </w:r>
          </w:p>
        </w:tc>
        <w:tc>
          <w:tcPr>
            <w:tcW w:w="1248" w:type="dxa"/>
            <w:noWrap/>
            <w:vAlign w:val="center"/>
            <w:hideMark/>
          </w:tcPr>
          <w:p w14:paraId="449732B6" w14:textId="0064B624"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 xml:space="preserve">0%   </w:t>
            </w:r>
          </w:p>
        </w:tc>
      </w:tr>
      <w:tr w:rsidR="000C3396" w:rsidRPr="004E70CE" w14:paraId="0118D14E"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3821351B" w14:textId="77777777" w:rsidR="00141F0F" w:rsidRPr="004E70CE" w:rsidRDefault="00141F0F" w:rsidP="00141F0F">
            <w:pPr>
              <w:spacing w:after="0" w:line="240" w:lineRule="auto"/>
              <w:rPr>
                <w:rFonts w:cstheme="minorHAnsi"/>
                <w:sz w:val="18"/>
                <w:szCs w:val="18"/>
              </w:rPr>
            </w:pPr>
            <w:r w:rsidRPr="004E70CE">
              <w:rPr>
                <w:rFonts w:ascii="Calibri" w:hAnsi="Calibri" w:cs="Calibri"/>
                <w:color w:val="000000"/>
                <w:sz w:val="18"/>
                <w:szCs w:val="18"/>
              </w:rPr>
              <w:t>Steel: Treated steel flat products</w:t>
            </w:r>
          </w:p>
        </w:tc>
        <w:tc>
          <w:tcPr>
            <w:tcW w:w="1134" w:type="dxa"/>
            <w:noWrap/>
            <w:vAlign w:val="center"/>
            <w:hideMark/>
          </w:tcPr>
          <w:p w14:paraId="6CFF1676" w14:textId="32AC2D30" w:rsidR="00141F0F" w:rsidRPr="004E70CE" w:rsidRDefault="009A3EB1"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3-5</w:t>
            </w:r>
            <w:r w:rsidR="00141F0F" w:rsidRPr="004E70CE">
              <w:rPr>
                <w:rFonts w:ascii="Calibri" w:hAnsi="Calibri" w:cs="Calibri"/>
                <w:color w:val="000000"/>
                <w:sz w:val="18"/>
                <w:szCs w:val="18"/>
              </w:rPr>
              <w:t>%</w:t>
            </w:r>
          </w:p>
        </w:tc>
        <w:tc>
          <w:tcPr>
            <w:tcW w:w="1275" w:type="dxa"/>
            <w:noWrap/>
            <w:vAlign w:val="center"/>
            <w:hideMark/>
          </w:tcPr>
          <w:p w14:paraId="110D9BEA" w14:textId="02375BF5" w:rsidR="00141F0F" w:rsidRPr="004E70CE" w:rsidRDefault="007B2710"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Calibri" w:hAnsi="Calibri" w:cs="Calibri"/>
                <w:color w:val="000000"/>
                <w:sz w:val="18"/>
                <w:szCs w:val="18"/>
              </w:rPr>
              <w:t>0.4-0.6</w:t>
            </w:r>
          </w:p>
        </w:tc>
        <w:tc>
          <w:tcPr>
            <w:tcW w:w="1049" w:type="dxa"/>
            <w:noWrap/>
            <w:vAlign w:val="center"/>
            <w:hideMark/>
          </w:tcPr>
          <w:p w14:paraId="52231AFA"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N/A</w:t>
            </w:r>
          </w:p>
        </w:tc>
        <w:tc>
          <w:tcPr>
            <w:tcW w:w="1247" w:type="dxa"/>
            <w:noWrap/>
            <w:vAlign w:val="center"/>
            <w:hideMark/>
          </w:tcPr>
          <w:p w14:paraId="27CEC0CA"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59%</w:t>
            </w:r>
          </w:p>
        </w:tc>
        <w:tc>
          <w:tcPr>
            <w:tcW w:w="1248" w:type="dxa"/>
            <w:noWrap/>
            <w:vAlign w:val="center"/>
            <w:hideMark/>
          </w:tcPr>
          <w:p w14:paraId="41C6C24D"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N/A</w:t>
            </w:r>
          </w:p>
        </w:tc>
      </w:tr>
      <w:tr w:rsidR="000C3396" w:rsidRPr="004E70CE" w14:paraId="57A65463"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30223BD5" w14:textId="77777777" w:rsidR="00141F0F" w:rsidRPr="004E70CE" w:rsidRDefault="00141F0F" w:rsidP="00141F0F">
            <w:pPr>
              <w:spacing w:after="0" w:line="240" w:lineRule="auto"/>
              <w:rPr>
                <w:rFonts w:cstheme="minorHAnsi"/>
                <w:sz w:val="18"/>
                <w:szCs w:val="18"/>
              </w:rPr>
            </w:pPr>
            <w:r w:rsidRPr="004E70CE">
              <w:rPr>
                <w:rFonts w:ascii="Calibri" w:hAnsi="Calibri" w:cs="Calibri"/>
                <w:color w:val="000000"/>
                <w:sz w:val="18"/>
                <w:szCs w:val="18"/>
              </w:rPr>
              <w:t>Cement production: Cement</w:t>
            </w:r>
          </w:p>
        </w:tc>
        <w:tc>
          <w:tcPr>
            <w:tcW w:w="1134" w:type="dxa"/>
            <w:noWrap/>
            <w:vAlign w:val="center"/>
            <w:hideMark/>
          </w:tcPr>
          <w:p w14:paraId="2C5E3173" w14:textId="124E676E" w:rsidR="00141F0F" w:rsidRPr="004E70CE" w:rsidRDefault="009A3EB1"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5-10</w:t>
            </w:r>
            <w:r w:rsidR="00141F0F" w:rsidRPr="004E70CE">
              <w:rPr>
                <w:rFonts w:ascii="Calibri" w:hAnsi="Calibri" w:cs="Calibri"/>
                <w:color w:val="000000"/>
                <w:sz w:val="18"/>
                <w:szCs w:val="18"/>
              </w:rPr>
              <w:t>%</w:t>
            </w:r>
          </w:p>
        </w:tc>
        <w:tc>
          <w:tcPr>
            <w:tcW w:w="1275" w:type="dxa"/>
            <w:noWrap/>
            <w:vAlign w:val="center"/>
            <w:hideMark/>
          </w:tcPr>
          <w:p w14:paraId="349BCA4E" w14:textId="6CA231B1" w:rsidR="00141F0F" w:rsidRPr="004E70CE" w:rsidRDefault="0051129B"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Calibri" w:hAnsi="Calibri" w:cs="Calibri"/>
                <w:color w:val="000000"/>
                <w:sz w:val="18"/>
                <w:szCs w:val="18"/>
              </w:rPr>
              <w:t>0-</w:t>
            </w:r>
            <w:r w:rsidR="007B2710">
              <w:rPr>
                <w:rFonts w:ascii="Calibri" w:hAnsi="Calibri" w:cs="Calibri"/>
                <w:color w:val="000000"/>
                <w:sz w:val="18"/>
                <w:szCs w:val="18"/>
              </w:rPr>
              <w:t>0.2</w:t>
            </w:r>
          </w:p>
        </w:tc>
        <w:tc>
          <w:tcPr>
            <w:tcW w:w="1049" w:type="dxa"/>
            <w:noWrap/>
            <w:vAlign w:val="center"/>
            <w:hideMark/>
          </w:tcPr>
          <w:p w14:paraId="57ACD309"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-2.</w:t>
            </w:r>
            <w:r w:rsidR="00926485" w:rsidRPr="004E70CE">
              <w:rPr>
                <w:rFonts w:ascii="Calibri" w:hAnsi="Calibri" w:cs="Calibri"/>
                <w:color w:val="000000"/>
                <w:sz w:val="18"/>
                <w:szCs w:val="18"/>
              </w:rPr>
              <w:t xml:space="preserve">5   </w:t>
            </w:r>
          </w:p>
        </w:tc>
        <w:tc>
          <w:tcPr>
            <w:tcW w:w="1247" w:type="dxa"/>
            <w:noWrap/>
            <w:vAlign w:val="center"/>
            <w:hideMark/>
          </w:tcPr>
          <w:p w14:paraId="1C28E769"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100%</w:t>
            </w:r>
          </w:p>
        </w:tc>
        <w:tc>
          <w:tcPr>
            <w:tcW w:w="1248" w:type="dxa"/>
            <w:noWrap/>
            <w:vAlign w:val="center"/>
            <w:hideMark/>
          </w:tcPr>
          <w:p w14:paraId="68426EEC" w14:textId="64E2926B" w:rsidR="00141F0F" w:rsidRPr="004E70CE" w:rsidRDefault="00E036F4"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2</w:t>
            </w:r>
            <w:r w:rsidR="00141F0F" w:rsidRPr="004E70CE">
              <w:rPr>
                <w:rFonts w:ascii="Calibri" w:hAnsi="Calibri" w:cs="Calibri"/>
                <w:color w:val="000000"/>
                <w:sz w:val="18"/>
                <w:szCs w:val="18"/>
              </w:rPr>
              <w:t xml:space="preserve">%   </w:t>
            </w:r>
          </w:p>
        </w:tc>
      </w:tr>
      <w:tr w:rsidR="000C3396" w:rsidRPr="004E70CE" w14:paraId="0A91F9D9"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3002F16" w14:textId="77777777" w:rsidR="00141F0F" w:rsidRPr="004E70CE" w:rsidRDefault="00141F0F" w:rsidP="00141F0F">
            <w:pPr>
              <w:spacing w:after="0" w:line="240" w:lineRule="auto"/>
              <w:rPr>
                <w:rFonts w:cstheme="minorHAnsi"/>
                <w:sz w:val="18"/>
                <w:szCs w:val="18"/>
              </w:rPr>
            </w:pPr>
            <w:r w:rsidRPr="004E70CE">
              <w:rPr>
                <w:rFonts w:ascii="Calibri" w:hAnsi="Calibri" w:cs="Calibri"/>
                <w:color w:val="000000"/>
                <w:sz w:val="18"/>
                <w:szCs w:val="18"/>
              </w:rPr>
              <w:t>Cement production: Clinker</w:t>
            </w:r>
          </w:p>
        </w:tc>
        <w:tc>
          <w:tcPr>
            <w:tcW w:w="1134" w:type="dxa"/>
            <w:noWrap/>
            <w:vAlign w:val="center"/>
            <w:hideMark/>
          </w:tcPr>
          <w:p w14:paraId="591B1FA7" w14:textId="53679610" w:rsidR="00141F0F" w:rsidRPr="004E70CE" w:rsidRDefault="009A3EB1"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20-30</w:t>
            </w:r>
            <w:r w:rsidR="00141F0F" w:rsidRPr="004E70CE">
              <w:rPr>
                <w:rFonts w:ascii="Calibri" w:hAnsi="Calibri" w:cs="Calibri"/>
                <w:color w:val="000000"/>
                <w:sz w:val="18"/>
                <w:szCs w:val="18"/>
              </w:rPr>
              <w:t>%</w:t>
            </w:r>
          </w:p>
        </w:tc>
        <w:tc>
          <w:tcPr>
            <w:tcW w:w="1275" w:type="dxa"/>
            <w:noWrap/>
            <w:vAlign w:val="center"/>
            <w:hideMark/>
          </w:tcPr>
          <w:p w14:paraId="009A4082" w14:textId="6BC4EA7C" w:rsidR="00141F0F" w:rsidRPr="004E70CE" w:rsidRDefault="007B2710"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Calibri" w:hAnsi="Calibri" w:cs="Calibri"/>
                <w:color w:val="000000"/>
                <w:sz w:val="18"/>
                <w:szCs w:val="18"/>
              </w:rPr>
              <w:t>0.8-1.0</w:t>
            </w:r>
          </w:p>
        </w:tc>
        <w:tc>
          <w:tcPr>
            <w:tcW w:w="1049" w:type="dxa"/>
            <w:noWrap/>
            <w:vAlign w:val="center"/>
            <w:hideMark/>
          </w:tcPr>
          <w:p w14:paraId="38A971DA"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 xml:space="preserve">-0.8   </w:t>
            </w:r>
          </w:p>
        </w:tc>
        <w:tc>
          <w:tcPr>
            <w:tcW w:w="1247" w:type="dxa"/>
            <w:noWrap/>
            <w:vAlign w:val="center"/>
            <w:hideMark/>
          </w:tcPr>
          <w:p w14:paraId="57817BA1"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100%</w:t>
            </w:r>
          </w:p>
        </w:tc>
        <w:tc>
          <w:tcPr>
            <w:tcW w:w="1248" w:type="dxa"/>
            <w:noWrap/>
            <w:vAlign w:val="center"/>
            <w:hideMark/>
          </w:tcPr>
          <w:p w14:paraId="1D70C714" w14:textId="29E63C83" w:rsidR="00141F0F" w:rsidRPr="004E70CE" w:rsidRDefault="00E036F4"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26</w:t>
            </w:r>
            <w:r w:rsidR="00141F0F" w:rsidRPr="004E70CE">
              <w:rPr>
                <w:rFonts w:ascii="Calibri" w:hAnsi="Calibri" w:cs="Calibri"/>
                <w:color w:val="000000"/>
                <w:sz w:val="18"/>
                <w:szCs w:val="18"/>
              </w:rPr>
              <w:t xml:space="preserve">%   </w:t>
            </w:r>
          </w:p>
        </w:tc>
      </w:tr>
      <w:tr w:rsidR="000C3396" w:rsidRPr="004E70CE" w14:paraId="414EE9E2"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1D2ABA6C" w14:textId="77777777" w:rsidR="00141F0F" w:rsidRPr="004E70CE" w:rsidRDefault="00141F0F" w:rsidP="00141F0F">
            <w:pPr>
              <w:spacing w:after="0" w:line="240" w:lineRule="auto"/>
              <w:rPr>
                <w:rFonts w:cstheme="minorHAnsi"/>
                <w:sz w:val="18"/>
                <w:szCs w:val="18"/>
              </w:rPr>
            </w:pPr>
            <w:r w:rsidRPr="004E70CE">
              <w:rPr>
                <w:rFonts w:ascii="Calibri" w:hAnsi="Calibri" w:cs="Calibri"/>
                <w:color w:val="000000"/>
                <w:sz w:val="18"/>
                <w:szCs w:val="18"/>
              </w:rPr>
              <w:t>Cement production: Lime</w:t>
            </w:r>
          </w:p>
        </w:tc>
        <w:tc>
          <w:tcPr>
            <w:tcW w:w="1134" w:type="dxa"/>
            <w:noWrap/>
            <w:vAlign w:val="center"/>
            <w:hideMark/>
          </w:tcPr>
          <w:p w14:paraId="0B3E8ABE" w14:textId="51F137B4" w:rsidR="00141F0F" w:rsidRPr="004E70CE" w:rsidRDefault="009A3EB1"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5-10</w:t>
            </w:r>
            <w:r w:rsidR="00141F0F" w:rsidRPr="004E70CE">
              <w:rPr>
                <w:rFonts w:ascii="Calibri" w:hAnsi="Calibri" w:cs="Calibri"/>
                <w:color w:val="000000"/>
                <w:sz w:val="18"/>
                <w:szCs w:val="18"/>
              </w:rPr>
              <w:t>%</w:t>
            </w:r>
          </w:p>
        </w:tc>
        <w:tc>
          <w:tcPr>
            <w:tcW w:w="1275" w:type="dxa"/>
            <w:noWrap/>
            <w:vAlign w:val="center"/>
            <w:hideMark/>
          </w:tcPr>
          <w:p w14:paraId="795D55C4" w14:textId="3A2AE2A6" w:rsidR="00141F0F" w:rsidRPr="004E70CE" w:rsidRDefault="007B2710"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Calibri" w:hAnsi="Calibri" w:cs="Calibri"/>
                <w:color w:val="000000"/>
                <w:sz w:val="18"/>
                <w:szCs w:val="18"/>
              </w:rPr>
              <w:t>0.4-0.6</w:t>
            </w:r>
          </w:p>
        </w:tc>
        <w:tc>
          <w:tcPr>
            <w:tcW w:w="1049" w:type="dxa"/>
            <w:noWrap/>
            <w:vAlign w:val="center"/>
            <w:hideMark/>
          </w:tcPr>
          <w:p w14:paraId="0CB029A1"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 xml:space="preserve">-3.0   </w:t>
            </w:r>
          </w:p>
        </w:tc>
        <w:tc>
          <w:tcPr>
            <w:tcW w:w="1247" w:type="dxa"/>
            <w:noWrap/>
            <w:vAlign w:val="center"/>
            <w:hideMark/>
          </w:tcPr>
          <w:p w14:paraId="5D39CED7"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74%</w:t>
            </w:r>
          </w:p>
        </w:tc>
        <w:tc>
          <w:tcPr>
            <w:tcW w:w="1248" w:type="dxa"/>
            <w:noWrap/>
            <w:vAlign w:val="center"/>
            <w:hideMark/>
          </w:tcPr>
          <w:p w14:paraId="0DC107A4" w14:textId="0D0DA1C5" w:rsidR="00141F0F" w:rsidRPr="004E70CE" w:rsidRDefault="007B2A9C"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7</w:t>
            </w:r>
            <w:r w:rsidR="00141F0F" w:rsidRPr="004E70CE">
              <w:rPr>
                <w:rFonts w:ascii="Calibri" w:hAnsi="Calibri" w:cs="Calibri"/>
                <w:color w:val="000000"/>
                <w:sz w:val="18"/>
                <w:szCs w:val="18"/>
              </w:rPr>
              <w:t xml:space="preserve">%   </w:t>
            </w:r>
          </w:p>
        </w:tc>
      </w:tr>
      <w:tr w:rsidR="000C3396" w:rsidRPr="004E70CE" w14:paraId="0AB2882E"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0B6F4BA3" w14:textId="77777777" w:rsidR="00141F0F" w:rsidRPr="004E70CE" w:rsidRDefault="00141F0F" w:rsidP="00141F0F">
            <w:pPr>
              <w:spacing w:after="0" w:line="240" w:lineRule="auto"/>
              <w:rPr>
                <w:rFonts w:cstheme="minorHAnsi"/>
                <w:sz w:val="18"/>
                <w:szCs w:val="18"/>
              </w:rPr>
            </w:pPr>
            <w:r w:rsidRPr="004E70CE">
              <w:rPr>
                <w:rFonts w:ascii="Calibri" w:hAnsi="Calibri" w:cs="Calibri"/>
                <w:sz w:val="18"/>
                <w:szCs w:val="18"/>
              </w:rPr>
              <w:t>Chemicals: Ammonia</w:t>
            </w:r>
          </w:p>
        </w:tc>
        <w:tc>
          <w:tcPr>
            <w:tcW w:w="1134" w:type="dxa"/>
            <w:noWrap/>
            <w:vAlign w:val="center"/>
            <w:hideMark/>
          </w:tcPr>
          <w:p w14:paraId="47B55919" w14:textId="3DE918CF" w:rsidR="00141F0F" w:rsidRPr="004E70CE" w:rsidRDefault="009A3EB1"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sz w:val="18"/>
                <w:szCs w:val="18"/>
              </w:rPr>
              <w:t>1-3</w:t>
            </w:r>
            <w:r w:rsidR="00141F0F" w:rsidRPr="004E70CE">
              <w:rPr>
                <w:rFonts w:ascii="Calibri" w:hAnsi="Calibri" w:cs="Calibri"/>
                <w:sz w:val="18"/>
                <w:szCs w:val="18"/>
              </w:rPr>
              <w:t>%</w:t>
            </w:r>
          </w:p>
        </w:tc>
        <w:tc>
          <w:tcPr>
            <w:tcW w:w="1275" w:type="dxa"/>
            <w:noWrap/>
            <w:vAlign w:val="center"/>
            <w:hideMark/>
          </w:tcPr>
          <w:p w14:paraId="1327E65B" w14:textId="04E555BD" w:rsidR="00141F0F" w:rsidRPr="004E70CE" w:rsidRDefault="007B2710"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Calibri" w:hAnsi="Calibri" w:cs="Calibri"/>
                <w:sz w:val="18"/>
                <w:szCs w:val="18"/>
              </w:rPr>
              <w:t>0-0.2</w:t>
            </w:r>
          </w:p>
        </w:tc>
        <w:tc>
          <w:tcPr>
            <w:tcW w:w="1049" w:type="dxa"/>
            <w:noWrap/>
            <w:vAlign w:val="center"/>
            <w:hideMark/>
          </w:tcPr>
          <w:p w14:paraId="7CBCF577"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sz w:val="18"/>
                <w:szCs w:val="18"/>
              </w:rPr>
              <w:t xml:space="preserve">-3.5   </w:t>
            </w:r>
          </w:p>
        </w:tc>
        <w:tc>
          <w:tcPr>
            <w:tcW w:w="1247" w:type="dxa"/>
            <w:noWrap/>
            <w:vAlign w:val="center"/>
            <w:hideMark/>
          </w:tcPr>
          <w:p w14:paraId="7821D036"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sz w:val="18"/>
                <w:szCs w:val="18"/>
              </w:rPr>
              <w:t>100%</w:t>
            </w:r>
          </w:p>
        </w:tc>
        <w:tc>
          <w:tcPr>
            <w:tcW w:w="1248" w:type="dxa"/>
            <w:noWrap/>
            <w:vAlign w:val="center"/>
            <w:hideMark/>
          </w:tcPr>
          <w:p w14:paraId="443D9CBB" w14:textId="326CB547" w:rsidR="00141F0F" w:rsidRPr="004E70CE" w:rsidRDefault="00A01677"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sz w:val="18"/>
                <w:szCs w:val="18"/>
              </w:rPr>
              <w:t>0</w:t>
            </w:r>
            <w:r w:rsidR="00141F0F" w:rsidRPr="004E70CE">
              <w:rPr>
                <w:rFonts w:ascii="Calibri" w:hAnsi="Calibri" w:cs="Calibri"/>
                <w:sz w:val="18"/>
                <w:szCs w:val="18"/>
              </w:rPr>
              <w:t xml:space="preserve">%   </w:t>
            </w:r>
          </w:p>
        </w:tc>
      </w:tr>
      <w:tr w:rsidR="000C3396" w:rsidRPr="004E70CE" w14:paraId="606829B5"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E1F02CE" w14:textId="77777777" w:rsidR="00141F0F" w:rsidRPr="004E70CE" w:rsidRDefault="00141F0F" w:rsidP="00141F0F">
            <w:pPr>
              <w:spacing w:after="0" w:line="240" w:lineRule="auto"/>
              <w:rPr>
                <w:rFonts w:cstheme="minorHAnsi"/>
                <w:sz w:val="18"/>
                <w:szCs w:val="18"/>
              </w:rPr>
            </w:pPr>
            <w:r w:rsidRPr="004E70CE">
              <w:rPr>
                <w:rFonts w:ascii="Calibri" w:hAnsi="Calibri" w:cs="Calibri"/>
                <w:color w:val="000000"/>
                <w:sz w:val="18"/>
                <w:szCs w:val="18"/>
              </w:rPr>
              <w:t>Chemicals: Ammonium nitrate</w:t>
            </w:r>
          </w:p>
        </w:tc>
        <w:tc>
          <w:tcPr>
            <w:tcW w:w="1134" w:type="dxa"/>
            <w:noWrap/>
            <w:vAlign w:val="center"/>
            <w:hideMark/>
          </w:tcPr>
          <w:p w14:paraId="06BB9E96" w14:textId="0F733066" w:rsidR="00141F0F" w:rsidRPr="004E70CE" w:rsidRDefault="009A3EB1"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1-3</w:t>
            </w:r>
            <w:r w:rsidR="00141F0F" w:rsidRPr="004E70CE">
              <w:rPr>
                <w:rFonts w:ascii="Calibri" w:hAnsi="Calibri" w:cs="Calibri"/>
                <w:color w:val="000000"/>
                <w:sz w:val="18"/>
                <w:szCs w:val="18"/>
              </w:rPr>
              <w:t>%</w:t>
            </w:r>
          </w:p>
        </w:tc>
        <w:tc>
          <w:tcPr>
            <w:tcW w:w="1275" w:type="dxa"/>
            <w:noWrap/>
            <w:vAlign w:val="center"/>
            <w:hideMark/>
          </w:tcPr>
          <w:p w14:paraId="66BF9CCF" w14:textId="2001DA2B" w:rsidR="00141F0F" w:rsidRPr="004E70CE" w:rsidRDefault="007B2710"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Calibri" w:hAnsi="Calibri" w:cs="Calibri"/>
                <w:color w:val="000000"/>
                <w:sz w:val="18"/>
                <w:szCs w:val="18"/>
              </w:rPr>
              <w:t>0-0.2</w:t>
            </w:r>
          </w:p>
        </w:tc>
        <w:tc>
          <w:tcPr>
            <w:tcW w:w="1049" w:type="dxa"/>
            <w:noWrap/>
            <w:vAlign w:val="center"/>
            <w:hideMark/>
          </w:tcPr>
          <w:p w14:paraId="5FEF9381"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 xml:space="preserve">-1.0   </w:t>
            </w:r>
          </w:p>
        </w:tc>
        <w:tc>
          <w:tcPr>
            <w:tcW w:w="1247" w:type="dxa"/>
            <w:noWrap/>
            <w:vAlign w:val="center"/>
            <w:hideMark/>
          </w:tcPr>
          <w:p w14:paraId="04FAA1B2"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100%</w:t>
            </w:r>
          </w:p>
        </w:tc>
        <w:tc>
          <w:tcPr>
            <w:tcW w:w="1248" w:type="dxa"/>
            <w:noWrap/>
            <w:vAlign w:val="center"/>
            <w:hideMark/>
          </w:tcPr>
          <w:p w14:paraId="1E19D75F" w14:textId="51147718"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 xml:space="preserve">0%   </w:t>
            </w:r>
          </w:p>
        </w:tc>
      </w:tr>
      <w:tr w:rsidR="000C3396" w:rsidRPr="004E70CE" w14:paraId="187819A3"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1714E890" w14:textId="77777777" w:rsidR="00141F0F" w:rsidRPr="004E70CE" w:rsidRDefault="00141F0F" w:rsidP="00141F0F">
            <w:pPr>
              <w:spacing w:after="0" w:line="240" w:lineRule="auto"/>
              <w:rPr>
                <w:rFonts w:cstheme="minorHAnsi"/>
                <w:sz w:val="18"/>
                <w:szCs w:val="18"/>
              </w:rPr>
            </w:pPr>
            <w:r w:rsidRPr="004E70CE">
              <w:rPr>
                <w:rFonts w:ascii="Calibri" w:hAnsi="Calibri" w:cs="Calibri"/>
                <w:color w:val="000000"/>
                <w:sz w:val="18"/>
                <w:szCs w:val="18"/>
              </w:rPr>
              <w:t>Chemicals: Ammonium phosphate</w:t>
            </w:r>
          </w:p>
        </w:tc>
        <w:tc>
          <w:tcPr>
            <w:tcW w:w="1134" w:type="dxa"/>
            <w:noWrap/>
            <w:vAlign w:val="center"/>
            <w:hideMark/>
          </w:tcPr>
          <w:p w14:paraId="182A8DB1" w14:textId="057DC6DA" w:rsidR="00141F0F" w:rsidRPr="004E70CE" w:rsidRDefault="009A3EB1"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0-1</w:t>
            </w:r>
            <w:r w:rsidR="00141F0F" w:rsidRPr="004E70CE">
              <w:rPr>
                <w:rFonts w:ascii="Calibri" w:hAnsi="Calibri" w:cs="Calibri"/>
                <w:color w:val="000000"/>
                <w:sz w:val="18"/>
                <w:szCs w:val="18"/>
              </w:rPr>
              <w:t>%</w:t>
            </w:r>
          </w:p>
        </w:tc>
        <w:tc>
          <w:tcPr>
            <w:tcW w:w="1275" w:type="dxa"/>
            <w:noWrap/>
            <w:vAlign w:val="center"/>
            <w:hideMark/>
          </w:tcPr>
          <w:p w14:paraId="338A8DAD" w14:textId="71198706" w:rsidR="00141F0F" w:rsidRPr="004E70CE" w:rsidRDefault="007B2710"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Calibri" w:hAnsi="Calibri" w:cs="Calibri"/>
                <w:color w:val="000000"/>
                <w:sz w:val="18"/>
                <w:szCs w:val="18"/>
              </w:rPr>
              <w:t>2.0-2.2</w:t>
            </w:r>
          </w:p>
        </w:tc>
        <w:tc>
          <w:tcPr>
            <w:tcW w:w="1049" w:type="dxa"/>
            <w:noWrap/>
            <w:vAlign w:val="center"/>
            <w:hideMark/>
          </w:tcPr>
          <w:p w14:paraId="6569FF89"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 xml:space="preserve">-0.3   </w:t>
            </w:r>
          </w:p>
        </w:tc>
        <w:tc>
          <w:tcPr>
            <w:tcW w:w="1247" w:type="dxa"/>
            <w:noWrap/>
            <w:vAlign w:val="center"/>
            <w:hideMark/>
          </w:tcPr>
          <w:p w14:paraId="2E7D14DF"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100%</w:t>
            </w:r>
          </w:p>
        </w:tc>
        <w:tc>
          <w:tcPr>
            <w:tcW w:w="1248" w:type="dxa"/>
            <w:noWrap/>
            <w:vAlign w:val="center"/>
            <w:hideMark/>
          </w:tcPr>
          <w:p w14:paraId="0F966A49" w14:textId="4C892ED1" w:rsidR="00141F0F" w:rsidRPr="004E70CE" w:rsidRDefault="007B2A9C"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1</w:t>
            </w:r>
            <w:r w:rsidR="00141F0F" w:rsidRPr="004E70CE">
              <w:rPr>
                <w:rFonts w:ascii="Calibri" w:hAnsi="Calibri" w:cs="Calibri"/>
                <w:color w:val="000000"/>
                <w:sz w:val="18"/>
                <w:szCs w:val="18"/>
              </w:rPr>
              <w:t xml:space="preserve">%   </w:t>
            </w:r>
          </w:p>
        </w:tc>
      </w:tr>
      <w:tr w:rsidR="000C3396" w:rsidRPr="004E70CE" w14:paraId="4CFFD148"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527C2EA6" w14:textId="77777777" w:rsidR="00141F0F" w:rsidRPr="004E70CE" w:rsidRDefault="00141F0F" w:rsidP="00141F0F">
            <w:pPr>
              <w:spacing w:after="0" w:line="240" w:lineRule="auto"/>
              <w:rPr>
                <w:rFonts w:cstheme="minorHAnsi"/>
                <w:sz w:val="18"/>
                <w:szCs w:val="18"/>
              </w:rPr>
            </w:pPr>
            <w:r w:rsidRPr="004E70CE">
              <w:rPr>
                <w:rFonts w:ascii="Calibri" w:hAnsi="Calibri" w:cs="Calibri"/>
                <w:color w:val="000000"/>
                <w:sz w:val="18"/>
                <w:szCs w:val="18"/>
              </w:rPr>
              <w:t>Chemicals: Urea</w:t>
            </w:r>
          </w:p>
        </w:tc>
        <w:tc>
          <w:tcPr>
            <w:tcW w:w="1134" w:type="dxa"/>
            <w:noWrap/>
            <w:vAlign w:val="center"/>
            <w:hideMark/>
          </w:tcPr>
          <w:p w14:paraId="01166522" w14:textId="45D5F505" w:rsidR="00141F0F" w:rsidRPr="004E70CE" w:rsidRDefault="009A3EB1"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1-3</w:t>
            </w:r>
            <w:r w:rsidR="00141F0F" w:rsidRPr="004E70CE">
              <w:rPr>
                <w:rFonts w:ascii="Calibri" w:hAnsi="Calibri" w:cs="Calibri"/>
                <w:color w:val="000000"/>
                <w:sz w:val="18"/>
                <w:szCs w:val="18"/>
              </w:rPr>
              <w:t>%</w:t>
            </w:r>
          </w:p>
        </w:tc>
        <w:tc>
          <w:tcPr>
            <w:tcW w:w="1275" w:type="dxa"/>
            <w:noWrap/>
            <w:vAlign w:val="center"/>
            <w:hideMark/>
          </w:tcPr>
          <w:p w14:paraId="53328020" w14:textId="5B0587AD" w:rsidR="00141F0F" w:rsidRPr="004E70CE" w:rsidRDefault="007B2710"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Calibri" w:hAnsi="Calibri" w:cs="Calibri"/>
                <w:color w:val="000000"/>
                <w:sz w:val="18"/>
                <w:szCs w:val="18"/>
              </w:rPr>
              <w:t>1.2-1.4</w:t>
            </w:r>
          </w:p>
        </w:tc>
        <w:tc>
          <w:tcPr>
            <w:tcW w:w="1049" w:type="dxa"/>
            <w:noWrap/>
            <w:vAlign w:val="center"/>
            <w:hideMark/>
          </w:tcPr>
          <w:p w14:paraId="536A1CFF"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 xml:space="preserve">-1.7   </w:t>
            </w:r>
          </w:p>
        </w:tc>
        <w:tc>
          <w:tcPr>
            <w:tcW w:w="1247" w:type="dxa"/>
            <w:noWrap/>
            <w:vAlign w:val="center"/>
            <w:hideMark/>
          </w:tcPr>
          <w:p w14:paraId="28E751FB"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100%</w:t>
            </w:r>
          </w:p>
        </w:tc>
        <w:tc>
          <w:tcPr>
            <w:tcW w:w="1248" w:type="dxa"/>
            <w:noWrap/>
            <w:vAlign w:val="center"/>
            <w:hideMark/>
          </w:tcPr>
          <w:p w14:paraId="4D40E0E0" w14:textId="0C5CD1AB" w:rsidR="00141F0F" w:rsidRPr="004E70CE" w:rsidRDefault="007B2A9C"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7</w:t>
            </w:r>
            <w:r w:rsidR="00141F0F" w:rsidRPr="004E70CE">
              <w:rPr>
                <w:rFonts w:ascii="Calibri" w:hAnsi="Calibri" w:cs="Calibri"/>
                <w:color w:val="000000"/>
                <w:sz w:val="18"/>
                <w:szCs w:val="18"/>
              </w:rPr>
              <w:t xml:space="preserve">%   </w:t>
            </w:r>
          </w:p>
        </w:tc>
      </w:tr>
      <w:tr w:rsidR="000C3396" w:rsidRPr="004E70CE" w14:paraId="451788D7"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0D0CA42E" w14:textId="77777777" w:rsidR="00141F0F" w:rsidRPr="004E70CE" w:rsidRDefault="00141F0F" w:rsidP="00141F0F">
            <w:pPr>
              <w:spacing w:after="0" w:line="240" w:lineRule="auto"/>
              <w:rPr>
                <w:rFonts w:cstheme="minorHAnsi"/>
                <w:sz w:val="18"/>
                <w:szCs w:val="18"/>
              </w:rPr>
            </w:pPr>
            <w:r w:rsidRPr="004E70CE">
              <w:rPr>
                <w:rFonts w:ascii="Calibri" w:hAnsi="Calibri" w:cs="Calibri"/>
                <w:color w:val="000000"/>
                <w:sz w:val="18"/>
                <w:szCs w:val="18"/>
              </w:rPr>
              <w:t>Alumina and aluminium: Aluminium</w:t>
            </w:r>
          </w:p>
        </w:tc>
        <w:tc>
          <w:tcPr>
            <w:tcW w:w="1134" w:type="dxa"/>
            <w:noWrap/>
            <w:vAlign w:val="center"/>
            <w:hideMark/>
          </w:tcPr>
          <w:p w14:paraId="39033734" w14:textId="5FE4488A" w:rsidR="00141F0F" w:rsidRPr="004E70CE" w:rsidRDefault="009A3EB1"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1-3</w:t>
            </w:r>
            <w:r w:rsidR="00141F0F" w:rsidRPr="004E70CE">
              <w:rPr>
                <w:rFonts w:ascii="Calibri" w:hAnsi="Calibri" w:cs="Calibri"/>
                <w:color w:val="000000"/>
                <w:sz w:val="18"/>
                <w:szCs w:val="18"/>
              </w:rPr>
              <w:t>%</w:t>
            </w:r>
          </w:p>
        </w:tc>
        <w:tc>
          <w:tcPr>
            <w:tcW w:w="1275" w:type="dxa"/>
            <w:noWrap/>
            <w:vAlign w:val="center"/>
            <w:hideMark/>
          </w:tcPr>
          <w:p w14:paraId="4B698C19" w14:textId="008608E3" w:rsidR="00141F0F" w:rsidRPr="004E70CE" w:rsidRDefault="007B2710"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Calibri" w:hAnsi="Calibri" w:cs="Calibri"/>
                <w:color w:val="000000"/>
                <w:sz w:val="18"/>
                <w:szCs w:val="18"/>
              </w:rPr>
              <w:t>0-0.2</w:t>
            </w:r>
          </w:p>
        </w:tc>
        <w:tc>
          <w:tcPr>
            <w:tcW w:w="1049" w:type="dxa"/>
            <w:noWrap/>
            <w:vAlign w:val="center"/>
            <w:hideMark/>
          </w:tcPr>
          <w:p w14:paraId="2B307C7E"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 xml:space="preserve">-4.5   </w:t>
            </w:r>
          </w:p>
        </w:tc>
        <w:tc>
          <w:tcPr>
            <w:tcW w:w="1247" w:type="dxa"/>
            <w:noWrap/>
            <w:vAlign w:val="center"/>
            <w:hideMark/>
          </w:tcPr>
          <w:p w14:paraId="7E24A657"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100%</w:t>
            </w:r>
          </w:p>
        </w:tc>
        <w:tc>
          <w:tcPr>
            <w:tcW w:w="1248" w:type="dxa"/>
            <w:noWrap/>
            <w:vAlign w:val="center"/>
            <w:hideMark/>
          </w:tcPr>
          <w:p w14:paraId="5F0E5D20" w14:textId="53BFB18B"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 xml:space="preserve">0%   </w:t>
            </w:r>
          </w:p>
        </w:tc>
      </w:tr>
      <w:tr w:rsidR="000C3396" w:rsidRPr="004E70CE" w14:paraId="4000BB1A"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32E96F61" w14:textId="77777777" w:rsidR="00141F0F" w:rsidRPr="004E70CE" w:rsidRDefault="00141F0F" w:rsidP="00141F0F">
            <w:pPr>
              <w:spacing w:after="0" w:line="240" w:lineRule="auto"/>
              <w:rPr>
                <w:rFonts w:cstheme="minorHAnsi"/>
                <w:sz w:val="18"/>
                <w:szCs w:val="18"/>
              </w:rPr>
            </w:pPr>
            <w:r w:rsidRPr="004E70CE">
              <w:rPr>
                <w:rFonts w:ascii="Calibri" w:hAnsi="Calibri" w:cs="Calibri"/>
                <w:sz w:val="18"/>
                <w:szCs w:val="18"/>
              </w:rPr>
              <w:t>Alumina and aluminium: Alumina</w:t>
            </w:r>
          </w:p>
        </w:tc>
        <w:tc>
          <w:tcPr>
            <w:tcW w:w="1134" w:type="dxa"/>
            <w:noWrap/>
            <w:vAlign w:val="center"/>
            <w:hideMark/>
          </w:tcPr>
          <w:p w14:paraId="4062BCD2" w14:textId="7C0B1269" w:rsidR="00141F0F" w:rsidRPr="004E70CE" w:rsidRDefault="009A3EB1"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sz w:val="18"/>
                <w:szCs w:val="18"/>
              </w:rPr>
              <w:t>1-3</w:t>
            </w:r>
            <w:r w:rsidR="00141F0F" w:rsidRPr="004E70CE">
              <w:rPr>
                <w:rFonts w:ascii="Calibri" w:hAnsi="Calibri" w:cs="Calibri"/>
                <w:sz w:val="18"/>
                <w:szCs w:val="18"/>
              </w:rPr>
              <w:t>%</w:t>
            </w:r>
          </w:p>
        </w:tc>
        <w:tc>
          <w:tcPr>
            <w:tcW w:w="1275" w:type="dxa"/>
            <w:noWrap/>
            <w:vAlign w:val="center"/>
            <w:hideMark/>
          </w:tcPr>
          <w:p w14:paraId="26F2A34D" w14:textId="3F2735D8" w:rsidR="00141F0F" w:rsidRPr="004E70CE" w:rsidRDefault="007B2710"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Calibri" w:hAnsi="Calibri" w:cs="Calibri"/>
                <w:sz w:val="18"/>
                <w:szCs w:val="18"/>
              </w:rPr>
              <w:t>0-0.2</w:t>
            </w:r>
          </w:p>
        </w:tc>
        <w:tc>
          <w:tcPr>
            <w:tcW w:w="1049" w:type="dxa"/>
            <w:noWrap/>
            <w:vAlign w:val="center"/>
            <w:hideMark/>
          </w:tcPr>
          <w:p w14:paraId="456F80BD"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sz w:val="18"/>
                <w:szCs w:val="18"/>
              </w:rPr>
              <w:t xml:space="preserve">-0.6   </w:t>
            </w:r>
          </w:p>
        </w:tc>
        <w:tc>
          <w:tcPr>
            <w:tcW w:w="1247" w:type="dxa"/>
            <w:noWrap/>
            <w:vAlign w:val="center"/>
            <w:hideMark/>
          </w:tcPr>
          <w:p w14:paraId="61AA9C3D"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sz w:val="18"/>
                <w:szCs w:val="18"/>
              </w:rPr>
              <w:t>100%</w:t>
            </w:r>
          </w:p>
        </w:tc>
        <w:tc>
          <w:tcPr>
            <w:tcW w:w="1248" w:type="dxa"/>
            <w:noWrap/>
            <w:vAlign w:val="center"/>
            <w:hideMark/>
          </w:tcPr>
          <w:p w14:paraId="6938B83C" w14:textId="4FCE3C15"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sz w:val="18"/>
                <w:szCs w:val="18"/>
              </w:rPr>
              <w:t xml:space="preserve">0%   </w:t>
            </w:r>
          </w:p>
        </w:tc>
      </w:tr>
      <w:tr w:rsidR="000C3396" w:rsidRPr="004E70CE" w14:paraId="02DEBE89"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7169E19" w14:textId="77777777" w:rsidR="00141F0F" w:rsidRPr="004E70CE" w:rsidRDefault="00141F0F" w:rsidP="00141F0F">
            <w:pPr>
              <w:spacing w:after="0" w:line="240" w:lineRule="auto"/>
              <w:rPr>
                <w:rFonts w:cstheme="minorHAnsi"/>
                <w:sz w:val="18"/>
                <w:szCs w:val="18"/>
              </w:rPr>
            </w:pPr>
            <w:r w:rsidRPr="004E70CE">
              <w:rPr>
                <w:rFonts w:ascii="Calibri" w:hAnsi="Calibri" w:cs="Calibri"/>
                <w:sz w:val="18"/>
                <w:szCs w:val="18"/>
              </w:rPr>
              <w:t>Alumina and aluminium: Bauxite</w:t>
            </w:r>
          </w:p>
        </w:tc>
        <w:tc>
          <w:tcPr>
            <w:tcW w:w="1134" w:type="dxa"/>
            <w:noWrap/>
            <w:vAlign w:val="center"/>
            <w:hideMark/>
          </w:tcPr>
          <w:p w14:paraId="39BC1420" w14:textId="35E3C7DF" w:rsidR="00141F0F" w:rsidRPr="004E70CE" w:rsidRDefault="009A3EB1"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sz w:val="18"/>
                <w:szCs w:val="18"/>
              </w:rPr>
              <w:t>0-1</w:t>
            </w:r>
            <w:r w:rsidR="00141F0F" w:rsidRPr="004E70CE">
              <w:rPr>
                <w:rFonts w:ascii="Calibri" w:hAnsi="Calibri" w:cs="Calibri"/>
                <w:sz w:val="18"/>
                <w:szCs w:val="18"/>
              </w:rPr>
              <w:t>%</w:t>
            </w:r>
          </w:p>
        </w:tc>
        <w:tc>
          <w:tcPr>
            <w:tcW w:w="1275" w:type="dxa"/>
            <w:noWrap/>
            <w:vAlign w:val="center"/>
            <w:hideMark/>
          </w:tcPr>
          <w:p w14:paraId="7F5CF0F4" w14:textId="457319D1" w:rsidR="00141F0F" w:rsidRPr="004E70CE" w:rsidRDefault="007B2710"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Calibri" w:hAnsi="Calibri" w:cs="Calibri"/>
                <w:sz w:val="18"/>
                <w:szCs w:val="18"/>
              </w:rPr>
              <w:t>0-0.2</w:t>
            </w:r>
          </w:p>
        </w:tc>
        <w:tc>
          <w:tcPr>
            <w:tcW w:w="1049" w:type="dxa"/>
            <w:noWrap/>
            <w:vAlign w:val="center"/>
            <w:hideMark/>
          </w:tcPr>
          <w:p w14:paraId="2B94BEF9"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sz w:val="18"/>
                <w:szCs w:val="18"/>
              </w:rPr>
              <w:t xml:space="preserve">-2.8   </w:t>
            </w:r>
          </w:p>
        </w:tc>
        <w:tc>
          <w:tcPr>
            <w:tcW w:w="1247" w:type="dxa"/>
            <w:noWrap/>
            <w:vAlign w:val="center"/>
            <w:hideMark/>
          </w:tcPr>
          <w:p w14:paraId="046F1387" w14:textId="77777777" w:rsidR="00141F0F" w:rsidRPr="004E70CE" w:rsidRDefault="0059089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sz w:val="18"/>
                <w:szCs w:val="18"/>
              </w:rPr>
              <w:t>75</w:t>
            </w:r>
            <w:r w:rsidR="00141F0F" w:rsidRPr="004E70CE">
              <w:rPr>
                <w:rFonts w:ascii="Calibri" w:hAnsi="Calibri" w:cs="Calibri"/>
                <w:sz w:val="18"/>
                <w:szCs w:val="18"/>
              </w:rPr>
              <w:t>%</w:t>
            </w:r>
          </w:p>
        </w:tc>
        <w:tc>
          <w:tcPr>
            <w:tcW w:w="1248" w:type="dxa"/>
            <w:noWrap/>
            <w:vAlign w:val="center"/>
            <w:hideMark/>
          </w:tcPr>
          <w:p w14:paraId="344CD6F2" w14:textId="7E779278"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sz w:val="18"/>
                <w:szCs w:val="18"/>
              </w:rPr>
              <w:t xml:space="preserve">0%   </w:t>
            </w:r>
          </w:p>
        </w:tc>
      </w:tr>
      <w:tr w:rsidR="000C3396" w:rsidRPr="004E70CE" w14:paraId="3E8C7975"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36403F39" w14:textId="77777777" w:rsidR="00141F0F" w:rsidRPr="004E70CE" w:rsidRDefault="00141F0F" w:rsidP="00141F0F">
            <w:pPr>
              <w:spacing w:after="0" w:line="240" w:lineRule="auto"/>
              <w:rPr>
                <w:rFonts w:cstheme="minorHAnsi"/>
                <w:sz w:val="18"/>
                <w:szCs w:val="18"/>
              </w:rPr>
            </w:pPr>
            <w:r w:rsidRPr="004E70CE">
              <w:rPr>
                <w:rFonts w:ascii="Calibri" w:hAnsi="Calibri" w:cs="Calibri"/>
                <w:color w:val="000000"/>
                <w:sz w:val="18"/>
                <w:szCs w:val="18"/>
              </w:rPr>
              <w:t>Glass: Flat glass</w:t>
            </w:r>
          </w:p>
        </w:tc>
        <w:tc>
          <w:tcPr>
            <w:tcW w:w="1134" w:type="dxa"/>
            <w:noWrap/>
            <w:vAlign w:val="center"/>
            <w:hideMark/>
          </w:tcPr>
          <w:p w14:paraId="59C6430D" w14:textId="4C3B0B57" w:rsidR="00141F0F" w:rsidRPr="004E70CE" w:rsidRDefault="009A3EB1"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0-1</w:t>
            </w:r>
            <w:r w:rsidR="00A01677" w:rsidRPr="004E70CE">
              <w:rPr>
                <w:rFonts w:ascii="Calibri" w:hAnsi="Calibri" w:cs="Calibri"/>
                <w:color w:val="000000"/>
                <w:sz w:val="18"/>
                <w:szCs w:val="18"/>
              </w:rPr>
              <w:t>%</w:t>
            </w:r>
          </w:p>
        </w:tc>
        <w:tc>
          <w:tcPr>
            <w:tcW w:w="1275" w:type="dxa"/>
            <w:noWrap/>
            <w:vAlign w:val="center"/>
            <w:hideMark/>
          </w:tcPr>
          <w:p w14:paraId="2607364C" w14:textId="2F4BFDCF" w:rsidR="00141F0F" w:rsidRPr="004E70CE" w:rsidRDefault="007B2710"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Calibri" w:hAnsi="Calibri" w:cs="Calibri"/>
                <w:color w:val="000000"/>
                <w:sz w:val="18"/>
                <w:szCs w:val="18"/>
              </w:rPr>
              <w:t>0-0.2</w:t>
            </w:r>
          </w:p>
        </w:tc>
        <w:tc>
          <w:tcPr>
            <w:tcW w:w="1049" w:type="dxa"/>
            <w:noWrap/>
            <w:vAlign w:val="center"/>
            <w:hideMark/>
          </w:tcPr>
          <w:p w14:paraId="7DBABCA6"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 xml:space="preserve">-1.3   </w:t>
            </w:r>
          </w:p>
        </w:tc>
        <w:tc>
          <w:tcPr>
            <w:tcW w:w="1247" w:type="dxa"/>
            <w:noWrap/>
            <w:vAlign w:val="center"/>
            <w:hideMark/>
          </w:tcPr>
          <w:p w14:paraId="7FE43199"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100%</w:t>
            </w:r>
          </w:p>
        </w:tc>
        <w:tc>
          <w:tcPr>
            <w:tcW w:w="1248" w:type="dxa"/>
            <w:noWrap/>
            <w:vAlign w:val="center"/>
            <w:hideMark/>
          </w:tcPr>
          <w:p w14:paraId="704FC02D" w14:textId="102EEB4A" w:rsidR="00141F0F" w:rsidRPr="004E70CE" w:rsidRDefault="00A01677"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0%</w:t>
            </w:r>
            <w:r w:rsidR="00141F0F" w:rsidRPr="004E70CE">
              <w:rPr>
                <w:rFonts w:ascii="Calibri" w:hAnsi="Calibri" w:cs="Calibri"/>
                <w:color w:val="000000"/>
                <w:sz w:val="18"/>
                <w:szCs w:val="18"/>
              </w:rPr>
              <w:t xml:space="preserve">   </w:t>
            </w:r>
          </w:p>
        </w:tc>
      </w:tr>
      <w:tr w:rsidR="000C3396" w:rsidRPr="004E70CE" w14:paraId="3CEEE35B"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E1C41C4" w14:textId="77777777" w:rsidR="00141F0F" w:rsidRPr="004E70CE" w:rsidRDefault="00141F0F" w:rsidP="00141F0F">
            <w:pPr>
              <w:spacing w:after="0" w:line="240" w:lineRule="auto"/>
              <w:rPr>
                <w:rFonts w:cstheme="minorHAnsi"/>
                <w:sz w:val="18"/>
                <w:szCs w:val="18"/>
              </w:rPr>
            </w:pPr>
            <w:r w:rsidRPr="004E70CE">
              <w:rPr>
                <w:rFonts w:ascii="Calibri" w:hAnsi="Calibri" w:cs="Calibri"/>
                <w:color w:val="000000"/>
                <w:sz w:val="18"/>
                <w:szCs w:val="18"/>
              </w:rPr>
              <w:t>Glass: Glass containers</w:t>
            </w:r>
          </w:p>
        </w:tc>
        <w:tc>
          <w:tcPr>
            <w:tcW w:w="1134" w:type="dxa"/>
            <w:noWrap/>
            <w:vAlign w:val="center"/>
            <w:hideMark/>
          </w:tcPr>
          <w:p w14:paraId="0D13C1E4" w14:textId="2955517B" w:rsidR="00141F0F" w:rsidRPr="004E70CE" w:rsidRDefault="009A3EB1"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0-1</w:t>
            </w:r>
            <w:r w:rsidR="00141F0F" w:rsidRPr="004E70CE">
              <w:rPr>
                <w:rFonts w:ascii="Calibri" w:hAnsi="Calibri" w:cs="Calibri"/>
                <w:color w:val="000000"/>
                <w:sz w:val="18"/>
                <w:szCs w:val="18"/>
              </w:rPr>
              <w:t>%</w:t>
            </w:r>
          </w:p>
        </w:tc>
        <w:tc>
          <w:tcPr>
            <w:tcW w:w="1275" w:type="dxa"/>
            <w:noWrap/>
            <w:vAlign w:val="center"/>
            <w:hideMark/>
          </w:tcPr>
          <w:p w14:paraId="4A01F875" w14:textId="7B040AE4" w:rsidR="00141F0F" w:rsidRPr="004E70CE" w:rsidRDefault="007B2710"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Calibri" w:hAnsi="Calibri" w:cs="Calibri"/>
                <w:color w:val="000000"/>
                <w:sz w:val="18"/>
                <w:szCs w:val="18"/>
              </w:rPr>
              <w:t>0.2-0.4</w:t>
            </w:r>
          </w:p>
        </w:tc>
        <w:tc>
          <w:tcPr>
            <w:tcW w:w="1049" w:type="dxa"/>
            <w:noWrap/>
            <w:vAlign w:val="center"/>
            <w:hideMark/>
          </w:tcPr>
          <w:p w14:paraId="48A575EC"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 xml:space="preserve">-8.5   </w:t>
            </w:r>
          </w:p>
        </w:tc>
        <w:tc>
          <w:tcPr>
            <w:tcW w:w="1247" w:type="dxa"/>
            <w:noWrap/>
            <w:vAlign w:val="center"/>
            <w:hideMark/>
          </w:tcPr>
          <w:p w14:paraId="0EA9BB46"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44%</w:t>
            </w:r>
          </w:p>
        </w:tc>
        <w:tc>
          <w:tcPr>
            <w:tcW w:w="1248" w:type="dxa"/>
            <w:noWrap/>
            <w:vAlign w:val="center"/>
            <w:hideMark/>
          </w:tcPr>
          <w:p w14:paraId="20822C6C" w14:textId="6FF49164" w:rsidR="00141F0F" w:rsidRPr="004E70CE" w:rsidRDefault="002B1350"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1</w:t>
            </w:r>
            <w:r w:rsidR="00141F0F" w:rsidRPr="004E70CE">
              <w:rPr>
                <w:rFonts w:ascii="Calibri" w:hAnsi="Calibri" w:cs="Calibri"/>
                <w:color w:val="000000"/>
                <w:sz w:val="18"/>
                <w:szCs w:val="18"/>
              </w:rPr>
              <w:t xml:space="preserve">%   </w:t>
            </w:r>
          </w:p>
        </w:tc>
      </w:tr>
      <w:tr w:rsidR="000C3396" w:rsidRPr="004E70CE" w14:paraId="45A71DF9"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3394F5C6" w14:textId="77777777" w:rsidR="00141F0F" w:rsidRPr="004E70CE" w:rsidRDefault="00141F0F" w:rsidP="00141F0F">
            <w:pPr>
              <w:spacing w:after="0" w:line="240" w:lineRule="auto"/>
              <w:rPr>
                <w:rFonts w:cstheme="minorHAnsi"/>
                <w:sz w:val="18"/>
                <w:szCs w:val="18"/>
              </w:rPr>
            </w:pPr>
            <w:r w:rsidRPr="004E70CE">
              <w:rPr>
                <w:rFonts w:ascii="Calibri" w:hAnsi="Calibri" w:cs="Calibri"/>
                <w:color w:val="000000"/>
                <w:sz w:val="18"/>
                <w:szCs w:val="18"/>
              </w:rPr>
              <w:t>Pulp and paper</w:t>
            </w:r>
          </w:p>
        </w:tc>
        <w:tc>
          <w:tcPr>
            <w:tcW w:w="1134" w:type="dxa"/>
            <w:noWrap/>
            <w:vAlign w:val="center"/>
            <w:hideMark/>
          </w:tcPr>
          <w:p w14:paraId="74A56CFE" w14:textId="147AA7E3" w:rsidR="00141F0F" w:rsidRPr="004E70CE" w:rsidRDefault="009A3EB1"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1-3</w:t>
            </w:r>
            <w:r w:rsidR="00141F0F" w:rsidRPr="004E70CE">
              <w:rPr>
                <w:rFonts w:ascii="Calibri" w:hAnsi="Calibri" w:cs="Calibri"/>
                <w:color w:val="000000"/>
                <w:sz w:val="18"/>
                <w:szCs w:val="18"/>
              </w:rPr>
              <w:t>%</w:t>
            </w:r>
          </w:p>
        </w:tc>
        <w:tc>
          <w:tcPr>
            <w:tcW w:w="1275" w:type="dxa"/>
            <w:noWrap/>
            <w:vAlign w:val="center"/>
            <w:hideMark/>
          </w:tcPr>
          <w:p w14:paraId="095331BB" w14:textId="00D0584C" w:rsidR="00141F0F" w:rsidRPr="004E70CE" w:rsidRDefault="007B2710"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Calibri" w:hAnsi="Calibri" w:cs="Calibri"/>
                <w:color w:val="000000"/>
                <w:sz w:val="18"/>
                <w:szCs w:val="18"/>
              </w:rPr>
              <w:t>0.4-0.6</w:t>
            </w:r>
          </w:p>
        </w:tc>
        <w:tc>
          <w:tcPr>
            <w:tcW w:w="1049" w:type="dxa"/>
            <w:noWrap/>
            <w:vAlign w:val="center"/>
            <w:hideMark/>
          </w:tcPr>
          <w:p w14:paraId="57A7844F"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 xml:space="preserve">-0.8   </w:t>
            </w:r>
          </w:p>
        </w:tc>
        <w:tc>
          <w:tcPr>
            <w:tcW w:w="1247" w:type="dxa"/>
            <w:noWrap/>
            <w:vAlign w:val="center"/>
            <w:hideMark/>
          </w:tcPr>
          <w:p w14:paraId="508BBF70"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52%</w:t>
            </w:r>
          </w:p>
        </w:tc>
        <w:tc>
          <w:tcPr>
            <w:tcW w:w="1248" w:type="dxa"/>
            <w:noWrap/>
            <w:vAlign w:val="center"/>
            <w:hideMark/>
          </w:tcPr>
          <w:p w14:paraId="1C3C0561" w14:textId="23BAD6EF" w:rsidR="00141F0F" w:rsidRPr="004E70CE" w:rsidRDefault="002B1350"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0</w:t>
            </w:r>
            <w:r w:rsidR="00141F0F" w:rsidRPr="004E70CE">
              <w:rPr>
                <w:rFonts w:ascii="Calibri" w:hAnsi="Calibri" w:cs="Calibri"/>
                <w:color w:val="000000"/>
                <w:sz w:val="18"/>
                <w:szCs w:val="18"/>
              </w:rPr>
              <w:t xml:space="preserve">%   </w:t>
            </w:r>
          </w:p>
        </w:tc>
      </w:tr>
      <w:tr w:rsidR="000C3396" w:rsidRPr="004E70CE" w14:paraId="68A95ABB"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3735BB17" w14:textId="77777777" w:rsidR="00141F0F" w:rsidRPr="004E70CE" w:rsidRDefault="00141F0F" w:rsidP="00141F0F">
            <w:pPr>
              <w:spacing w:after="0" w:line="240" w:lineRule="auto"/>
              <w:rPr>
                <w:rFonts w:cstheme="minorHAnsi"/>
                <w:sz w:val="18"/>
                <w:szCs w:val="18"/>
              </w:rPr>
            </w:pPr>
            <w:r w:rsidRPr="004E70CE">
              <w:rPr>
                <w:rFonts w:ascii="Calibri" w:hAnsi="Calibri" w:cs="Calibri"/>
                <w:color w:val="000000"/>
                <w:sz w:val="18"/>
                <w:szCs w:val="18"/>
              </w:rPr>
              <w:t>Polyethylene</w:t>
            </w:r>
          </w:p>
        </w:tc>
        <w:tc>
          <w:tcPr>
            <w:tcW w:w="1134" w:type="dxa"/>
            <w:noWrap/>
            <w:vAlign w:val="center"/>
            <w:hideMark/>
          </w:tcPr>
          <w:p w14:paraId="23572ED5" w14:textId="51D450AF" w:rsidR="00141F0F" w:rsidRPr="004E70CE" w:rsidRDefault="009A3EB1"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0-1</w:t>
            </w:r>
            <w:r w:rsidR="00141F0F" w:rsidRPr="004E70CE">
              <w:rPr>
                <w:rFonts w:ascii="Calibri" w:hAnsi="Calibri" w:cs="Calibri"/>
                <w:color w:val="000000"/>
                <w:sz w:val="18"/>
                <w:szCs w:val="18"/>
              </w:rPr>
              <w:t>%</w:t>
            </w:r>
          </w:p>
        </w:tc>
        <w:tc>
          <w:tcPr>
            <w:tcW w:w="1275" w:type="dxa"/>
            <w:noWrap/>
            <w:vAlign w:val="center"/>
            <w:hideMark/>
          </w:tcPr>
          <w:p w14:paraId="62AC742C" w14:textId="247F5CE1" w:rsidR="00141F0F" w:rsidRPr="004E70CE" w:rsidRDefault="007B2710"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Calibri" w:hAnsi="Calibri" w:cs="Calibri"/>
                <w:color w:val="000000"/>
                <w:sz w:val="18"/>
                <w:szCs w:val="18"/>
              </w:rPr>
              <w:t>1.0-1.2</w:t>
            </w:r>
          </w:p>
        </w:tc>
        <w:tc>
          <w:tcPr>
            <w:tcW w:w="1049" w:type="dxa"/>
            <w:noWrap/>
            <w:vAlign w:val="center"/>
            <w:hideMark/>
          </w:tcPr>
          <w:p w14:paraId="0CF1B12D"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 xml:space="preserve">-0.5   </w:t>
            </w:r>
          </w:p>
        </w:tc>
        <w:tc>
          <w:tcPr>
            <w:tcW w:w="1247" w:type="dxa"/>
            <w:noWrap/>
            <w:vAlign w:val="center"/>
            <w:hideMark/>
          </w:tcPr>
          <w:p w14:paraId="2F26C21F"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100%</w:t>
            </w:r>
          </w:p>
        </w:tc>
        <w:tc>
          <w:tcPr>
            <w:tcW w:w="1248" w:type="dxa"/>
            <w:noWrap/>
            <w:vAlign w:val="center"/>
            <w:hideMark/>
          </w:tcPr>
          <w:p w14:paraId="7CF1F0A1" w14:textId="7DD1D608"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 xml:space="preserve">0%   </w:t>
            </w:r>
          </w:p>
        </w:tc>
      </w:tr>
      <w:tr w:rsidR="000C3396" w:rsidRPr="004E70CE" w14:paraId="2683AEC7"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440A96B8" w14:textId="77777777" w:rsidR="00141F0F" w:rsidRPr="004E70CE" w:rsidRDefault="00141F0F" w:rsidP="00141F0F">
            <w:pPr>
              <w:spacing w:after="0" w:line="240" w:lineRule="auto"/>
              <w:rPr>
                <w:rFonts w:cstheme="minorHAnsi"/>
                <w:sz w:val="18"/>
                <w:szCs w:val="18"/>
              </w:rPr>
            </w:pPr>
            <w:r w:rsidRPr="004E70CE">
              <w:rPr>
                <w:rFonts w:ascii="Calibri" w:hAnsi="Calibri" w:cs="Calibri"/>
                <w:sz w:val="18"/>
                <w:szCs w:val="18"/>
              </w:rPr>
              <w:t>Energy: LNG</w:t>
            </w:r>
          </w:p>
        </w:tc>
        <w:tc>
          <w:tcPr>
            <w:tcW w:w="1134" w:type="dxa"/>
            <w:noWrap/>
            <w:vAlign w:val="center"/>
            <w:hideMark/>
          </w:tcPr>
          <w:p w14:paraId="6544E210" w14:textId="69961066" w:rsidR="00141F0F" w:rsidRPr="004E70CE" w:rsidRDefault="009A3EB1"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sz w:val="18"/>
                <w:szCs w:val="18"/>
              </w:rPr>
              <w:t>1-3</w:t>
            </w:r>
            <w:r w:rsidR="00141F0F" w:rsidRPr="004E70CE">
              <w:rPr>
                <w:rFonts w:ascii="Calibri" w:hAnsi="Calibri" w:cs="Calibri"/>
                <w:sz w:val="18"/>
                <w:szCs w:val="18"/>
              </w:rPr>
              <w:t>%</w:t>
            </w:r>
          </w:p>
        </w:tc>
        <w:tc>
          <w:tcPr>
            <w:tcW w:w="1275" w:type="dxa"/>
            <w:noWrap/>
            <w:vAlign w:val="center"/>
            <w:hideMark/>
          </w:tcPr>
          <w:p w14:paraId="1EA17C1F" w14:textId="5DC07A63" w:rsidR="00141F0F" w:rsidRPr="004E70CE" w:rsidRDefault="007B2710"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Calibri" w:hAnsi="Calibri" w:cs="Calibri"/>
                <w:sz w:val="18"/>
                <w:szCs w:val="18"/>
              </w:rPr>
              <w:t>0-0.2</w:t>
            </w:r>
          </w:p>
        </w:tc>
        <w:tc>
          <w:tcPr>
            <w:tcW w:w="1049" w:type="dxa"/>
            <w:noWrap/>
            <w:vAlign w:val="center"/>
            <w:hideMark/>
          </w:tcPr>
          <w:p w14:paraId="342371DA"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sz w:val="18"/>
                <w:szCs w:val="18"/>
              </w:rPr>
              <w:t xml:space="preserve">-0.3   </w:t>
            </w:r>
          </w:p>
        </w:tc>
        <w:tc>
          <w:tcPr>
            <w:tcW w:w="1247" w:type="dxa"/>
            <w:noWrap/>
            <w:vAlign w:val="center"/>
            <w:hideMark/>
          </w:tcPr>
          <w:p w14:paraId="4ED381B3"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sz w:val="18"/>
                <w:szCs w:val="18"/>
              </w:rPr>
              <w:t>9</w:t>
            </w:r>
            <w:r w:rsidR="007B10F0" w:rsidRPr="004E70CE">
              <w:rPr>
                <w:rFonts w:ascii="Calibri" w:hAnsi="Calibri" w:cs="Calibri"/>
                <w:sz w:val="18"/>
                <w:szCs w:val="18"/>
              </w:rPr>
              <w:t>6</w:t>
            </w:r>
            <w:r w:rsidRPr="004E70CE">
              <w:rPr>
                <w:rFonts w:ascii="Calibri" w:hAnsi="Calibri" w:cs="Calibri"/>
                <w:sz w:val="18"/>
                <w:szCs w:val="18"/>
              </w:rPr>
              <w:t>%</w:t>
            </w:r>
          </w:p>
        </w:tc>
        <w:tc>
          <w:tcPr>
            <w:tcW w:w="1248" w:type="dxa"/>
            <w:noWrap/>
            <w:vAlign w:val="center"/>
            <w:hideMark/>
          </w:tcPr>
          <w:p w14:paraId="23239123" w14:textId="3D000F5E"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sz w:val="18"/>
                <w:szCs w:val="18"/>
              </w:rPr>
              <w:t xml:space="preserve">0%   </w:t>
            </w:r>
          </w:p>
        </w:tc>
      </w:tr>
      <w:tr w:rsidR="000C3396" w:rsidRPr="004E70CE" w14:paraId="0F18E9D2"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4D4D193" w14:textId="77777777" w:rsidR="00141F0F" w:rsidRPr="004E70CE" w:rsidRDefault="00141F0F" w:rsidP="00141F0F">
            <w:pPr>
              <w:spacing w:after="0" w:line="240" w:lineRule="auto"/>
              <w:rPr>
                <w:rFonts w:cstheme="minorHAnsi"/>
                <w:sz w:val="18"/>
                <w:szCs w:val="18"/>
              </w:rPr>
            </w:pPr>
            <w:r w:rsidRPr="004E70CE">
              <w:rPr>
                <w:rFonts w:ascii="Calibri" w:hAnsi="Calibri" w:cs="Calibri"/>
                <w:sz w:val="18"/>
                <w:szCs w:val="18"/>
              </w:rPr>
              <w:t>Energy: Ethane and LPG</w:t>
            </w:r>
          </w:p>
        </w:tc>
        <w:tc>
          <w:tcPr>
            <w:tcW w:w="1134" w:type="dxa"/>
            <w:noWrap/>
            <w:vAlign w:val="center"/>
            <w:hideMark/>
          </w:tcPr>
          <w:p w14:paraId="1378C09C" w14:textId="137D8221" w:rsidR="00141F0F" w:rsidRPr="004E70CE" w:rsidRDefault="009A3EB1"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sz w:val="18"/>
                <w:szCs w:val="18"/>
              </w:rPr>
              <w:t>0-1</w:t>
            </w:r>
            <w:r w:rsidR="00141F0F" w:rsidRPr="004E70CE">
              <w:rPr>
                <w:rFonts w:ascii="Calibri" w:hAnsi="Calibri" w:cs="Calibri"/>
                <w:sz w:val="18"/>
                <w:szCs w:val="18"/>
              </w:rPr>
              <w:t>%</w:t>
            </w:r>
          </w:p>
        </w:tc>
        <w:tc>
          <w:tcPr>
            <w:tcW w:w="1275" w:type="dxa"/>
            <w:noWrap/>
            <w:vAlign w:val="center"/>
            <w:hideMark/>
          </w:tcPr>
          <w:p w14:paraId="1A81C9BC" w14:textId="4C23F07B" w:rsidR="00141F0F" w:rsidRPr="004E70CE" w:rsidRDefault="007B2710"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Calibri" w:hAnsi="Calibri" w:cs="Calibri"/>
                <w:sz w:val="18"/>
                <w:szCs w:val="18"/>
              </w:rPr>
              <w:t>0.2-0.4</w:t>
            </w:r>
          </w:p>
        </w:tc>
        <w:tc>
          <w:tcPr>
            <w:tcW w:w="1049" w:type="dxa"/>
            <w:noWrap/>
            <w:vAlign w:val="center"/>
            <w:hideMark/>
          </w:tcPr>
          <w:p w14:paraId="0024F975"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sz w:val="18"/>
                <w:szCs w:val="18"/>
              </w:rPr>
              <w:t xml:space="preserve">-4.4   </w:t>
            </w:r>
          </w:p>
        </w:tc>
        <w:tc>
          <w:tcPr>
            <w:tcW w:w="1247" w:type="dxa"/>
            <w:noWrap/>
            <w:vAlign w:val="center"/>
            <w:hideMark/>
          </w:tcPr>
          <w:p w14:paraId="2582ADE9"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sz w:val="18"/>
                <w:szCs w:val="18"/>
              </w:rPr>
              <w:t>98%</w:t>
            </w:r>
          </w:p>
        </w:tc>
        <w:tc>
          <w:tcPr>
            <w:tcW w:w="1248" w:type="dxa"/>
            <w:noWrap/>
            <w:vAlign w:val="center"/>
            <w:hideMark/>
          </w:tcPr>
          <w:p w14:paraId="21568429" w14:textId="75F20B4D"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sz w:val="18"/>
                <w:szCs w:val="18"/>
              </w:rPr>
              <w:t xml:space="preserve">0%   </w:t>
            </w:r>
          </w:p>
        </w:tc>
      </w:tr>
      <w:tr w:rsidR="000C3396" w:rsidRPr="004E70CE" w14:paraId="5F9AB8FA"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49CED75C" w14:textId="77777777" w:rsidR="00141F0F" w:rsidRPr="004E70CE" w:rsidRDefault="00141F0F" w:rsidP="00141F0F">
            <w:pPr>
              <w:spacing w:after="0" w:line="240" w:lineRule="auto"/>
              <w:rPr>
                <w:rFonts w:cstheme="minorHAnsi"/>
                <w:sz w:val="18"/>
                <w:szCs w:val="18"/>
              </w:rPr>
            </w:pPr>
            <w:r w:rsidRPr="004E70CE">
              <w:rPr>
                <w:rFonts w:ascii="Calibri" w:hAnsi="Calibri" w:cs="Calibri"/>
                <w:color w:val="000000"/>
                <w:sz w:val="18"/>
                <w:szCs w:val="18"/>
              </w:rPr>
              <w:t xml:space="preserve">Energy: </w:t>
            </w:r>
            <w:r w:rsidR="00106076" w:rsidRPr="004E70CE">
              <w:rPr>
                <w:rFonts w:ascii="Calibri" w:hAnsi="Calibri" w:cs="Calibri"/>
                <w:color w:val="000000"/>
                <w:sz w:val="18"/>
                <w:szCs w:val="18"/>
              </w:rPr>
              <w:t>Other refined p</w:t>
            </w:r>
            <w:r w:rsidRPr="004E70CE">
              <w:rPr>
                <w:rFonts w:ascii="Calibri" w:hAnsi="Calibri" w:cs="Calibri"/>
                <w:color w:val="000000"/>
                <w:sz w:val="18"/>
                <w:szCs w:val="18"/>
              </w:rPr>
              <w:t>etroleum</w:t>
            </w:r>
          </w:p>
        </w:tc>
        <w:tc>
          <w:tcPr>
            <w:tcW w:w="1134" w:type="dxa"/>
            <w:noWrap/>
            <w:vAlign w:val="center"/>
            <w:hideMark/>
          </w:tcPr>
          <w:p w14:paraId="1F28B57F" w14:textId="1675E529" w:rsidR="00141F0F" w:rsidRPr="004E70CE" w:rsidRDefault="009A3EB1"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themeColor="text1"/>
                <w:sz w:val="18"/>
                <w:szCs w:val="18"/>
              </w:rPr>
              <w:t>0-1</w:t>
            </w:r>
            <w:r w:rsidR="00141F0F" w:rsidRPr="004E70CE">
              <w:rPr>
                <w:rFonts w:ascii="Calibri" w:hAnsi="Calibri" w:cs="Calibri"/>
                <w:color w:val="000000" w:themeColor="text1"/>
                <w:sz w:val="18"/>
                <w:szCs w:val="18"/>
              </w:rPr>
              <w:t>%</w:t>
            </w:r>
          </w:p>
        </w:tc>
        <w:tc>
          <w:tcPr>
            <w:tcW w:w="1275" w:type="dxa"/>
            <w:noWrap/>
            <w:vAlign w:val="center"/>
            <w:hideMark/>
          </w:tcPr>
          <w:p w14:paraId="77C79124" w14:textId="02D8E5DF" w:rsidR="00141F0F" w:rsidRPr="004E70CE" w:rsidRDefault="007B2710"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Calibri" w:hAnsi="Calibri" w:cs="Calibri"/>
                <w:color w:val="000000"/>
                <w:sz w:val="18"/>
                <w:szCs w:val="18"/>
              </w:rPr>
              <w:t>3.0-3.2</w:t>
            </w:r>
          </w:p>
        </w:tc>
        <w:tc>
          <w:tcPr>
            <w:tcW w:w="1049" w:type="dxa"/>
            <w:noWrap/>
            <w:vAlign w:val="center"/>
            <w:hideMark/>
          </w:tcPr>
          <w:p w14:paraId="3E180146"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 xml:space="preserve">-0.3   </w:t>
            </w:r>
          </w:p>
        </w:tc>
        <w:tc>
          <w:tcPr>
            <w:tcW w:w="1247" w:type="dxa"/>
            <w:noWrap/>
            <w:vAlign w:val="center"/>
            <w:hideMark/>
          </w:tcPr>
          <w:p w14:paraId="39F5A330"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97%</w:t>
            </w:r>
          </w:p>
        </w:tc>
        <w:tc>
          <w:tcPr>
            <w:tcW w:w="1248" w:type="dxa"/>
            <w:noWrap/>
            <w:vAlign w:val="center"/>
            <w:hideMark/>
          </w:tcPr>
          <w:p w14:paraId="1F822A3A" w14:textId="46B91B42"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 xml:space="preserve">0%   </w:t>
            </w:r>
          </w:p>
        </w:tc>
      </w:tr>
      <w:tr w:rsidR="000C3396" w:rsidRPr="004E70CE" w14:paraId="3E1535F9"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4DB73AB7" w14:textId="77777777" w:rsidR="00141F0F" w:rsidRPr="004E70CE" w:rsidRDefault="00141F0F" w:rsidP="00141F0F">
            <w:pPr>
              <w:spacing w:after="0" w:line="240" w:lineRule="auto"/>
              <w:rPr>
                <w:rFonts w:cstheme="minorHAnsi"/>
                <w:sz w:val="18"/>
                <w:szCs w:val="18"/>
              </w:rPr>
            </w:pPr>
            <w:r w:rsidRPr="004E70CE">
              <w:rPr>
                <w:rFonts w:ascii="Calibri" w:hAnsi="Calibri" w:cs="Calibri"/>
                <w:color w:val="000000"/>
                <w:sz w:val="18"/>
                <w:szCs w:val="18"/>
              </w:rPr>
              <w:t>Energy: Crude oil</w:t>
            </w:r>
          </w:p>
        </w:tc>
        <w:tc>
          <w:tcPr>
            <w:tcW w:w="1134" w:type="dxa"/>
            <w:noWrap/>
            <w:vAlign w:val="center"/>
            <w:hideMark/>
          </w:tcPr>
          <w:p w14:paraId="09546DE7" w14:textId="286B97F8" w:rsidR="00141F0F" w:rsidRPr="004E70CE" w:rsidRDefault="009A3EB1"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themeColor="text1"/>
                <w:sz w:val="18"/>
                <w:szCs w:val="18"/>
              </w:rPr>
              <w:t>0-1</w:t>
            </w:r>
            <w:r w:rsidR="5B55F212" w:rsidRPr="004E70CE">
              <w:rPr>
                <w:rFonts w:ascii="Calibri" w:hAnsi="Calibri" w:cs="Calibri"/>
                <w:color w:val="000000" w:themeColor="text1"/>
                <w:sz w:val="18"/>
                <w:szCs w:val="18"/>
              </w:rPr>
              <w:t>%</w:t>
            </w:r>
          </w:p>
        </w:tc>
        <w:tc>
          <w:tcPr>
            <w:tcW w:w="1275" w:type="dxa"/>
            <w:noWrap/>
            <w:vAlign w:val="center"/>
            <w:hideMark/>
          </w:tcPr>
          <w:p w14:paraId="0708EE38" w14:textId="047B28A3" w:rsidR="00141F0F" w:rsidRPr="004E70CE" w:rsidRDefault="007B2710"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Calibri" w:hAnsi="Calibri" w:cs="Calibri"/>
                <w:color w:val="000000"/>
                <w:sz w:val="18"/>
                <w:szCs w:val="18"/>
              </w:rPr>
              <w:t>0.8-1.0</w:t>
            </w:r>
          </w:p>
        </w:tc>
        <w:tc>
          <w:tcPr>
            <w:tcW w:w="1049" w:type="dxa"/>
            <w:noWrap/>
            <w:vAlign w:val="center"/>
            <w:hideMark/>
          </w:tcPr>
          <w:p w14:paraId="7CA78FC4"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 xml:space="preserve">-0.6   </w:t>
            </w:r>
          </w:p>
        </w:tc>
        <w:tc>
          <w:tcPr>
            <w:tcW w:w="1247" w:type="dxa"/>
            <w:noWrap/>
            <w:vAlign w:val="center"/>
            <w:hideMark/>
          </w:tcPr>
          <w:p w14:paraId="43433F99"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96%</w:t>
            </w:r>
          </w:p>
        </w:tc>
        <w:tc>
          <w:tcPr>
            <w:tcW w:w="1248" w:type="dxa"/>
            <w:noWrap/>
            <w:vAlign w:val="center"/>
            <w:hideMark/>
          </w:tcPr>
          <w:p w14:paraId="05EBB1EB" w14:textId="3E7239F9" w:rsidR="00141F0F" w:rsidRPr="004E70CE" w:rsidRDefault="4508F4C8"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themeColor="text1"/>
                <w:sz w:val="18"/>
                <w:szCs w:val="18"/>
              </w:rPr>
              <w:t>0%</w:t>
            </w:r>
          </w:p>
        </w:tc>
      </w:tr>
      <w:tr w:rsidR="000C3396" w:rsidRPr="004E70CE" w14:paraId="589F6215"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4EC474BD" w14:textId="77777777" w:rsidR="00141F0F" w:rsidRPr="004E70CE" w:rsidRDefault="00141F0F" w:rsidP="00141F0F">
            <w:pPr>
              <w:spacing w:after="0" w:line="240" w:lineRule="auto"/>
              <w:rPr>
                <w:rFonts w:cstheme="minorHAnsi"/>
                <w:sz w:val="18"/>
                <w:szCs w:val="18"/>
              </w:rPr>
            </w:pPr>
            <w:r w:rsidRPr="004E70CE">
              <w:rPr>
                <w:rFonts w:ascii="Calibri" w:hAnsi="Calibri" w:cs="Calibri"/>
                <w:sz w:val="18"/>
                <w:szCs w:val="18"/>
              </w:rPr>
              <w:t>Energy: Coal</w:t>
            </w:r>
          </w:p>
        </w:tc>
        <w:tc>
          <w:tcPr>
            <w:tcW w:w="1134" w:type="dxa"/>
            <w:noWrap/>
            <w:vAlign w:val="center"/>
            <w:hideMark/>
          </w:tcPr>
          <w:p w14:paraId="61BF43FC" w14:textId="3F26E1C5" w:rsidR="00141F0F" w:rsidRPr="004E70CE" w:rsidRDefault="009A3EB1"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sz w:val="18"/>
                <w:szCs w:val="18"/>
              </w:rPr>
              <w:t>0-1</w:t>
            </w:r>
            <w:r w:rsidR="00141F0F" w:rsidRPr="004E70CE">
              <w:rPr>
                <w:rFonts w:ascii="Calibri" w:hAnsi="Calibri" w:cs="Calibri"/>
                <w:sz w:val="18"/>
                <w:szCs w:val="18"/>
              </w:rPr>
              <w:t>%</w:t>
            </w:r>
          </w:p>
        </w:tc>
        <w:tc>
          <w:tcPr>
            <w:tcW w:w="1275" w:type="dxa"/>
            <w:noWrap/>
            <w:vAlign w:val="center"/>
            <w:hideMark/>
          </w:tcPr>
          <w:p w14:paraId="01A005C6" w14:textId="42428F9F" w:rsidR="00141F0F" w:rsidRPr="004E70CE" w:rsidRDefault="007B2710"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Calibri" w:hAnsi="Calibri" w:cs="Calibri"/>
                <w:sz w:val="18"/>
                <w:szCs w:val="18"/>
              </w:rPr>
              <w:t>0-0.2</w:t>
            </w:r>
          </w:p>
        </w:tc>
        <w:tc>
          <w:tcPr>
            <w:tcW w:w="1049" w:type="dxa"/>
            <w:noWrap/>
            <w:vAlign w:val="center"/>
            <w:hideMark/>
          </w:tcPr>
          <w:p w14:paraId="730A2DA1"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sz w:val="18"/>
                <w:szCs w:val="18"/>
              </w:rPr>
              <w:t xml:space="preserve">-1.1   </w:t>
            </w:r>
          </w:p>
        </w:tc>
        <w:tc>
          <w:tcPr>
            <w:tcW w:w="1247" w:type="dxa"/>
            <w:noWrap/>
            <w:vAlign w:val="center"/>
            <w:hideMark/>
          </w:tcPr>
          <w:p w14:paraId="68857C3D"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sz w:val="18"/>
                <w:szCs w:val="18"/>
              </w:rPr>
              <w:t>95%</w:t>
            </w:r>
          </w:p>
        </w:tc>
        <w:tc>
          <w:tcPr>
            <w:tcW w:w="1248" w:type="dxa"/>
            <w:noWrap/>
            <w:vAlign w:val="center"/>
            <w:hideMark/>
          </w:tcPr>
          <w:p w14:paraId="63FC1430" w14:textId="51B01403"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sz w:val="18"/>
                <w:szCs w:val="18"/>
              </w:rPr>
              <w:t xml:space="preserve">0%   </w:t>
            </w:r>
          </w:p>
        </w:tc>
      </w:tr>
      <w:tr w:rsidR="000C3396" w:rsidRPr="004E70CE" w14:paraId="3FE3F6B6"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582A800" w14:textId="77777777" w:rsidR="00141F0F" w:rsidRPr="004E70CE" w:rsidRDefault="00141F0F" w:rsidP="00141F0F">
            <w:pPr>
              <w:spacing w:after="0" w:line="240" w:lineRule="auto"/>
              <w:rPr>
                <w:rFonts w:cstheme="minorHAnsi"/>
                <w:sz w:val="18"/>
                <w:szCs w:val="18"/>
              </w:rPr>
            </w:pPr>
            <w:r w:rsidRPr="004E70CE">
              <w:rPr>
                <w:rFonts w:ascii="Calibri" w:hAnsi="Calibri" w:cs="Calibri"/>
                <w:sz w:val="18"/>
                <w:szCs w:val="18"/>
              </w:rPr>
              <w:t>Iron ore</w:t>
            </w:r>
          </w:p>
        </w:tc>
        <w:tc>
          <w:tcPr>
            <w:tcW w:w="1134" w:type="dxa"/>
            <w:noWrap/>
            <w:vAlign w:val="center"/>
            <w:hideMark/>
          </w:tcPr>
          <w:p w14:paraId="3074092D" w14:textId="6AFCA1EF" w:rsidR="00141F0F" w:rsidRPr="004E70CE" w:rsidRDefault="009A3EB1"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sz w:val="18"/>
                <w:szCs w:val="18"/>
              </w:rPr>
              <w:t>0-1</w:t>
            </w:r>
            <w:r w:rsidR="00141F0F" w:rsidRPr="004E70CE">
              <w:rPr>
                <w:rFonts w:ascii="Calibri" w:hAnsi="Calibri" w:cs="Calibri"/>
                <w:sz w:val="18"/>
                <w:szCs w:val="18"/>
              </w:rPr>
              <w:t>%</w:t>
            </w:r>
          </w:p>
        </w:tc>
        <w:tc>
          <w:tcPr>
            <w:tcW w:w="1275" w:type="dxa"/>
            <w:noWrap/>
            <w:vAlign w:val="center"/>
            <w:hideMark/>
          </w:tcPr>
          <w:p w14:paraId="6E90E2E1" w14:textId="43E5E686" w:rsidR="00141F0F" w:rsidRPr="004E70CE" w:rsidRDefault="007B2710"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Calibri" w:hAnsi="Calibri" w:cs="Calibri"/>
                <w:sz w:val="18"/>
                <w:szCs w:val="18"/>
              </w:rPr>
              <w:t>0-0.2</w:t>
            </w:r>
          </w:p>
        </w:tc>
        <w:tc>
          <w:tcPr>
            <w:tcW w:w="1049" w:type="dxa"/>
            <w:noWrap/>
            <w:vAlign w:val="center"/>
            <w:hideMark/>
          </w:tcPr>
          <w:p w14:paraId="475CC248"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sz w:val="18"/>
                <w:szCs w:val="18"/>
              </w:rPr>
              <w:t>N/A</w:t>
            </w:r>
          </w:p>
        </w:tc>
        <w:tc>
          <w:tcPr>
            <w:tcW w:w="1247" w:type="dxa"/>
            <w:noWrap/>
            <w:vAlign w:val="center"/>
            <w:hideMark/>
          </w:tcPr>
          <w:p w14:paraId="4C961767"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sz w:val="18"/>
                <w:szCs w:val="18"/>
              </w:rPr>
              <w:t>9</w:t>
            </w:r>
            <w:r w:rsidR="0059089F" w:rsidRPr="004E70CE">
              <w:rPr>
                <w:rFonts w:ascii="Calibri" w:hAnsi="Calibri" w:cs="Calibri"/>
                <w:sz w:val="18"/>
                <w:szCs w:val="18"/>
              </w:rPr>
              <w:t>3</w:t>
            </w:r>
            <w:r w:rsidRPr="004E70CE">
              <w:rPr>
                <w:rFonts w:ascii="Calibri" w:hAnsi="Calibri" w:cs="Calibri"/>
                <w:sz w:val="18"/>
                <w:szCs w:val="18"/>
              </w:rPr>
              <w:t>%</w:t>
            </w:r>
          </w:p>
        </w:tc>
        <w:tc>
          <w:tcPr>
            <w:tcW w:w="1248" w:type="dxa"/>
            <w:noWrap/>
            <w:vAlign w:val="center"/>
            <w:hideMark/>
          </w:tcPr>
          <w:p w14:paraId="350C9CB1"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sz w:val="18"/>
                <w:szCs w:val="18"/>
              </w:rPr>
              <w:t>N/A</w:t>
            </w:r>
          </w:p>
        </w:tc>
      </w:tr>
      <w:tr w:rsidR="000C3396" w:rsidRPr="004E70CE" w14:paraId="7879B8D4"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77C77BD" w14:textId="77777777" w:rsidR="00141F0F" w:rsidRPr="004E70CE" w:rsidRDefault="00141F0F" w:rsidP="00141F0F">
            <w:pPr>
              <w:spacing w:after="0" w:line="240" w:lineRule="auto"/>
              <w:rPr>
                <w:rFonts w:cstheme="minorHAnsi"/>
                <w:sz w:val="18"/>
                <w:szCs w:val="18"/>
              </w:rPr>
            </w:pPr>
            <w:r w:rsidRPr="004E70CE">
              <w:rPr>
                <w:rFonts w:ascii="Calibri" w:hAnsi="Calibri" w:cs="Calibri"/>
                <w:sz w:val="18"/>
                <w:szCs w:val="18"/>
              </w:rPr>
              <w:t>Basic non-ferrous metal</w:t>
            </w:r>
          </w:p>
        </w:tc>
        <w:tc>
          <w:tcPr>
            <w:tcW w:w="1134" w:type="dxa"/>
            <w:noWrap/>
            <w:vAlign w:val="center"/>
            <w:hideMark/>
          </w:tcPr>
          <w:p w14:paraId="6D0A5C68" w14:textId="78DD4EC6" w:rsidR="00141F0F" w:rsidRPr="004E70CE" w:rsidRDefault="009A3EB1"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sz w:val="18"/>
                <w:szCs w:val="18"/>
              </w:rPr>
              <w:t>0-1</w:t>
            </w:r>
            <w:r w:rsidR="00141F0F" w:rsidRPr="004E70CE">
              <w:rPr>
                <w:rFonts w:ascii="Calibri" w:hAnsi="Calibri" w:cs="Calibri"/>
                <w:sz w:val="18"/>
                <w:szCs w:val="18"/>
              </w:rPr>
              <w:t>%</w:t>
            </w:r>
          </w:p>
        </w:tc>
        <w:tc>
          <w:tcPr>
            <w:tcW w:w="1275" w:type="dxa"/>
            <w:noWrap/>
            <w:vAlign w:val="center"/>
            <w:hideMark/>
          </w:tcPr>
          <w:p w14:paraId="4187FE50" w14:textId="7C3C7D2F" w:rsidR="00141F0F" w:rsidRPr="004E70CE" w:rsidRDefault="007B2710"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Calibri" w:hAnsi="Calibri" w:cs="Calibri"/>
                <w:sz w:val="18"/>
                <w:szCs w:val="18"/>
              </w:rPr>
              <w:t>0-0.2</w:t>
            </w:r>
          </w:p>
        </w:tc>
        <w:tc>
          <w:tcPr>
            <w:tcW w:w="1049" w:type="dxa"/>
            <w:noWrap/>
            <w:vAlign w:val="center"/>
            <w:hideMark/>
          </w:tcPr>
          <w:p w14:paraId="193418B5"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sz w:val="18"/>
                <w:szCs w:val="18"/>
              </w:rPr>
              <w:t>N/A</w:t>
            </w:r>
          </w:p>
        </w:tc>
        <w:tc>
          <w:tcPr>
            <w:tcW w:w="1247" w:type="dxa"/>
            <w:noWrap/>
            <w:vAlign w:val="center"/>
            <w:hideMark/>
          </w:tcPr>
          <w:p w14:paraId="7EA4A2D4"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sz w:val="18"/>
                <w:szCs w:val="18"/>
              </w:rPr>
              <w:t>90%</w:t>
            </w:r>
          </w:p>
        </w:tc>
        <w:tc>
          <w:tcPr>
            <w:tcW w:w="1248" w:type="dxa"/>
            <w:noWrap/>
            <w:vAlign w:val="center"/>
            <w:hideMark/>
          </w:tcPr>
          <w:p w14:paraId="0D079F5F"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sz w:val="18"/>
                <w:szCs w:val="18"/>
              </w:rPr>
              <w:t>N/A</w:t>
            </w:r>
          </w:p>
        </w:tc>
      </w:tr>
      <w:tr w:rsidR="000C3396" w:rsidRPr="004E70CE" w14:paraId="330F7688"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0B49B7E" w14:textId="5D23F2FF" w:rsidR="00141F0F" w:rsidRPr="004E70CE" w:rsidRDefault="00141F0F" w:rsidP="00141F0F">
            <w:pPr>
              <w:spacing w:after="0" w:line="240" w:lineRule="auto"/>
              <w:rPr>
                <w:rFonts w:cstheme="minorHAnsi"/>
                <w:sz w:val="18"/>
                <w:szCs w:val="18"/>
              </w:rPr>
            </w:pPr>
            <w:r w:rsidRPr="004E70CE">
              <w:rPr>
                <w:rFonts w:ascii="Calibri" w:hAnsi="Calibri" w:cs="Calibri"/>
                <w:sz w:val="18"/>
                <w:szCs w:val="18"/>
              </w:rPr>
              <w:t>Nickel</w:t>
            </w:r>
          </w:p>
        </w:tc>
        <w:tc>
          <w:tcPr>
            <w:tcW w:w="1134" w:type="dxa"/>
            <w:noWrap/>
            <w:vAlign w:val="center"/>
            <w:hideMark/>
          </w:tcPr>
          <w:p w14:paraId="5BBE21FD" w14:textId="472DFE39" w:rsidR="00141F0F" w:rsidRPr="004E70CE" w:rsidRDefault="009A3EB1"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sz w:val="18"/>
                <w:szCs w:val="18"/>
              </w:rPr>
              <w:t>1-3</w:t>
            </w:r>
            <w:r w:rsidR="00141F0F" w:rsidRPr="004E70CE">
              <w:rPr>
                <w:rFonts w:ascii="Calibri" w:hAnsi="Calibri" w:cs="Calibri"/>
                <w:sz w:val="18"/>
                <w:szCs w:val="18"/>
              </w:rPr>
              <w:t>%</w:t>
            </w:r>
          </w:p>
        </w:tc>
        <w:tc>
          <w:tcPr>
            <w:tcW w:w="1275" w:type="dxa"/>
            <w:noWrap/>
            <w:vAlign w:val="center"/>
            <w:hideMark/>
          </w:tcPr>
          <w:p w14:paraId="282AD26F" w14:textId="635DE73A" w:rsidR="00141F0F" w:rsidRPr="004E70CE" w:rsidRDefault="007B2710"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Calibri" w:hAnsi="Calibri" w:cs="Calibri"/>
                <w:sz w:val="18"/>
                <w:szCs w:val="18"/>
              </w:rPr>
              <w:t>0-0.2</w:t>
            </w:r>
          </w:p>
        </w:tc>
        <w:tc>
          <w:tcPr>
            <w:tcW w:w="1049" w:type="dxa"/>
            <w:noWrap/>
            <w:vAlign w:val="center"/>
            <w:hideMark/>
          </w:tcPr>
          <w:p w14:paraId="0DD7B8E8"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sz w:val="18"/>
                <w:szCs w:val="18"/>
              </w:rPr>
              <w:t>N/A</w:t>
            </w:r>
          </w:p>
        </w:tc>
        <w:tc>
          <w:tcPr>
            <w:tcW w:w="1247" w:type="dxa"/>
            <w:noWrap/>
            <w:vAlign w:val="center"/>
            <w:hideMark/>
          </w:tcPr>
          <w:p w14:paraId="27DD41D2"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sz w:val="18"/>
                <w:szCs w:val="18"/>
              </w:rPr>
              <w:t>87%</w:t>
            </w:r>
          </w:p>
        </w:tc>
        <w:tc>
          <w:tcPr>
            <w:tcW w:w="1248" w:type="dxa"/>
            <w:noWrap/>
            <w:vAlign w:val="center"/>
            <w:hideMark/>
          </w:tcPr>
          <w:p w14:paraId="6E32EF33"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sz w:val="18"/>
                <w:szCs w:val="18"/>
              </w:rPr>
              <w:t>N/A</w:t>
            </w:r>
          </w:p>
        </w:tc>
      </w:tr>
      <w:tr w:rsidR="000C3396" w:rsidRPr="004E70CE" w14:paraId="7B5564CF"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34314BF" w14:textId="77777777" w:rsidR="00141F0F" w:rsidRPr="004E70CE" w:rsidRDefault="00141F0F" w:rsidP="00141F0F">
            <w:pPr>
              <w:spacing w:after="0" w:line="240" w:lineRule="auto"/>
              <w:rPr>
                <w:rFonts w:cstheme="minorHAnsi"/>
                <w:sz w:val="18"/>
                <w:szCs w:val="18"/>
              </w:rPr>
            </w:pPr>
            <w:r w:rsidRPr="004E70CE">
              <w:rPr>
                <w:rFonts w:ascii="Calibri" w:hAnsi="Calibri" w:cs="Calibri"/>
                <w:color w:val="000000"/>
                <w:sz w:val="18"/>
                <w:szCs w:val="18"/>
              </w:rPr>
              <w:t>Magnesia</w:t>
            </w:r>
          </w:p>
        </w:tc>
        <w:tc>
          <w:tcPr>
            <w:tcW w:w="1134" w:type="dxa"/>
            <w:noWrap/>
            <w:vAlign w:val="center"/>
            <w:hideMark/>
          </w:tcPr>
          <w:p w14:paraId="6F7FDF51" w14:textId="4A7EA587" w:rsidR="00141F0F" w:rsidRPr="004E70CE" w:rsidRDefault="009A3EB1"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3-5</w:t>
            </w:r>
            <w:r w:rsidR="00141F0F" w:rsidRPr="004E70CE">
              <w:rPr>
                <w:rFonts w:ascii="Calibri" w:hAnsi="Calibri" w:cs="Calibri"/>
                <w:color w:val="000000"/>
                <w:sz w:val="18"/>
                <w:szCs w:val="18"/>
              </w:rPr>
              <w:t>%</w:t>
            </w:r>
          </w:p>
        </w:tc>
        <w:tc>
          <w:tcPr>
            <w:tcW w:w="1275" w:type="dxa"/>
            <w:noWrap/>
            <w:vAlign w:val="center"/>
            <w:hideMark/>
          </w:tcPr>
          <w:p w14:paraId="17A7110D" w14:textId="5A9B2593" w:rsidR="00141F0F" w:rsidRPr="004E70CE" w:rsidRDefault="007B2710"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Calibri" w:hAnsi="Calibri" w:cs="Calibri"/>
                <w:color w:val="000000"/>
                <w:sz w:val="18"/>
                <w:szCs w:val="18"/>
              </w:rPr>
              <w:t>0-0.2</w:t>
            </w:r>
          </w:p>
        </w:tc>
        <w:tc>
          <w:tcPr>
            <w:tcW w:w="1049" w:type="dxa"/>
            <w:noWrap/>
            <w:vAlign w:val="center"/>
            <w:hideMark/>
          </w:tcPr>
          <w:p w14:paraId="7F45E57A"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 xml:space="preserve">-2.2   </w:t>
            </w:r>
          </w:p>
        </w:tc>
        <w:tc>
          <w:tcPr>
            <w:tcW w:w="1247" w:type="dxa"/>
            <w:noWrap/>
            <w:vAlign w:val="center"/>
            <w:hideMark/>
          </w:tcPr>
          <w:p w14:paraId="37817DA5"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100%</w:t>
            </w:r>
          </w:p>
        </w:tc>
        <w:tc>
          <w:tcPr>
            <w:tcW w:w="1248" w:type="dxa"/>
            <w:noWrap/>
            <w:vAlign w:val="center"/>
            <w:hideMark/>
          </w:tcPr>
          <w:p w14:paraId="7DBDF463" w14:textId="77A0F731" w:rsidR="00141F0F" w:rsidRPr="004E70CE" w:rsidRDefault="002B1350"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1</w:t>
            </w:r>
            <w:r w:rsidR="00141F0F" w:rsidRPr="004E70CE">
              <w:rPr>
                <w:rFonts w:ascii="Calibri" w:hAnsi="Calibri" w:cs="Calibri"/>
                <w:color w:val="000000"/>
                <w:sz w:val="18"/>
                <w:szCs w:val="18"/>
              </w:rPr>
              <w:t xml:space="preserve">%   </w:t>
            </w:r>
          </w:p>
        </w:tc>
      </w:tr>
      <w:tr w:rsidR="000C3396" w:rsidRPr="004E70CE" w14:paraId="7421C25B"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16095A4E" w14:textId="77777777" w:rsidR="00141F0F" w:rsidRPr="004E70CE" w:rsidRDefault="00141F0F" w:rsidP="00141F0F">
            <w:pPr>
              <w:spacing w:after="0" w:line="240" w:lineRule="auto"/>
              <w:rPr>
                <w:rFonts w:cstheme="minorHAnsi"/>
                <w:sz w:val="18"/>
                <w:szCs w:val="18"/>
              </w:rPr>
            </w:pPr>
            <w:r w:rsidRPr="004E70CE">
              <w:rPr>
                <w:rFonts w:ascii="Calibri" w:hAnsi="Calibri" w:cs="Calibri"/>
                <w:sz w:val="18"/>
                <w:szCs w:val="18"/>
              </w:rPr>
              <w:t>Manganese products: Manganese ore</w:t>
            </w:r>
          </w:p>
        </w:tc>
        <w:tc>
          <w:tcPr>
            <w:tcW w:w="1134" w:type="dxa"/>
            <w:noWrap/>
            <w:vAlign w:val="center"/>
            <w:hideMark/>
          </w:tcPr>
          <w:p w14:paraId="7FDA149C" w14:textId="044EF2E7" w:rsidR="00141F0F" w:rsidRPr="004E70CE" w:rsidRDefault="009A3EB1"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sz w:val="18"/>
                <w:szCs w:val="18"/>
              </w:rPr>
              <w:t>3-5</w:t>
            </w:r>
            <w:r w:rsidR="00141F0F" w:rsidRPr="004E70CE">
              <w:rPr>
                <w:rFonts w:ascii="Calibri" w:hAnsi="Calibri" w:cs="Calibri"/>
                <w:sz w:val="18"/>
                <w:szCs w:val="18"/>
              </w:rPr>
              <w:t>%</w:t>
            </w:r>
          </w:p>
        </w:tc>
        <w:tc>
          <w:tcPr>
            <w:tcW w:w="1275" w:type="dxa"/>
            <w:noWrap/>
            <w:vAlign w:val="center"/>
            <w:hideMark/>
          </w:tcPr>
          <w:p w14:paraId="6C55A04D" w14:textId="713F988A" w:rsidR="00141F0F" w:rsidRPr="004E70CE" w:rsidRDefault="007B2710"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Calibri" w:hAnsi="Calibri" w:cs="Calibri"/>
                <w:sz w:val="18"/>
                <w:szCs w:val="18"/>
              </w:rPr>
              <w:t>0-0.2</w:t>
            </w:r>
          </w:p>
        </w:tc>
        <w:tc>
          <w:tcPr>
            <w:tcW w:w="1049" w:type="dxa"/>
            <w:noWrap/>
            <w:vAlign w:val="center"/>
            <w:hideMark/>
          </w:tcPr>
          <w:p w14:paraId="2BF39F16"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sz w:val="18"/>
                <w:szCs w:val="18"/>
              </w:rPr>
              <w:t xml:space="preserve">-1.5   </w:t>
            </w:r>
          </w:p>
        </w:tc>
        <w:tc>
          <w:tcPr>
            <w:tcW w:w="1247" w:type="dxa"/>
            <w:noWrap/>
            <w:vAlign w:val="center"/>
            <w:hideMark/>
          </w:tcPr>
          <w:p w14:paraId="3C2AE53C"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sz w:val="18"/>
                <w:szCs w:val="18"/>
              </w:rPr>
              <w:t>73%</w:t>
            </w:r>
          </w:p>
        </w:tc>
        <w:tc>
          <w:tcPr>
            <w:tcW w:w="1248" w:type="dxa"/>
            <w:noWrap/>
            <w:vAlign w:val="center"/>
            <w:hideMark/>
          </w:tcPr>
          <w:p w14:paraId="54A90B42" w14:textId="45F02FDD"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sz w:val="18"/>
                <w:szCs w:val="18"/>
              </w:rPr>
              <w:t xml:space="preserve">0%   </w:t>
            </w:r>
          </w:p>
        </w:tc>
      </w:tr>
      <w:tr w:rsidR="000C3396" w:rsidRPr="004E70CE" w14:paraId="5E0125EF"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4E2A2607" w14:textId="77777777" w:rsidR="00141F0F" w:rsidRPr="004E70CE" w:rsidRDefault="00141F0F" w:rsidP="00141F0F">
            <w:pPr>
              <w:spacing w:after="0" w:line="240" w:lineRule="auto"/>
              <w:rPr>
                <w:rFonts w:cstheme="minorHAnsi"/>
                <w:sz w:val="18"/>
                <w:szCs w:val="18"/>
              </w:rPr>
            </w:pPr>
            <w:r w:rsidRPr="004E70CE">
              <w:rPr>
                <w:rFonts w:ascii="Calibri" w:hAnsi="Calibri" w:cs="Calibri"/>
                <w:color w:val="000000"/>
                <w:sz w:val="18"/>
                <w:szCs w:val="18"/>
              </w:rPr>
              <w:t>Manganese products: Ferromanganese</w:t>
            </w:r>
          </w:p>
        </w:tc>
        <w:tc>
          <w:tcPr>
            <w:tcW w:w="1134" w:type="dxa"/>
            <w:noWrap/>
            <w:vAlign w:val="center"/>
            <w:hideMark/>
          </w:tcPr>
          <w:p w14:paraId="4201B5E1" w14:textId="2A691BFC" w:rsidR="00141F0F" w:rsidRPr="004E70CE" w:rsidRDefault="009A3EB1"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1-3</w:t>
            </w:r>
            <w:r w:rsidR="00141F0F" w:rsidRPr="004E70CE">
              <w:rPr>
                <w:rFonts w:ascii="Calibri" w:hAnsi="Calibri" w:cs="Calibri"/>
                <w:color w:val="000000"/>
                <w:sz w:val="18"/>
                <w:szCs w:val="18"/>
              </w:rPr>
              <w:t>%</w:t>
            </w:r>
          </w:p>
        </w:tc>
        <w:tc>
          <w:tcPr>
            <w:tcW w:w="1275" w:type="dxa"/>
            <w:noWrap/>
            <w:vAlign w:val="center"/>
            <w:hideMark/>
          </w:tcPr>
          <w:p w14:paraId="56AB62B0" w14:textId="3CB4DE8A" w:rsidR="00141F0F" w:rsidRPr="004E70CE" w:rsidRDefault="007B2710"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Calibri" w:hAnsi="Calibri" w:cs="Calibri"/>
                <w:color w:val="000000"/>
                <w:sz w:val="18"/>
                <w:szCs w:val="18"/>
              </w:rPr>
              <w:t>0-0.2</w:t>
            </w:r>
          </w:p>
        </w:tc>
        <w:tc>
          <w:tcPr>
            <w:tcW w:w="1049" w:type="dxa"/>
            <w:noWrap/>
            <w:vAlign w:val="center"/>
            <w:hideMark/>
          </w:tcPr>
          <w:p w14:paraId="07F5CDA3" w14:textId="01CA1E51"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-0.</w:t>
            </w:r>
            <w:r w:rsidR="009F3D1A">
              <w:rPr>
                <w:rFonts w:ascii="Calibri" w:hAnsi="Calibri" w:cs="Calibri"/>
                <w:color w:val="000000"/>
                <w:sz w:val="18"/>
                <w:szCs w:val="18"/>
              </w:rPr>
              <w:t>2</w:t>
            </w:r>
            <w:r w:rsidRPr="004E70CE">
              <w:rPr>
                <w:rFonts w:ascii="Calibri" w:hAnsi="Calibri" w:cs="Calibri"/>
                <w:color w:val="000000"/>
                <w:sz w:val="18"/>
                <w:szCs w:val="18"/>
              </w:rPr>
              <w:t xml:space="preserve">   </w:t>
            </w:r>
          </w:p>
        </w:tc>
        <w:tc>
          <w:tcPr>
            <w:tcW w:w="1247" w:type="dxa"/>
            <w:noWrap/>
            <w:vAlign w:val="center"/>
            <w:hideMark/>
          </w:tcPr>
          <w:p w14:paraId="7BDE9591"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100%</w:t>
            </w:r>
          </w:p>
        </w:tc>
        <w:tc>
          <w:tcPr>
            <w:tcW w:w="1248" w:type="dxa"/>
            <w:noWrap/>
            <w:vAlign w:val="center"/>
            <w:hideMark/>
          </w:tcPr>
          <w:p w14:paraId="251CD416" w14:textId="1D635F33" w:rsidR="00141F0F" w:rsidRPr="004E70CE" w:rsidRDefault="00140C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0</w:t>
            </w:r>
            <w:r w:rsidR="00141F0F" w:rsidRPr="004E70CE">
              <w:rPr>
                <w:rFonts w:ascii="Calibri" w:hAnsi="Calibri" w:cs="Calibri"/>
                <w:color w:val="000000"/>
                <w:sz w:val="18"/>
                <w:szCs w:val="18"/>
              </w:rPr>
              <w:t xml:space="preserve">%   </w:t>
            </w:r>
          </w:p>
        </w:tc>
      </w:tr>
      <w:tr w:rsidR="000C3396" w:rsidRPr="004E70CE" w14:paraId="3E2F5E86"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6D1928C6" w14:textId="77777777" w:rsidR="00141F0F" w:rsidRPr="004E70CE" w:rsidRDefault="00141F0F" w:rsidP="00141F0F">
            <w:pPr>
              <w:spacing w:after="0" w:line="240" w:lineRule="auto"/>
              <w:rPr>
                <w:rFonts w:cstheme="minorHAnsi"/>
                <w:sz w:val="18"/>
                <w:szCs w:val="18"/>
              </w:rPr>
            </w:pPr>
            <w:r w:rsidRPr="004E70CE">
              <w:rPr>
                <w:rFonts w:ascii="Calibri" w:hAnsi="Calibri" w:cs="Calibri"/>
                <w:color w:val="000000"/>
                <w:sz w:val="18"/>
                <w:szCs w:val="18"/>
              </w:rPr>
              <w:t>Manganese products: Silicomanganese</w:t>
            </w:r>
          </w:p>
        </w:tc>
        <w:tc>
          <w:tcPr>
            <w:tcW w:w="1134" w:type="dxa"/>
            <w:noWrap/>
            <w:vAlign w:val="center"/>
            <w:hideMark/>
          </w:tcPr>
          <w:p w14:paraId="793E23CB" w14:textId="0847FA67" w:rsidR="00141F0F" w:rsidRPr="004E70CE" w:rsidRDefault="009A3EB1"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1-3</w:t>
            </w:r>
            <w:r w:rsidR="00141F0F" w:rsidRPr="004E70CE">
              <w:rPr>
                <w:rFonts w:ascii="Calibri" w:hAnsi="Calibri" w:cs="Calibri"/>
                <w:color w:val="000000"/>
                <w:sz w:val="18"/>
                <w:szCs w:val="18"/>
              </w:rPr>
              <w:t>%</w:t>
            </w:r>
          </w:p>
        </w:tc>
        <w:tc>
          <w:tcPr>
            <w:tcW w:w="1275" w:type="dxa"/>
            <w:noWrap/>
            <w:vAlign w:val="center"/>
            <w:hideMark/>
          </w:tcPr>
          <w:p w14:paraId="5FF02A4A" w14:textId="23CE073C" w:rsidR="00141F0F" w:rsidRPr="004E70CE" w:rsidRDefault="007B2710"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Calibri" w:hAnsi="Calibri" w:cs="Calibri"/>
                <w:color w:val="000000"/>
                <w:sz w:val="18"/>
                <w:szCs w:val="18"/>
              </w:rPr>
              <w:t>0-0.2</w:t>
            </w:r>
          </w:p>
        </w:tc>
        <w:tc>
          <w:tcPr>
            <w:tcW w:w="1049" w:type="dxa"/>
            <w:noWrap/>
            <w:vAlign w:val="center"/>
            <w:hideMark/>
          </w:tcPr>
          <w:p w14:paraId="1B93495A"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N/A</w:t>
            </w:r>
          </w:p>
        </w:tc>
        <w:tc>
          <w:tcPr>
            <w:tcW w:w="1247" w:type="dxa"/>
            <w:noWrap/>
            <w:vAlign w:val="center"/>
            <w:hideMark/>
          </w:tcPr>
          <w:p w14:paraId="7C71CDD2"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100%</w:t>
            </w:r>
          </w:p>
        </w:tc>
        <w:tc>
          <w:tcPr>
            <w:tcW w:w="1248" w:type="dxa"/>
            <w:noWrap/>
            <w:vAlign w:val="center"/>
            <w:hideMark/>
          </w:tcPr>
          <w:p w14:paraId="34F1E01C"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N/A</w:t>
            </w:r>
          </w:p>
        </w:tc>
      </w:tr>
      <w:tr w:rsidR="000C3396" w:rsidRPr="004E70CE" w14:paraId="39E9CA62"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3A4A180A" w14:textId="77777777" w:rsidR="00141F0F" w:rsidRPr="004E70CE" w:rsidRDefault="00141F0F" w:rsidP="00141F0F">
            <w:pPr>
              <w:spacing w:after="0" w:line="240" w:lineRule="auto"/>
              <w:rPr>
                <w:rFonts w:cstheme="minorHAnsi"/>
                <w:sz w:val="18"/>
                <w:szCs w:val="18"/>
              </w:rPr>
            </w:pPr>
            <w:r w:rsidRPr="004E70CE">
              <w:rPr>
                <w:rFonts w:ascii="Calibri" w:hAnsi="Calibri" w:cs="Calibri"/>
                <w:color w:val="000000"/>
                <w:sz w:val="18"/>
                <w:szCs w:val="18"/>
              </w:rPr>
              <w:t>Lithium</w:t>
            </w:r>
            <w:r w:rsidR="009142FC" w:rsidRPr="004E70CE">
              <w:rPr>
                <w:rFonts w:ascii="Calibri" w:hAnsi="Calibri" w:cs="Calibri"/>
                <w:color w:val="000000"/>
                <w:sz w:val="18"/>
                <w:szCs w:val="18"/>
              </w:rPr>
              <w:t xml:space="preserve"> ore</w:t>
            </w:r>
          </w:p>
        </w:tc>
        <w:tc>
          <w:tcPr>
            <w:tcW w:w="1134" w:type="dxa"/>
            <w:noWrap/>
            <w:vAlign w:val="center"/>
            <w:hideMark/>
          </w:tcPr>
          <w:p w14:paraId="47891DE9" w14:textId="4C5DF0D9" w:rsidR="00141F0F" w:rsidRPr="004E70CE" w:rsidRDefault="009A3EB1"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0-1</w:t>
            </w:r>
            <w:r w:rsidR="00141F0F" w:rsidRPr="004E70CE">
              <w:rPr>
                <w:rFonts w:ascii="Calibri" w:hAnsi="Calibri" w:cs="Calibri"/>
                <w:color w:val="000000"/>
                <w:sz w:val="18"/>
                <w:szCs w:val="18"/>
              </w:rPr>
              <w:t>%</w:t>
            </w:r>
          </w:p>
        </w:tc>
        <w:tc>
          <w:tcPr>
            <w:tcW w:w="1275" w:type="dxa"/>
            <w:noWrap/>
            <w:vAlign w:val="center"/>
            <w:hideMark/>
          </w:tcPr>
          <w:p w14:paraId="724D4B28" w14:textId="31F84617" w:rsidR="00141F0F" w:rsidRPr="004E70CE" w:rsidRDefault="007B2710"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Calibri" w:hAnsi="Calibri" w:cs="Calibri"/>
                <w:color w:val="000000"/>
                <w:sz w:val="18"/>
                <w:szCs w:val="18"/>
              </w:rPr>
              <w:t>0-0.2</w:t>
            </w:r>
          </w:p>
        </w:tc>
        <w:tc>
          <w:tcPr>
            <w:tcW w:w="1049" w:type="dxa"/>
            <w:noWrap/>
            <w:vAlign w:val="center"/>
            <w:hideMark/>
          </w:tcPr>
          <w:p w14:paraId="1A4943BB"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 xml:space="preserve">-0.5   </w:t>
            </w:r>
          </w:p>
        </w:tc>
        <w:tc>
          <w:tcPr>
            <w:tcW w:w="1247" w:type="dxa"/>
            <w:noWrap/>
            <w:vAlign w:val="center"/>
            <w:hideMark/>
          </w:tcPr>
          <w:p w14:paraId="07B81CB4"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53%</w:t>
            </w:r>
          </w:p>
        </w:tc>
        <w:tc>
          <w:tcPr>
            <w:tcW w:w="1248" w:type="dxa"/>
            <w:noWrap/>
            <w:vAlign w:val="center"/>
            <w:hideMark/>
          </w:tcPr>
          <w:p w14:paraId="3D31C89C" w14:textId="6343BC0F"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 xml:space="preserve">0%   </w:t>
            </w:r>
          </w:p>
        </w:tc>
      </w:tr>
      <w:tr w:rsidR="000C3396" w:rsidRPr="004E70CE" w14:paraId="19CEADEA"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5905F6E7" w14:textId="77777777" w:rsidR="00141F0F" w:rsidRPr="004E70CE" w:rsidRDefault="00141F0F" w:rsidP="00141F0F">
            <w:pPr>
              <w:spacing w:after="0" w:line="240" w:lineRule="auto"/>
              <w:rPr>
                <w:rFonts w:cstheme="minorHAnsi"/>
                <w:sz w:val="18"/>
                <w:szCs w:val="18"/>
              </w:rPr>
            </w:pPr>
            <w:r w:rsidRPr="004E70CE">
              <w:rPr>
                <w:rFonts w:ascii="Calibri" w:hAnsi="Calibri" w:cs="Calibri"/>
                <w:color w:val="000000"/>
                <w:sz w:val="18"/>
                <w:szCs w:val="18"/>
              </w:rPr>
              <w:t>Synthetic rutile</w:t>
            </w:r>
          </w:p>
        </w:tc>
        <w:tc>
          <w:tcPr>
            <w:tcW w:w="1134" w:type="dxa"/>
            <w:noWrap/>
            <w:vAlign w:val="center"/>
            <w:hideMark/>
          </w:tcPr>
          <w:p w14:paraId="54DDEBEF" w14:textId="38927A45" w:rsidR="00141F0F" w:rsidRPr="004E70CE" w:rsidRDefault="009A3EB1"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0-1</w:t>
            </w:r>
            <w:r w:rsidR="00141F0F" w:rsidRPr="004E70CE">
              <w:rPr>
                <w:rFonts w:ascii="Calibri" w:hAnsi="Calibri" w:cs="Calibri"/>
                <w:color w:val="000000"/>
                <w:sz w:val="18"/>
                <w:szCs w:val="18"/>
              </w:rPr>
              <w:t>%</w:t>
            </w:r>
          </w:p>
        </w:tc>
        <w:tc>
          <w:tcPr>
            <w:tcW w:w="1275" w:type="dxa"/>
            <w:noWrap/>
            <w:vAlign w:val="center"/>
            <w:hideMark/>
          </w:tcPr>
          <w:p w14:paraId="60B11EDE" w14:textId="1A7DBD84" w:rsidR="00141F0F" w:rsidRPr="004E70CE" w:rsidRDefault="007B2710"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Calibri" w:hAnsi="Calibri" w:cs="Calibri"/>
                <w:color w:val="000000"/>
                <w:sz w:val="18"/>
                <w:szCs w:val="18"/>
              </w:rPr>
              <w:t>0-0.2</w:t>
            </w:r>
          </w:p>
        </w:tc>
        <w:tc>
          <w:tcPr>
            <w:tcW w:w="1049" w:type="dxa"/>
            <w:noWrap/>
            <w:vAlign w:val="center"/>
            <w:hideMark/>
          </w:tcPr>
          <w:p w14:paraId="05FA0BD6"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 xml:space="preserve">-0.2   </w:t>
            </w:r>
          </w:p>
        </w:tc>
        <w:tc>
          <w:tcPr>
            <w:tcW w:w="1247" w:type="dxa"/>
            <w:noWrap/>
            <w:vAlign w:val="center"/>
            <w:hideMark/>
          </w:tcPr>
          <w:p w14:paraId="64A4B468"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100%</w:t>
            </w:r>
          </w:p>
        </w:tc>
        <w:tc>
          <w:tcPr>
            <w:tcW w:w="1248" w:type="dxa"/>
            <w:noWrap/>
            <w:vAlign w:val="center"/>
            <w:hideMark/>
          </w:tcPr>
          <w:p w14:paraId="1DA9E54E" w14:textId="6669755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 xml:space="preserve">0%   </w:t>
            </w:r>
          </w:p>
        </w:tc>
      </w:tr>
      <w:tr w:rsidR="000C3396" w:rsidRPr="004E70CE" w14:paraId="560C21E7"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8F2B5E9" w14:textId="64DC2387" w:rsidR="00141F0F" w:rsidRPr="004E70CE" w:rsidRDefault="00141F0F" w:rsidP="00141F0F">
            <w:pPr>
              <w:spacing w:after="0" w:line="240" w:lineRule="auto"/>
              <w:rPr>
                <w:rFonts w:cstheme="minorHAnsi"/>
                <w:sz w:val="18"/>
                <w:szCs w:val="18"/>
              </w:rPr>
            </w:pPr>
            <w:r w:rsidRPr="004E70CE">
              <w:rPr>
                <w:rFonts w:ascii="Calibri" w:hAnsi="Calibri" w:cs="Calibri"/>
                <w:sz w:val="18"/>
                <w:szCs w:val="18"/>
              </w:rPr>
              <w:t xml:space="preserve">Titanium </w:t>
            </w:r>
            <w:r w:rsidR="008F0F9B">
              <w:rPr>
                <w:rFonts w:ascii="Calibri" w:hAnsi="Calibri" w:cs="Calibri"/>
                <w:sz w:val="18"/>
                <w:szCs w:val="18"/>
              </w:rPr>
              <w:t>di</w:t>
            </w:r>
            <w:r w:rsidRPr="004E70CE">
              <w:rPr>
                <w:rFonts w:ascii="Calibri" w:hAnsi="Calibri" w:cs="Calibri"/>
                <w:sz w:val="18"/>
                <w:szCs w:val="18"/>
              </w:rPr>
              <w:t>oxide</w:t>
            </w:r>
          </w:p>
        </w:tc>
        <w:tc>
          <w:tcPr>
            <w:tcW w:w="1134" w:type="dxa"/>
            <w:noWrap/>
            <w:vAlign w:val="center"/>
            <w:hideMark/>
          </w:tcPr>
          <w:p w14:paraId="02398590" w14:textId="76C7875C" w:rsidR="00141F0F" w:rsidRPr="004E70CE" w:rsidRDefault="009A3EB1"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sz w:val="18"/>
                <w:szCs w:val="18"/>
              </w:rPr>
              <w:t>0-1</w:t>
            </w:r>
            <w:r w:rsidR="00141F0F" w:rsidRPr="004E70CE">
              <w:rPr>
                <w:rFonts w:ascii="Calibri" w:hAnsi="Calibri" w:cs="Calibri"/>
                <w:sz w:val="18"/>
                <w:szCs w:val="18"/>
              </w:rPr>
              <w:t>%</w:t>
            </w:r>
          </w:p>
        </w:tc>
        <w:tc>
          <w:tcPr>
            <w:tcW w:w="1275" w:type="dxa"/>
            <w:noWrap/>
            <w:vAlign w:val="center"/>
            <w:hideMark/>
          </w:tcPr>
          <w:p w14:paraId="73C59796" w14:textId="3657668E" w:rsidR="00141F0F" w:rsidRPr="004E70CE" w:rsidRDefault="007B2710"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Calibri" w:hAnsi="Calibri" w:cs="Calibri"/>
                <w:sz w:val="18"/>
                <w:szCs w:val="18"/>
              </w:rPr>
              <w:t>0-0.2</w:t>
            </w:r>
          </w:p>
        </w:tc>
        <w:tc>
          <w:tcPr>
            <w:tcW w:w="1049" w:type="dxa"/>
            <w:noWrap/>
            <w:vAlign w:val="center"/>
            <w:hideMark/>
          </w:tcPr>
          <w:p w14:paraId="7E55511F"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sz w:val="18"/>
                <w:szCs w:val="18"/>
              </w:rPr>
              <w:t xml:space="preserve">-1.2   </w:t>
            </w:r>
          </w:p>
        </w:tc>
        <w:tc>
          <w:tcPr>
            <w:tcW w:w="1247" w:type="dxa"/>
            <w:noWrap/>
            <w:vAlign w:val="center"/>
            <w:hideMark/>
          </w:tcPr>
          <w:p w14:paraId="2A161E4E"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sz w:val="18"/>
                <w:szCs w:val="18"/>
              </w:rPr>
              <w:t>100%</w:t>
            </w:r>
          </w:p>
        </w:tc>
        <w:tc>
          <w:tcPr>
            <w:tcW w:w="1248" w:type="dxa"/>
            <w:noWrap/>
            <w:vAlign w:val="center"/>
            <w:hideMark/>
          </w:tcPr>
          <w:p w14:paraId="2D955C8C" w14:textId="5FA0BED2"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sz w:val="18"/>
                <w:szCs w:val="18"/>
              </w:rPr>
              <w:t xml:space="preserve">0%   </w:t>
            </w:r>
          </w:p>
        </w:tc>
      </w:tr>
      <w:tr w:rsidR="000C3396" w:rsidRPr="004E70CE" w14:paraId="36B091FE"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A7D79DB" w14:textId="77777777" w:rsidR="00141F0F" w:rsidRPr="004E70CE" w:rsidRDefault="00141F0F" w:rsidP="00141F0F">
            <w:pPr>
              <w:spacing w:after="0" w:line="240" w:lineRule="auto"/>
              <w:rPr>
                <w:rFonts w:cstheme="minorHAnsi"/>
                <w:sz w:val="18"/>
                <w:szCs w:val="18"/>
              </w:rPr>
            </w:pPr>
            <w:r w:rsidRPr="004E70CE">
              <w:rPr>
                <w:rFonts w:ascii="Calibri" w:hAnsi="Calibri" w:cs="Calibri"/>
                <w:sz w:val="18"/>
                <w:szCs w:val="18"/>
              </w:rPr>
              <w:t>Other metal ore</w:t>
            </w:r>
          </w:p>
        </w:tc>
        <w:tc>
          <w:tcPr>
            <w:tcW w:w="1134" w:type="dxa"/>
            <w:noWrap/>
            <w:vAlign w:val="center"/>
            <w:hideMark/>
          </w:tcPr>
          <w:p w14:paraId="2AB87F5B" w14:textId="34C5556F" w:rsidR="00141F0F" w:rsidRPr="004E70CE" w:rsidRDefault="009A3EB1"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sz w:val="18"/>
                <w:szCs w:val="18"/>
              </w:rPr>
              <w:t>0-1</w:t>
            </w:r>
            <w:r w:rsidR="00141F0F" w:rsidRPr="004E70CE">
              <w:rPr>
                <w:rFonts w:ascii="Calibri" w:hAnsi="Calibri" w:cs="Calibri"/>
                <w:sz w:val="18"/>
                <w:szCs w:val="18"/>
              </w:rPr>
              <w:t>%</w:t>
            </w:r>
          </w:p>
        </w:tc>
        <w:tc>
          <w:tcPr>
            <w:tcW w:w="1275" w:type="dxa"/>
            <w:noWrap/>
            <w:vAlign w:val="center"/>
            <w:hideMark/>
          </w:tcPr>
          <w:p w14:paraId="02FA93C3" w14:textId="4FEF15F2" w:rsidR="00141F0F" w:rsidRPr="004E70CE" w:rsidRDefault="007B2710"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Calibri" w:hAnsi="Calibri" w:cs="Calibri"/>
                <w:sz w:val="18"/>
                <w:szCs w:val="18"/>
              </w:rPr>
              <w:t>0-0.2</w:t>
            </w:r>
          </w:p>
        </w:tc>
        <w:tc>
          <w:tcPr>
            <w:tcW w:w="1049" w:type="dxa"/>
            <w:noWrap/>
            <w:vAlign w:val="center"/>
            <w:hideMark/>
          </w:tcPr>
          <w:p w14:paraId="6203612D"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sz w:val="18"/>
                <w:szCs w:val="18"/>
              </w:rPr>
              <w:t xml:space="preserve">-0.4   </w:t>
            </w:r>
          </w:p>
        </w:tc>
        <w:tc>
          <w:tcPr>
            <w:tcW w:w="1247" w:type="dxa"/>
            <w:noWrap/>
            <w:vAlign w:val="center"/>
            <w:hideMark/>
          </w:tcPr>
          <w:p w14:paraId="36B3E42D"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sz w:val="18"/>
                <w:szCs w:val="18"/>
              </w:rPr>
              <w:t>7</w:t>
            </w:r>
            <w:r w:rsidR="0059089F" w:rsidRPr="004E70CE">
              <w:rPr>
                <w:rFonts w:ascii="Calibri" w:hAnsi="Calibri" w:cs="Calibri"/>
                <w:sz w:val="18"/>
                <w:szCs w:val="18"/>
              </w:rPr>
              <w:t>0</w:t>
            </w:r>
            <w:r w:rsidRPr="004E70CE">
              <w:rPr>
                <w:rFonts w:ascii="Calibri" w:hAnsi="Calibri" w:cs="Calibri"/>
                <w:sz w:val="18"/>
                <w:szCs w:val="18"/>
              </w:rPr>
              <w:t>%</w:t>
            </w:r>
          </w:p>
        </w:tc>
        <w:tc>
          <w:tcPr>
            <w:tcW w:w="1248" w:type="dxa"/>
            <w:noWrap/>
            <w:vAlign w:val="center"/>
            <w:hideMark/>
          </w:tcPr>
          <w:p w14:paraId="2E456140" w14:textId="116B4052"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sz w:val="18"/>
                <w:szCs w:val="18"/>
              </w:rPr>
              <w:t xml:space="preserve">0%   </w:t>
            </w:r>
          </w:p>
        </w:tc>
      </w:tr>
      <w:tr w:rsidR="000C3396" w:rsidRPr="004E70CE" w14:paraId="22B14022"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EDD8A87" w14:textId="77777777" w:rsidR="00141F0F" w:rsidRPr="004E70CE" w:rsidRDefault="00141F0F" w:rsidP="00141F0F">
            <w:pPr>
              <w:spacing w:after="0" w:line="240" w:lineRule="auto"/>
              <w:rPr>
                <w:rFonts w:cstheme="minorHAnsi"/>
                <w:sz w:val="18"/>
                <w:szCs w:val="18"/>
              </w:rPr>
            </w:pPr>
            <w:r w:rsidRPr="004E70CE">
              <w:rPr>
                <w:rFonts w:ascii="Calibri" w:hAnsi="Calibri" w:cs="Calibri"/>
                <w:color w:val="000000"/>
                <w:sz w:val="18"/>
                <w:szCs w:val="18"/>
              </w:rPr>
              <w:t>Silicon</w:t>
            </w:r>
          </w:p>
        </w:tc>
        <w:tc>
          <w:tcPr>
            <w:tcW w:w="1134" w:type="dxa"/>
            <w:noWrap/>
            <w:vAlign w:val="center"/>
            <w:hideMark/>
          </w:tcPr>
          <w:p w14:paraId="04181AF0" w14:textId="5A8F37B8" w:rsidR="00141F0F" w:rsidRPr="004E70CE" w:rsidRDefault="009A3EB1"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0-1</w:t>
            </w:r>
            <w:r w:rsidR="00141F0F" w:rsidRPr="004E70CE">
              <w:rPr>
                <w:rFonts w:ascii="Calibri" w:hAnsi="Calibri" w:cs="Calibri"/>
                <w:color w:val="000000"/>
                <w:sz w:val="18"/>
                <w:szCs w:val="18"/>
              </w:rPr>
              <w:t>%</w:t>
            </w:r>
          </w:p>
        </w:tc>
        <w:tc>
          <w:tcPr>
            <w:tcW w:w="1275" w:type="dxa"/>
            <w:noWrap/>
            <w:vAlign w:val="center"/>
            <w:hideMark/>
          </w:tcPr>
          <w:p w14:paraId="2BCE1E03" w14:textId="36654557" w:rsidR="00141F0F" w:rsidRPr="004E70CE" w:rsidRDefault="007B2710"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Calibri" w:hAnsi="Calibri" w:cs="Calibri"/>
                <w:color w:val="000000"/>
                <w:sz w:val="18"/>
                <w:szCs w:val="18"/>
              </w:rPr>
              <w:t>0-0.2</w:t>
            </w:r>
          </w:p>
        </w:tc>
        <w:tc>
          <w:tcPr>
            <w:tcW w:w="1049" w:type="dxa"/>
            <w:noWrap/>
            <w:vAlign w:val="center"/>
            <w:hideMark/>
          </w:tcPr>
          <w:p w14:paraId="1D62351B"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 xml:space="preserve">-0.7   </w:t>
            </w:r>
          </w:p>
        </w:tc>
        <w:tc>
          <w:tcPr>
            <w:tcW w:w="1247" w:type="dxa"/>
            <w:noWrap/>
            <w:vAlign w:val="center"/>
            <w:hideMark/>
          </w:tcPr>
          <w:p w14:paraId="5B9C0262"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100%</w:t>
            </w:r>
          </w:p>
        </w:tc>
        <w:tc>
          <w:tcPr>
            <w:tcW w:w="1248" w:type="dxa"/>
            <w:noWrap/>
            <w:vAlign w:val="center"/>
            <w:hideMark/>
          </w:tcPr>
          <w:p w14:paraId="0B143E93" w14:textId="435974F2"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 xml:space="preserve">0%   </w:t>
            </w:r>
          </w:p>
        </w:tc>
      </w:tr>
      <w:tr w:rsidR="000C3396" w:rsidRPr="004E70CE" w14:paraId="76FBCE09"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04F60AB5" w14:textId="77777777" w:rsidR="00141F0F" w:rsidRPr="004E70CE" w:rsidRDefault="00141F0F" w:rsidP="00141F0F">
            <w:pPr>
              <w:spacing w:after="0" w:line="240" w:lineRule="auto"/>
              <w:rPr>
                <w:rFonts w:cstheme="minorHAnsi"/>
                <w:sz w:val="18"/>
                <w:szCs w:val="18"/>
              </w:rPr>
            </w:pPr>
            <w:r w:rsidRPr="004E70CE">
              <w:rPr>
                <w:rFonts w:ascii="Calibri" w:hAnsi="Calibri" w:cs="Calibri"/>
                <w:color w:val="000000"/>
                <w:sz w:val="18"/>
                <w:szCs w:val="18"/>
              </w:rPr>
              <w:t>Sodium cyanide</w:t>
            </w:r>
          </w:p>
        </w:tc>
        <w:tc>
          <w:tcPr>
            <w:tcW w:w="1134" w:type="dxa"/>
            <w:noWrap/>
            <w:vAlign w:val="center"/>
            <w:hideMark/>
          </w:tcPr>
          <w:p w14:paraId="6E0577A0" w14:textId="59E83F5B" w:rsidR="00141F0F" w:rsidRPr="004E70CE" w:rsidRDefault="009A3EB1"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0-1</w:t>
            </w:r>
            <w:r w:rsidR="00141F0F" w:rsidRPr="004E70CE">
              <w:rPr>
                <w:rFonts w:ascii="Calibri" w:hAnsi="Calibri" w:cs="Calibri"/>
                <w:color w:val="000000"/>
                <w:sz w:val="18"/>
                <w:szCs w:val="18"/>
              </w:rPr>
              <w:t>%</w:t>
            </w:r>
          </w:p>
        </w:tc>
        <w:tc>
          <w:tcPr>
            <w:tcW w:w="1275" w:type="dxa"/>
            <w:noWrap/>
            <w:vAlign w:val="center"/>
            <w:hideMark/>
          </w:tcPr>
          <w:p w14:paraId="62CB25F7" w14:textId="3B83FAF0" w:rsidR="00141F0F" w:rsidRPr="004E70CE" w:rsidRDefault="007B2710"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Calibri" w:hAnsi="Calibri" w:cs="Calibri"/>
                <w:color w:val="000000"/>
                <w:sz w:val="18"/>
                <w:szCs w:val="18"/>
              </w:rPr>
              <w:t>0-0.2</w:t>
            </w:r>
          </w:p>
        </w:tc>
        <w:tc>
          <w:tcPr>
            <w:tcW w:w="1049" w:type="dxa"/>
            <w:noWrap/>
            <w:vAlign w:val="center"/>
            <w:hideMark/>
          </w:tcPr>
          <w:p w14:paraId="267C63DA"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 xml:space="preserve">-5.2   </w:t>
            </w:r>
          </w:p>
        </w:tc>
        <w:tc>
          <w:tcPr>
            <w:tcW w:w="1247" w:type="dxa"/>
            <w:noWrap/>
            <w:vAlign w:val="center"/>
            <w:hideMark/>
          </w:tcPr>
          <w:p w14:paraId="0D0F63FC"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92%</w:t>
            </w:r>
          </w:p>
        </w:tc>
        <w:tc>
          <w:tcPr>
            <w:tcW w:w="1248" w:type="dxa"/>
            <w:noWrap/>
            <w:vAlign w:val="center"/>
            <w:hideMark/>
          </w:tcPr>
          <w:p w14:paraId="227B8075" w14:textId="5F9E45E1"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 xml:space="preserve">0%   </w:t>
            </w:r>
          </w:p>
        </w:tc>
      </w:tr>
      <w:tr w:rsidR="000C3396" w:rsidRPr="004E70CE" w14:paraId="6E411B5E"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351C1EB0" w14:textId="77777777" w:rsidR="00141F0F" w:rsidRPr="004E70CE" w:rsidRDefault="00141F0F" w:rsidP="00141F0F">
            <w:pPr>
              <w:spacing w:after="0" w:line="240" w:lineRule="auto"/>
              <w:rPr>
                <w:rFonts w:cstheme="minorHAnsi"/>
                <w:sz w:val="18"/>
                <w:szCs w:val="18"/>
              </w:rPr>
            </w:pPr>
            <w:r w:rsidRPr="004E70CE">
              <w:rPr>
                <w:rFonts w:ascii="Calibri" w:hAnsi="Calibri" w:cs="Calibri"/>
                <w:color w:val="000000"/>
                <w:sz w:val="18"/>
                <w:szCs w:val="18"/>
              </w:rPr>
              <w:t>Ethanol and dried distillers grain</w:t>
            </w:r>
          </w:p>
        </w:tc>
        <w:tc>
          <w:tcPr>
            <w:tcW w:w="1134" w:type="dxa"/>
            <w:noWrap/>
            <w:vAlign w:val="center"/>
            <w:hideMark/>
          </w:tcPr>
          <w:p w14:paraId="12D223AD" w14:textId="55EBB875" w:rsidR="00141F0F" w:rsidRPr="004E70CE" w:rsidRDefault="009A3EB1"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0-1</w:t>
            </w:r>
            <w:r w:rsidR="00141F0F" w:rsidRPr="004E70CE">
              <w:rPr>
                <w:rFonts w:ascii="Calibri" w:hAnsi="Calibri" w:cs="Calibri"/>
                <w:color w:val="000000"/>
                <w:sz w:val="18"/>
                <w:szCs w:val="18"/>
              </w:rPr>
              <w:t>%</w:t>
            </w:r>
          </w:p>
        </w:tc>
        <w:tc>
          <w:tcPr>
            <w:tcW w:w="1275" w:type="dxa"/>
            <w:noWrap/>
            <w:vAlign w:val="center"/>
            <w:hideMark/>
          </w:tcPr>
          <w:p w14:paraId="22AF603E" w14:textId="697A26CD" w:rsidR="00141F0F" w:rsidRPr="004E70CE" w:rsidRDefault="007B2710"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Calibri" w:hAnsi="Calibri" w:cs="Calibri"/>
                <w:color w:val="000000"/>
                <w:sz w:val="18"/>
                <w:szCs w:val="18"/>
              </w:rPr>
              <w:t>0-0.2</w:t>
            </w:r>
          </w:p>
        </w:tc>
        <w:tc>
          <w:tcPr>
            <w:tcW w:w="1049" w:type="dxa"/>
            <w:noWrap/>
            <w:vAlign w:val="center"/>
            <w:hideMark/>
          </w:tcPr>
          <w:p w14:paraId="3D0BED6F"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 xml:space="preserve">-1.4   </w:t>
            </w:r>
          </w:p>
        </w:tc>
        <w:tc>
          <w:tcPr>
            <w:tcW w:w="1247" w:type="dxa"/>
            <w:noWrap/>
            <w:vAlign w:val="center"/>
            <w:hideMark/>
          </w:tcPr>
          <w:p w14:paraId="0DA09D09"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100%</w:t>
            </w:r>
          </w:p>
        </w:tc>
        <w:tc>
          <w:tcPr>
            <w:tcW w:w="1248" w:type="dxa"/>
            <w:noWrap/>
            <w:vAlign w:val="center"/>
            <w:hideMark/>
          </w:tcPr>
          <w:p w14:paraId="65B51059" w14:textId="4F1033AC"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E70CE">
              <w:rPr>
                <w:rFonts w:ascii="Calibri" w:hAnsi="Calibri" w:cs="Calibri"/>
                <w:color w:val="000000"/>
                <w:sz w:val="18"/>
                <w:szCs w:val="18"/>
              </w:rPr>
              <w:t xml:space="preserve">0%   </w:t>
            </w:r>
          </w:p>
        </w:tc>
      </w:tr>
    </w:tbl>
    <w:p w14:paraId="52C3DAB6" w14:textId="4CA96289" w:rsidR="00141F0F" w:rsidRPr="004E70CE" w:rsidRDefault="00141F0F" w:rsidP="00FB0F52">
      <w:pPr>
        <w:spacing w:after="120" w:line="240" w:lineRule="auto"/>
        <w:rPr>
          <w:b/>
          <w:bCs/>
          <w:u w:val="single"/>
        </w:rPr>
      </w:pPr>
      <w:r w:rsidRPr="004E70CE">
        <w:rPr>
          <w:b/>
          <w:bCs/>
          <w:u w:val="single"/>
        </w:rPr>
        <w:br w:type="page"/>
      </w:r>
      <w:r w:rsidRPr="004E70CE">
        <w:rPr>
          <w:b/>
        </w:rPr>
        <w:lastRenderedPageBreak/>
        <w:t xml:space="preserve">Table </w:t>
      </w:r>
      <w:r w:rsidR="00C63C83" w:rsidRPr="004E70CE">
        <w:rPr>
          <w:b/>
        </w:rPr>
        <w:t>3</w:t>
      </w:r>
      <w:r w:rsidRPr="004E70CE">
        <w:rPr>
          <w:b/>
          <w:bCs/>
        </w:rPr>
        <w:t>: Carbon leakage risk and estimates (trade leakage) – export markets</w:t>
      </w:r>
    </w:p>
    <w:tbl>
      <w:tblPr>
        <w:tblStyle w:val="ListTable3-Accent1"/>
        <w:tblW w:w="9214" w:type="dxa"/>
        <w:tblLayout w:type="fixed"/>
        <w:tblLook w:val="04A0" w:firstRow="1" w:lastRow="0" w:firstColumn="1" w:lastColumn="0" w:noHBand="0" w:noVBand="1"/>
      </w:tblPr>
      <w:tblGrid>
        <w:gridCol w:w="3256"/>
        <w:gridCol w:w="1134"/>
        <w:gridCol w:w="1249"/>
        <w:gridCol w:w="1191"/>
        <w:gridCol w:w="1192"/>
        <w:gridCol w:w="1192"/>
      </w:tblGrid>
      <w:tr w:rsidR="00846AA4" w:rsidRPr="004E70CE" w14:paraId="04C23BEA" w14:textId="77777777" w:rsidTr="00507820">
        <w:trPr>
          <w:cnfStyle w:val="100000000000" w:firstRow="1" w:lastRow="0" w:firstColumn="0" w:lastColumn="0" w:oddVBand="0" w:evenVBand="0" w:oddHBand="0" w:evenHBand="0" w:firstRowFirstColumn="0" w:firstRowLastColumn="0" w:lastRowFirstColumn="0" w:lastRowLastColumn="0"/>
          <w:trHeight w:val="864"/>
        </w:trPr>
        <w:tc>
          <w:tcPr>
            <w:cnfStyle w:val="001000000100" w:firstRow="0" w:lastRow="0" w:firstColumn="1" w:lastColumn="0" w:oddVBand="0" w:evenVBand="0" w:oddHBand="0" w:evenHBand="0" w:firstRowFirstColumn="1" w:firstRowLastColumn="0" w:lastRowFirstColumn="0" w:lastRowLastColumn="0"/>
            <w:tcW w:w="3256" w:type="dxa"/>
            <w:vAlign w:val="center"/>
            <w:hideMark/>
          </w:tcPr>
          <w:p w14:paraId="3EAA51CF" w14:textId="77777777" w:rsidR="00141F0F" w:rsidRPr="004E70CE" w:rsidRDefault="00141F0F" w:rsidP="00141F0F">
            <w:pPr>
              <w:spacing w:after="0" w:line="240" w:lineRule="auto"/>
              <w:rPr>
                <w:rFonts w:cstheme="minorHAnsi"/>
                <w:sz w:val="18"/>
                <w:szCs w:val="18"/>
              </w:rPr>
            </w:pPr>
            <w:r w:rsidRPr="004E70CE">
              <w:rPr>
                <w:rFonts w:cstheme="minorHAnsi"/>
                <w:sz w:val="18"/>
                <w:szCs w:val="18"/>
              </w:rPr>
              <w:t>Commodities</w:t>
            </w:r>
          </w:p>
          <w:p w14:paraId="271135F0" w14:textId="77777777" w:rsidR="00141F0F" w:rsidRPr="004E70CE" w:rsidRDefault="00141F0F" w:rsidP="00141F0F">
            <w:pPr>
              <w:spacing w:after="0" w:line="240" w:lineRule="auto"/>
              <w:rPr>
                <w:sz w:val="18"/>
                <w:szCs w:val="18"/>
              </w:rPr>
            </w:pPr>
          </w:p>
        </w:tc>
        <w:tc>
          <w:tcPr>
            <w:tcW w:w="1134" w:type="dxa"/>
            <w:vAlign w:val="center"/>
            <w:hideMark/>
          </w:tcPr>
          <w:p w14:paraId="5A4EF374" w14:textId="643C398C" w:rsidR="00141F0F" w:rsidRPr="004E70CE" w:rsidRDefault="00D531A1" w:rsidP="00141F0F">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4E70CE">
              <w:rPr>
                <w:rFonts w:cstheme="minorHAnsi"/>
                <w:sz w:val="18"/>
                <w:szCs w:val="18"/>
              </w:rPr>
              <w:t xml:space="preserve">Indicative </w:t>
            </w:r>
            <w:r w:rsidR="00141F0F" w:rsidRPr="004E70CE">
              <w:rPr>
                <w:rFonts w:cstheme="minorHAnsi"/>
                <w:sz w:val="18"/>
                <w:szCs w:val="18"/>
              </w:rPr>
              <w:t>2030 carbon cost as % of price</w:t>
            </w:r>
          </w:p>
        </w:tc>
        <w:tc>
          <w:tcPr>
            <w:tcW w:w="1249" w:type="dxa"/>
            <w:vAlign w:val="center"/>
            <w:hideMark/>
          </w:tcPr>
          <w:p w14:paraId="21DE9CFB" w14:textId="0E2F773E" w:rsidR="00141F0F" w:rsidRPr="004E70CE" w:rsidRDefault="2800FF58" w:rsidP="00141F0F">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4E70CE">
              <w:rPr>
                <w:sz w:val="18"/>
                <w:szCs w:val="18"/>
              </w:rPr>
              <w:t xml:space="preserve">Exports </w:t>
            </w:r>
            <w:r w:rsidR="00813F6E">
              <w:rPr>
                <w:sz w:val="18"/>
                <w:szCs w:val="18"/>
              </w:rPr>
              <w:t>relative to</w:t>
            </w:r>
            <w:r w:rsidRPr="004E70CE">
              <w:rPr>
                <w:sz w:val="18"/>
                <w:szCs w:val="18"/>
              </w:rPr>
              <w:t xml:space="preserve"> Safeguard production</w:t>
            </w:r>
            <w:r w:rsidR="007545EF" w:rsidRPr="004E70CE">
              <w:rPr>
                <w:rStyle w:val="FootnoteReference"/>
                <w:sz w:val="18"/>
                <w:szCs w:val="18"/>
              </w:rPr>
              <w:footnoteReference w:id="27"/>
            </w:r>
          </w:p>
        </w:tc>
        <w:tc>
          <w:tcPr>
            <w:tcW w:w="1191" w:type="dxa"/>
            <w:vAlign w:val="center"/>
            <w:hideMark/>
          </w:tcPr>
          <w:p w14:paraId="74391BFA" w14:textId="77777777" w:rsidR="00141F0F" w:rsidRPr="004E70CE" w:rsidRDefault="2800FF58" w:rsidP="00141F0F">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4E70CE">
              <w:rPr>
                <w:sz w:val="18"/>
                <w:szCs w:val="18"/>
              </w:rPr>
              <w:t>Sensitivity of exports to price changes</w:t>
            </w:r>
            <w:r w:rsidR="00141F0F" w:rsidRPr="004E70CE">
              <w:rPr>
                <w:sz w:val="18"/>
                <w:szCs w:val="18"/>
                <w:vertAlign w:val="superscript"/>
              </w:rPr>
              <w:footnoteReference w:id="28"/>
            </w:r>
            <w:r w:rsidRPr="004E70CE">
              <w:rPr>
                <w:sz w:val="18"/>
                <w:szCs w:val="18"/>
              </w:rPr>
              <w:t xml:space="preserve"> </w:t>
            </w:r>
          </w:p>
        </w:tc>
        <w:tc>
          <w:tcPr>
            <w:tcW w:w="1192" w:type="dxa"/>
            <w:vAlign w:val="center"/>
            <w:hideMark/>
          </w:tcPr>
          <w:p w14:paraId="4DF33B02" w14:textId="77777777" w:rsidR="00141F0F" w:rsidRPr="004E70CE" w:rsidRDefault="00141F0F" w:rsidP="00141F0F">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4E70CE">
              <w:rPr>
                <w:rFonts w:cstheme="minorHAnsi"/>
                <w:sz w:val="18"/>
                <w:szCs w:val="18"/>
              </w:rPr>
              <w:t xml:space="preserve">% of emissions covered by Safeguard </w:t>
            </w:r>
          </w:p>
        </w:tc>
        <w:tc>
          <w:tcPr>
            <w:tcW w:w="1192" w:type="dxa"/>
            <w:vAlign w:val="center"/>
            <w:hideMark/>
          </w:tcPr>
          <w:p w14:paraId="2E9427A9" w14:textId="0703C95E" w:rsidR="00141F0F" w:rsidRPr="002B6B7A" w:rsidRDefault="00B515CC" w:rsidP="002B6B7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sz w:val="18"/>
                <w:szCs w:val="18"/>
              </w:rPr>
            </w:pPr>
            <w:r w:rsidRPr="004E70CE">
              <w:rPr>
                <w:rFonts w:ascii="Calibri" w:eastAsia="Calibri" w:hAnsi="Calibri" w:cs="Arial"/>
                <w:sz w:val="18"/>
                <w:szCs w:val="18"/>
              </w:rPr>
              <w:t>Illustrative estimate of r</w:t>
            </w:r>
            <w:r w:rsidR="2800FF58" w:rsidRPr="004E70CE">
              <w:rPr>
                <w:rFonts w:ascii="Calibri" w:eastAsia="Calibri" w:hAnsi="Calibri" w:cs="Arial"/>
                <w:sz w:val="18"/>
                <w:szCs w:val="18"/>
              </w:rPr>
              <w:t xml:space="preserve">eduction in </w:t>
            </w:r>
            <w:r w:rsidRPr="004E70CE">
              <w:rPr>
                <w:rFonts w:ascii="Calibri" w:eastAsia="Calibri" w:hAnsi="Calibri" w:cs="Arial"/>
                <w:sz w:val="18"/>
                <w:szCs w:val="18"/>
              </w:rPr>
              <w:t xml:space="preserve">Safeguard </w:t>
            </w:r>
            <w:r w:rsidR="007E4177" w:rsidRPr="004E70CE">
              <w:rPr>
                <w:rFonts w:ascii="Calibri" w:eastAsia="Calibri" w:hAnsi="Calibri" w:cs="Arial"/>
                <w:sz w:val="18"/>
                <w:szCs w:val="18"/>
              </w:rPr>
              <w:t>production</w:t>
            </w:r>
            <w:r w:rsidR="00141F0F" w:rsidRPr="004E70CE">
              <w:rPr>
                <w:rFonts w:ascii="Calibri" w:eastAsia="Calibri" w:hAnsi="Calibri" w:cs="Arial"/>
                <w:sz w:val="18"/>
                <w:szCs w:val="18"/>
                <w:vertAlign w:val="superscript"/>
              </w:rPr>
              <w:footnoteReference w:id="29"/>
            </w:r>
          </w:p>
        </w:tc>
      </w:tr>
      <w:tr w:rsidR="00141F0F" w:rsidRPr="004E70CE" w14:paraId="0A3D034A"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A81385B" w14:textId="77777777" w:rsidR="00141F0F" w:rsidRPr="004E70CE" w:rsidRDefault="00141F0F" w:rsidP="00141F0F">
            <w:pPr>
              <w:spacing w:after="0" w:line="240" w:lineRule="auto"/>
              <w:rPr>
                <w:sz w:val="18"/>
                <w:szCs w:val="18"/>
              </w:rPr>
            </w:pPr>
            <w:r w:rsidRPr="004E70CE">
              <w:rPr>
                <w:rFonts w:ascii="Calibri" w:hAnsi="Calibri" w:cs="Calibri"/>
                <w:color w:val="000000"/>
                <w:sz w:val="18"/>
                <w:szCs w:val="18"/>
              </w:rPr>
              <w:t xml:space="preserve">Steel: </w:t>
            </w:r>
            <w:r w:rsidR="001D4D4A" w:rsidRPr="004E70CE">
              <w:rPr>
                <w:rFonts w:ascii="Calibri" w:hAnsi="Calibri" w:cs="Calibri"/>
                <w:color w:val="000000"/>
                <w:sz w:val="18"/>
                <w:szCs w:val="18"/>
              </w:rPr>
              <w:t xml:space="preserve">Crude </w:t>
            </w:r>
            <w:r w:rsidRPr="004E70CE">
              <w:rPr>
                <w:rFonts w:ascii="Calibri" w:hAnsi="Calibri" w:cs="Calibri"/>
                <w:color w:val="000000"/>
                <w:sz w:val="18"/>
                <w:szCs w:val="18"/>
              </w:rPr>
              <w:t>steel</w:t>
            </w:r>
          </w:p>
        </w:tc>
        <w:tc>
          <w:tcPr>
            <w:tcW w:w="1134" w:type="dxa"/>
            <w:noWrap/>
            <w:vAlign w:val="center"/>
            <w:hideMark/>
          </w:tcPr>
          <w:p w14:paraId="3A5BC550" w14:textId="3B9B3F27" w:rsidR="00141F0F" w:rsidRPr="004E70CE" w:rsidRDefault="00AC5AD8"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5-10</w:t>
            </w:r>
            <w:r w:rsidR="00141F0F" w:rsidRPr="004E70CE">
              <w:rPr>
                <w:rFonts w:ascii="Calibri" w:hAnsi="Calibri" w:cs="Calibri"/>
                <w:color w:val="000000"/>
                <w:sz w:val="18"/>
                <w:szCs w:val="18"/>
              </w:rPr>
              <w:t>%</w:t>
            </w:r>
          </w:p>
        </w:tc>
        <w:tc>
          <w:tcPr>
            <w:tcW w:w="1249" w:type="dxa"/>
            <w:noWrap/>
            <w:vAlign w:val="center"/>
            <w:hideMark/>
          </w:tcPr>
          <w:p w14:paraId="6DAD6820" w14:textId="2EFCCE3B" w:rsidR="00141F0F" w:rsidRPr="004E70CE" w:rsidRDefault="00737184"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0.2-0.4</w:t>
            </w:r>
          </w:p>
        </w:tc>
        <w:tc>
          <w:tcPr>
            <w:tcW w:w="1191" w:type="dxa"/>
            <w:noWrap/>
            <w:vAlign w:val="center"/>
            <w:hideMark/>
          </w:tcPr>
          <w:p w14:paraId="30807A34"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 xml:space="preserve">-3.6   </w:t>
            </w:r>
          </w:p>
        </w:tc>
        <w:tc>
          <w:tcPr>
            <w:tcW w:w="1192" w:type="dxa"/>
            <w:noWrap/>
            <w:vAlign w:val="center"/>
            <w:hideMark/>
          </w:tcPr>
          <w:p w14:paraId="4BDCE9FE"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100%</w:t>
            </w:r>
          </w:p>
        </w:tc>
        <w:tc>
          <w:tcPr>
            <w:tcW w:w="1192" w:type="dxa"/>
            <w:noWrap/>
            <w:vAlign w:val="center"/>
            <w:hideMark/>
          </w:tcPr>
          <w:p w14:paraId="75098B97" w14:textId="1D2278B4" w:rsidR="00141F0F" w:rsidRPr="004E70CE" w:rsidRDefault="009E67F3"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7</w:t>
            </w:r>
            <w:r w:rsidR="00141F0F" w:rsidRPr="004E70CE">
              <w:rPr>
                <w:rFonts w:ascii="Calibri" w:hAnsi="Calibri" w:cs="Calibri"/>
                <w:color w:val="000000"/>
                <w:sz w:val="18"/>
                <w:szCs w:val="18"/>
              </w:rPr>
              <w:t xml:space="preserve">%   </w:t>
            </w:r>
          </w:p>
        </w:tc>
      </w:tr>
      <w:tr w:rsidR="00141F0F" w:rsidRPr="004E70CE" w14:paraId="5FE9CD51"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61B3E2DB" w14:textId="77777777" w:rsidR="00141F0F" w:rsidRPr="004E70CE" w:rsidRDefault="00141F0F" w:rsidP="00141F0F">
            <w:pPr>
              <w:spacing w:after="0" w:line="240" w:lineRule="auto"/>
              <w:rPr>
                <w:sz w:val="18"/>
                <w:szCs w:val="18"/>
              </w:rPr>
            </w:pPr>
            <w:r w:rsidRPr="004E70CE">
              <w:rPr>
                <w:rFonts w:ascii="Calibri" w:hAnsi="Calibri" w:cs="Calibri"/>
                <w:color w:val="000000"/>
                <w:sz w:val="18"/>
                <w:szCs w:val="18"/>
              </w:rPr>
              <w:t>Steel: Long steel products</w:t>
            </w:r>
          </w:p>
        </w:tc>
        <w:tc>
          <w:tcPr>
            <w:tcW w:w="1134" w:type="dxa"/>
            <w:noWrap/>
            <w:vAlign w:val="center"/>
            <w:hideMark/>
          </w:tcPr>
          <w:p w14:paraId="4D12D582" w14:textId="4E7D55CD" w:rsidR="00141F0F" w:rsidRPr="004E70CE" w:rsidRDefault="00AC5AD8"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0-1</w:t>
            </w:r>
            <w:r w:rsidR="00141F0F" w:rsidRPr="004E70CE">
              <w:rPr>
                <w:rFonts w:ascii="Calibri" w:hAnsi="Calibri" w:cs="Calibri"/>
                <w:color w:val="000000"/>
                <w:sz w:val="18"/>
                <w:szCs w:val="18"/>
              </w:rPr>
              <w:t>%</w:t>
            </w:r>
          </w:p>
        </w:tc>
        <w:tc>
          <w:tcPr>
            <w:tcW w:w="1249" w:type="dxa"/>
            <w:noWrap/>
            <w:vAlign w:val="center"/>
            <w:hideMark/>
          </w:tcPr>
          <w:p w14:paraId="6695AFEB" w14:textId="63038EEC" w:rsidR="00141F0F" w:rsidRPr="004E70CE" w:rsidRDefault="00737184"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0-0.2</w:t>
            </w:r>
          </w:p>
        </w:tc>
        <w:tc>
          <w:tcPr>
            <w:tcW w:w="1191" w:type="dxa"/>
            <w:noWrap/>
            <w:vAlign w:val="center"/>
            <w:hideMark/>
          </w:tcPr>
          <w:p w14:paraId="178AC675"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 xml:space="preserve">-0.4   </w:t>
            </w:r>
          </w:p>
        </w:tc>
        <w:tc>
          <w:tcPr>
            <w:tcW w:w="1192" w:type="dxa"/>
            <w:noWrap/>
            <w:vAlign w:val="center"/>
            <w:hideMark/>
          </w:tcPr>
          <w:p w14:paraId="41EC2230"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94%</w:t>
            </w:r>
          </w:p>
        </w:tc>
        <w:tc>
          <w:tcPr>
            <w:tcW w:w="1192" w:type="dxa"/>
            <w:noWrap/>
            <w:vAlign w:val="center"/>
            <w:hideMark/>
          </w:tcPr>
          <w:p w14:paraId="1AE8614F" w14:textId="39516D18"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 xml:space="preserve">0%   </w:t>
            </w:r>
          </w:p>
        </w:tc>
      </w:tr>
      <w:tr w:rsidR="00141F0F" w:rsidRPr="004E70CE" w14:paraId="3319CACB"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776906B" w14:textId="77777777" w:rsidR="00141F0F" w:rsidRPr="004E70CE" w:rsidRDefault="00141F0F" w:rsidP="00141F0F">
            <w:pPr>
              <w:spacing w:after="0" w:line="240" w:lineRule="auto"/>
              <w:rPr>
                <w:sz w:val="18"/>
                <w:szCs w:val="18"/>
              </w:rPr>
            </w:pPr>
            <w:r w:rsidRPr="004E70CE">
              <w:rPr>
                <w:rFonts w:ascii="Calibri" w:hAnsi="Calibri" w:cs="Calibri"/>
                <w:color w:val="000000"/>
                <w:sz w:val="18"/>
                <w:szCs w:val="18"/>
              </w:rPr>
              <w:t>Steel: Flat steel products</w:t>
            </w:r>
          </w:p>
        </w:tc>
        <w:tc>
          <w:tcPr>
            <w:tcW w:w="1134" w:type="dxa"/>
            <w:noWrap/>
            <w:vAlign w:val="center"/>
            <w:hideMark/>
          </w:tcPr>
          <w:p w14:paraId="0A8F133E" w14:textId="03D30079" w:rsidR="00141F0F" w:rsidRPr="004E70CE" w:rsidRDefault="00AC5AD8"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1-3</w:t>
            </w:r>
            <w:r w:rsidR="00141F0F" w:rsidRPr="004E70CE">
              <w:rPr>
                <w:rFonts w:ascii="Calibri" w:hAnsi="Calibri" w:cs="Calibri"/>
                <w:color w:val="000000"/>
                <w:sz w:val="18"/>
                <w:szCs w:val="18"/>
              </w:rPr>
              <w:t>%</w:t>
            </w:r>
          </w:p>
        </w:tc>
        <w:tc>
          <w:tcPr>
            <w:tcW w:w="1249" w:type="dxa"/>
            <w:noWrap/>
            <w:vAlign w:val="center"/>
            <w:hideMark/>
          </w:tcPr>
          <w:p w14:paraId="2DE1F81B" w14:textId="75121F52" w:rsidR="00141F0F" w:rsidRPr="004E70CE" w:rsidRDefault="00737184"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0-0.2</w:t>
            </w:r>
          </w:p>
        </w:tc>
        <w:tc>
          <w:tcPr>
            <w:tcW w:w="1191" w:type="dxa"/>
            <w:noWrap/>
            <w:vAlign w:val="center"/>
            <w:hideMark/>
          </w:tcPr>
          <w:p w14:paraId="50F801B1"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 xml:space="preserve">-0.4   </w:t>
            </w:r>
          </w:p>
        </w:tc>
        <w:tc>
          <w:tcPr>
            <w:tcW w:w="1192" w:type="dxa"/>
            <w:noWrap/>
            <w:vAlign w:val="center"/>
            <w:hideMark/>
          </w:tcPr>
          <w:p w14:paraId="5565D3FE"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100%</w:t>
            </w:r>
          </w:p>
        </w:tc>
        <w:tc>
          <w:tcPr>
            <w:tcW w:w="1192" w:type="dxa"/>
            <w:noWrap/>
            <w:vAlign w:val="center"/>
            <w:hideMark/>
          </w:tcPr>
          <w:p w14:paraId="3E82984E" w14:textId="50C5D1C3"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 xml:space="preserve">0%   </w:t>
            </w:r>
          </w:p>
        </w:tc>
      </w:tr>
      <w:tr w:rsidR="00141F0F" w:rsidRPr="004E70CE" w14:paraId="0183AC42"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F859B25" w14:textId="77777777" w:rsidR="00141F0F" w:rsidRPr="004E70CE" w:rsidRDefault="00141F0F" w:rsidP="00141F0F">
            <w:pPr>
              <w:spacing w:after="0" w:line="240" w:lineRule="auto"/>
              <w:rPr>
                <w:sz w:val="18"/>
                <w:szCs w:val="18"/>
              </w:rPr>
            </w:pPr>
            <w:r w:rsidRPr="004E70CE">
              <w:rPr>
                <w:rFonts w:ascii="Calibri" w:hAnsi="Calibri" w:cs="Calibri"/>
                <w:color w:val="000000"/>
                <w:sz w:val="18"/>
                <w:szCs w:val="18"/>
              </w:rPr>
              <w:t>Steel: Treated steel flat products</w:t>
            </w:r>
          </w:p>
        </w:tc>
        <w:tc>
          <w:tcPr>
            <w:tcW w:w="1134" w:type="dxa"/>
            <w:noWrap/>
            <w:vAlign w:val="center"/>
            <w:hideMark/>
          </w:tcPr>
          <w:p w14:paraId="439DCCA2" w14:textId="500CFB55" w:rsidR="00141F0F" w:rsidRPr="004E70CE" w:rsidRDefault="00AC5AD8"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3-5</w:t>
            </w:r>
            <w:r w:rsidR="00141F0F" w:rsidRPr="004E70CE">
              <w:rPr>
                <w:rFonts w:ascii="Calibri" w:hAnsi="Calibri" w:cs="Calibri"/>
                <w:color w:val="000000"/>
                <w:sz w:val="18"/>
                <w:szCs w:val="18"/>
              </w:rPr>
              <w:t>%</w:t>
            </w:r>
          </w:p>
        </w:tc>
        <w:tc>
          <w:tcPr>
            <w:tcW w:w="1249" w:type="dxa"/>
            <w:noWrap/>
            <w:vAlign w:val="center"/>
            <w:hideMark/>
          </w:tcPr>
          <w:p w14:paraId="17C035CD" w14:textId="1DF48506" w:rsidR="00141F0F" w:rsidRPr="004E70CE" w:rsidRDefault="00737184"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0.4-0.6</w:t>
            </w:r>
          </w:p>
        </w:tc>
        <w:tc>
          <w:tcPr>
            <w:tcW w:w="1191" w:type="dxa"/>
            <w:noWrap/>
            <w:vAlign w:val="center"/>
            <w:hideMark/>
          </w:tcPr>
          <w:p w14:paraId="43DCAFDF"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 xml:space="preserve">-3.4   </w:t>
            </w:r>
          </w:p>
        </w:tc>
        <w:tc>
          <w:tcPr>
            <w:tcW w:w="1192" w:type="dxa"/>
            <w:noWrap/>
            <w:vAlign w:val="center"/>
            <w:hideMark/>
          </w:tcPr>
          <w:p w14:paraId="0453D2E9"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59%</w:t>
            </w:r>
          </w:p>
        </w:tc>
        <w:tc>
          <w:tcPr>
            <w:tcW w:w="1192" w:type="dxa"/>
            <w:noWrap/>
            <w:vAlign w:val="center"/>
            <w:hideMark/>
          </w:tcPr>
          <w:p w14:paraId="1ECEE068" w14:textId="1D12CF63" w:rsidR="00141F0F" w:rsidRPr="004E70CE" w:rsidRDefault="00982AE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10</w:t>
            </w:r>
            <w:r w:rsidR="00141F0F" w:rsidRPr="004E70CE">
              <w:rPr>
                <w:rFonts w:ascii="Calibri" w:hAnsi="Calibri" w:cs="Calibri"/>
                <w:color w:val="000000"/>
                <w:sz w:val="18"/>
                <w:szCs w:val="18"/>
              </w:rPr>
              <w:t xml:space="preserve">%   </w:t>
            </w:r>
          </w:p>
        </w:tc>
      </w:tr>
      <w:tr w:rsidR="001C447A" w:rsidRPr="004E70CE" w14:paraId="38FFCAD5"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3374157A" w14:textId="77777777" w:rsidR="00141F0F" w:rsidRPr="004E70CE" w:rsidRDefault="00141F0F" w:rsidP="00141F0F">
            <w:pPr>
              <w:spacing w:after="0" w:line="240" w:lineRule="auto"/>
              <w:rPr>
                <w:sz w:val="18"/>
                <w:szCs w:val="18"/>
              </w:rPr>
            </w:pPr>
            <w:r w:rsidRPr="004E70CE">
              <w:rPr>
                <w:rFonts w:ascii="Calibri" w:hAnsi="Calibri" w:cs="Calibri"/>
                <w:sz w:val="18"/>
                <w:szCs w:val="18"/>
              </w:rPr>
              <w:t>Cement production: Cement</w:t>
            </w:r>
          </w:p>
        </w:tc>
        <w:tc>
          <w:tcPr>
            <w:tcW w:w="1134" w:type="dxa"/>
            <w:noWrap/>
            <w:vAlign w:val="center"/>
            <w:hideMark/>
          </w:tcPr>
          <w:p w14:paraId="0768B753" w14:textId="75AAC4D4" w:rsidR="00141F0F" w:rsidRPr="004E70CE" w:rsidRDefault="00AC5AD8"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sz w:val="18"/>
                <w:szCs w:val="18"/>
              </w:rPr>
              <w:t>5-10</w:t>
            </w:r>
            <w:r w:rsidR="00141F0F" w:rsidRPr="004E70CE">
              <w:rPr>
                <w:rFonts w:ascii="Calibri" w:hAnsi="Calibri" w:cs="Calibri"/>
                <w:sz w:val="18"/>
                <w:szCs w:val="18"/>
              </w:rPr>
              <w:t>%</w:t>
            </w:r>
          </w:p>
        </w:tc>
        <w:tc>
          <w:tcPr>
            <w:tcW w:w="1249" w:type="dxa"/>
            <w:noWrap/>
            <w:vAlign w:val="center"/>
            <w:hideMark/>
          </w:tcPr>
          <w:p w14:paraId="574DAD80" w14:textId="3DEAF34F" w:rsidR="00141F0F" w:rsidRPr="004E70CE" w:rsidRDefault="00737184"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sz w:val="18"/>
                <w:szCs w:val="18"/>
              </w:rPr>
              <w:t>0-0.2</w:t>
            </w:r>
          </w:p>
        </w:tc>
        <w:tc>
          <w:tcPr>
            <w:tcW w:w="1191" w:type="dxa"/>
            <w:noWrap/>
            <w:vAlign w:val="center"/>
            <w:hideMark/>
          </w:tcPr>
          <w:p w14:paraId="5A05EE7D"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sz w:val="18"/>
                <w:szCs w:val="18"/>
              </w:rPr>
              <w:t xml:space="preserve">-0.6   </w:t>
            </w:r>
          </w:p>
        </w:tc>
        <w:tc>
          <w:tcPr>
            <w:tcW w:w="1192" w:type="dxa"/>
            <w:noWrap/>
            <w:vAlign w:val="center"/>
            <w:hideMark/>
          </w:tcPr>
          <w:p w14:paraId="309B119F"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sz w:val="18"/>
                <w:szCs w:val="18"/>
              </w:rPr>
              <w:t>100%</w:t>
            </w:r>
          </w:p>
        </w:tc>
        <w:tc>
          <w:tcPr>
            <w:tcW w:w="1192" w:type="dxa"/>
            <w:noWrap/>
            <w:vAlign w:val="center"/>
            <w:hideMark/>
          </w:tcPr>
          <w:p w14:paraId="47FFBCEE" w14:textId="334DFE3D"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sz w:val="18"/>
                <w:szCs w:val="18"/>
              </w:rPr>
              <w:t xml:space="preserve">0%   </w:t>
            </w:r>
          </w:p>
        </w:tc>
      </w:tr>
      <w:tr w:rsidR="001C447A" w:rsidRPr="004E70CE" w14:paraId="0F88079E"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48151516" w14:textId="77777777" w:rsidR="00141F0F" w:rsidRPr="004E70CE" w:rsidRDefault="00141F0F" w:rsidP="00141F0F">
            <w:pPr>
              <w:spacing w:after="0" w:line="240" w:lineRule="auto"/>
              <w:rPr>
                <w:sz w:val="18"/>
                <w:szCs w:val="18"/>
              </w:rPr>
            </w:pPr>
            <w:r w:rsidRPr="004E70CE">
              <w:rPr>
                <w:rFonts w:ascii="Calibri" w:hAnsi="Calibri" w:cs="Calibri"/>
                <w:sz w:val="18"/>
                <w:szCs w:val="18"/>
              </w:rPr>
              <w:t>Cement production: Clinker</w:t>
            </w:r>
          </w:p>
        </w:tc>
        <w:tc>
          <w:tcPr>
            <w:tcW w:w="1134" w:type="dxa"/>
            <w:noWrap/>
            <w:vAlign w:val="center"/>
            <w:hideMark/>
          </w:tcPr>
          <w:p w14:paraId="6BD6C04F" w14:textId="5B033342" w:rsidR="00141F0F" w:rsidRPr="004E70CE" w:rsidRDefault="00AC5AD8"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sz w:val="18"/>
                <w:szCs w:val="18"/>
              </w:rPr>
              <w:t>20-30</w:t>
            </w:r>
            <w:r w:rsidR="00141F0F" w:rsidRPr="004E70CE">
              <w:rPr>
                <w:rFonts w:ascii="Calibri" w:hAnsi="Calibri" w:cs="Calibri"/>
                <w:sz w:val="18"/>
                <w:szCs w:val="18"/>
              </w:rPr>
              <w:t>%</w:t>
            </w:r>
          </w:p>
        </w:tc>
        <w:tc>
          <w:tcPr>
            <w:tcW w:w="1249" w:type="dxa"/>
            <w:noWrap/>
            <w:vAlign w:val="center"/>
            <w:hideMark/>
          </w:tcPr>
          <w:p w14:paraId="289C964E" w14:textId="7EBA080D" w:rsidR="00141F0F" w:rsidRPr="004E70CE" w:rsidRDefault="00737184"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sz w:val="18"/>
                <w:szCs w:val="18"/>
              </w:rPr>
              <w:t>0-0.2</w:t>
            </w:r>
          </w:p>
        </w:tc>
        <w:tc>
          <w:tcPr>
            <w:tcW w:w="1191" w:type="dxa"/>
            <w:noWrap/>
            <w:vAlign w:val="center"/>
            <w:hideMark/>
          </w:tcPr>
          <w:p w14:paraId="1A3EEEB4"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sz w:val="18"/>
                <w:szCs w:val="18"/>
              </w:rPr>
              <w:t>N/A</w:t>
            </w:r>
          </w:p>
        </w:tc>
        <w:tc>
          <w:tcPr>
            <w:tcW w:w="1192" w:type="dxa"/>
            <w:noWrap/>
            <w:vAlign w:val="center"/>
            <w:hideMark/>
          </w:tcPr>
          <w:p w14:paraId="7B5823FD"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sz w:val="18"/>
                <w:szCs w:val="18"/>
              </w:rPr>
              <w:t>100%</w:t>
            </w:r>
          </w:p>
        </w:tc>
        <w:tc>
          <w:tcPr>
            <w:tcW w:w="1192" w:type="dxa"/>
            <w:noWrap/>
            <w:vAlign w:val="center"/>
            <w:hideMark/>
          </w:tcPr>
          <w:p w14:paraId="7F698E60"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sz w:val="18"/>
                <w:szCs w:val="18"/>
              </w:rPr>
              <w:t>N/A</w:t>
            </w:r>
          </w:p>
        </w:tc>
      </w:tr>
      <w:tr w:rsidR="001C447A" w:rsidRPr="004E70CE" w14:paraId="30EA9349"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098ECEC" w14:textId="77777777" w:rsidR="00141F0F" w:rsidRPr="004E70CE" w:rsidRDefault="00141F0F" w:rsidP="00141F0F">
            <w:pPr>
              <w:spacing w:after="0" w:line="240" w:lineRule="auto"/>
              <w:rPr>
                <w:sz w:val="18"/>
                <w:szCs w:val="18"/>
              </w:rPr>
            </w:pPr>
            <w:r w:rsidRPr="004E70CE">
              <w:rPr>
                <w:rFonts w:ascii="Calibri" w:hAnsi="Calibri" w:cs="Calibri"/>
                <w:sz w:val="18"/>
                <w:szCs w:val="18"/>
              </w:rPr>
              <w:t>Cement production: Lime</w:t>
            </w:r>
          </w:p>
        </w:tc>
        <w:tc>
          <w:tcPr>
            <w:tcW w:w="1134" w:type="dxa"/>
            <w:noWrap/>
            <w:vAlign w:val="center"/>
            <w:hideMark/>
          </w:tcPr>
          <w:p w14:paraId="35C6003D" w14:textId="0414AB11" w:rsidR="00141F0F" w:rsidRPr="004E70CE" w:rsidRDefault="00AC5AD8"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sz w:val="18"/>
                <w:szCs w:val="18"/>
              </w:rPr>
              <w:t>5-10</w:t>
            </w:r>
            <w:r w:rsidR="00141F0F" w:rsidRPr="004E70CE">
              <w:rPr>
                <w:rFonts w:ascii="Calibri" w:hAnsi="Calibri" w:cs="Calibri"/>
                <w:sz w:val="18"/>
                <w:szCs w:val="18"/>
              </w:rPr>
              <w:t>%</w:t>
            </w:r>
          </w:p>
        </w:tc>
        <w:tc>
          <w:tcPr>
            <w:tcW w:w="1249" w:type="dxa"/>
            <w:noWrap/>
            <w:vAlign w:val="center"/>
            <w:hideMark/>
          </w:tcPr>
          <w:p w14:paraId="0803EA39" w14:textId="74242EA4" w:rsidR="00141F0F" w:rsidRPr="004E70CE" w:rsidRDefault="00737184"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sz w:val="18"/>
                <w:szCs w:val="18"/>
              </w:rPr>
              <w:t>0-0.2</w:t>
            </w:r>
          </w:p>
        </w:tc>
        <w:tc>
          <w:tcPr>
            <w:tcW w:w="1191" w:type="dxa"/>
            <w:noWrap/>
            <w:vAlign w:val="center"/>
            <w:hideMark/>
          </w:tcPr>
          <w:p w14:paraId="193D39D1"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sz w:val="18"/>
                <w:szCs w:val="18"/>
              </w:rPr>
              <w:t xml:space="preserve">-2.6   </w:t>
            </w:r>
          </w:p>
        </w:tc>
        <w:tc>
          <w:tcPr>
            <w:tcW w:w="1192" w:type="dxa"/>
            <w:noWrap/>
            <w:vAlign w:val="center"/>
            <w:hideMark/>
          </w:tcPr>
          <w:p w14:paraId="5CDFC7BD"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sz w:val="18"/>
                <w:szCs w:val="18"/>
              </w:rPr>
              <w:t>74%</w:t>
            </w:r>
          </w:p>
        </w:tc>
        <w:tc>
          <w:tcPr>
            <w:tcW w:w="1192" w:type="dxa"/>
            <w:noWrap/>
            <w:vAlign w:val="center"/>
            <w:hideMark/>
          </w:tcPr>
          <w:p w14:paraId="0FFE7C13" w14:textId="27F34B8C"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sz w:val="18"/>
                <w:szCs w:val="18"/>
              </w:rPr>
              <w:t xml:space="preserve">0%   </w:t>
            </w:r>
          </w:p>
        </w:tc>
      </w:tr>
      <w:tr w:rsidR="00141F0F" w:rsidRPr="004E70CE" w14:paraId="0B8AAD98"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32211BB5" w14:textId="77777777" w:rsidR="00141F0F" w:rsidRPr="004E70CE" w:rsidRDefault="00141F0F" w:rsidP="00141F0F">
            <w:pPr>
              <w:spacing w:after="0" w:line="240" w:lineRule="auto"/>
              <w:rPr>
                <w:sz w:val="18"/>
                <w:szCs w:val="18"/>
              </w:rPr>
            </w:pPr>
            <w:r w:rsidRPr="004E70CE">
              <w:rPr>
                <w:rFonts w:ascii="Calibri" w:hAnsi="Calibri" w:cs="Calibri"/>
                <w:color w:val="000000"/>
                <w:sz w:val="18"/>
                <w:szCs w:val="18"/>
              </w:rPr>
              <w:t>Chemicals: Ammonia</w:t>
            </w:r>
          </w:p>
        </w:tc>
        <w:tc>
          <w:tcPr>
            <w:tcW w:w="1134" w:type="dxa"/>
            <w:noWrap/>
            <w:vAlign w:val="center"/>
            <w:hideMark/>
          </w:tcPr>
          <w:p w14:paraId="3B30AD78" w14:textId="3BA5FF52" w:rsidR="00141F0F" w:rsidRPr="004E70CE" w:rsidRDefault="00AC5AD8"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1-3</w:t>
            </w:r>
            <w:r w:rsidR="00141F0F" w:rsidRPr="004E70CE">
              <w:rPr>
                <w:rFonts w:ascii="Calibri" w:hAnsi="Calibri" w:cs="Calibri"/>
                <w:color w:val="000000"/>
                <w:sz w:val="18"/>
                <w:szCs w:val="18"/>
              </w:rPr>
              <w:t>%</w:t>
            </w:r>
          </w:p>
        </w:tc>
        <w:tc>
          <w:tcPr>
            <w:tcW w:w="1249" w:type="dxa"/>
            <w:noWrap/>
            <w:vAlign w:val="center"/>
            <w:hideMark/>
          </w:tcPr>
          <w:p w14:paraId="557BAFB5" w14:textId="40891771" w:rsidR="00141F0F" w:rsidRPr="004E70CE" w:rsidRDefault="00737184"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0-0.2</w:t>
            </w:r>
          </w:p>
        </w:tc>
        <w:tc>
          <w:tcPr>
            <w:tcW w:w="1191" w:type="dxa"/>
            <w:noWrap/>
            <w:vAlign w:val="center"/>
            <w:hideMark/>
          </w:tcPr>
          <w:p w14:paraId="051087CD"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-3.</w:t>
            </w:r>
            <w:r w:rsidR="00090C27" w:rsidRPr="004E70CE">
              <w:rPr>
                <w:rFonts w:ascii="Calibri" w:hAnsi="Calibri" w:cs="Calibri"/>
                <w:color w:val="000000"/>
                <w:sz w:val="18"/>
                <w:szCs w:val="18"/>
              </w:rPr>
              <w:t xml:space="preserve">4  </w:t>
            </w:r>
          </w:p>
        </w:tc>
        <w:tc>
          <w:tcPr>
            <w:tcW w:w="1192" w:type="dxa"/>
            <w:noWrap/>
            <w:vAlign w:val="center"/>
            <w:hideMark/>
          </w:tcPr>
          <w:p w14:paraId="66367D2A"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100%</w:t>
            </w:r>
          </w:p>
        </w:tc>
        <w:tc>
          <w:tcPr>
            <w:tcW w:w="1192" w:type="dxa"/>
            <w:noWrap/>
            <w:vAlign w:val="center"/>
            <w:hideMark/>
          </w:tcPr>
          <w:p w14:paraId="536CAF37" w14:textId="4E81A928" w:rsidR="00141F0F" w:rsidRPr="004E70CE" w:rsidRDefault="00982AE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1</w:t>
            </w:r>
            <w:r w:rsidR="00141F0F" w:rsidRPr="004E70CE">
              <w:rPr>
                <w:rFonts w:ascii="Calibri" w:hAnsi="Calibri" w:cs="Calibri"/>
                <w:color w:val="000000"/>
                <w:sz w:val="18"/>
                <w:szCs w:val="18"/>
              </w:rPr>
              <w:t xml:space="preserve">%   </w:t>
            </w:r>
          </w:p>
        </w:tc>
      </w:tr>
      <w:tr w:rsidR="00141F0F" w:rsidRPr="004E70CE" w14:paraId="7EBD7515"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6232672D" w14:textId="77777777" w:rsidR="00141F0F" w:rsidRPr="004E70CE" w:rsidRDefault="00141F0F" w:rsidP="00141F0F">
            <w:pPr>
              <w:spacing w:after="0" w:line="240" w:lineRule="auto"/>
              <w:rPr>
                <w:sz w:val="18"/>
                <w:szCs w:val="18"/>
              </w:rPr>
            </w:pPr>
            <w:r w:rsidRPr="004E70CE">
              <w:rPr>
                <w:rFonts w:ascii="Calibri" w:hAnsi="Calibri" w:cs="Calibri"/>
                <w:color w:val="000000"/>
                <w:sz w:val="18"/>
                <w:szCs w:val="18"/>
              </w:rPr>
              <w:t>Chemicals: Ammonium nitrate</w:t>
            </w:r>
          </w:p>
        </w:tc>
        <w:tc>
          <w:tcPr>
            <w:tcW w:w="1134" w:type="dxa"/>
            <w:noWrap/>
            <w:vAlign w:val="center"/>
            <w:hideMark/>
          </w:tcPr>
          <w:p w14:paraId="42AD03B6" w14:textId="5F433EF1" w:rsidR="00141F0F" w:rsidRPr="004E70CE" w:rsidRDefault="00AC5AD8"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1-3</w:t>
            </w:r>
            <w:r w:rsidR="00141F0F" w:rsidRPr="004E70CE">
              <w:rPr>
                <w:rFonts w:ascii="Calibri" w:hAnsi="Calibri" w:cs="Calibri"/>
                <w:color w:val="000000"/>
                <w:sz w:val="18"/>
                <w:szCs w:val="18"/>
              </w:rPr>
              <w:t>%</w:t>
            </w:r>
          </w:p>
        </w:tc>
        <w:tc>
          <w:tcPr>
            <w:tcW w:w="1249" w:type="dxa"/>
            <w:noWrap/>
            <w:vAlign w:val="center"/>
            <w:hideMark/>
          </w:tcPr>
          <w:p w14:paraId="02743935" w14:textId="68B0F1A1" w:rsidR="00141F0F" w:rsidRPr="004E70CE" w:rsidRDefault="00737184"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0-0.2</w:t>
            </w:r>
          </w:p>
        </w:tc>
        <w:tc>
          <w:tcPr>
            <w:tcW w:w="1191" w:type="dxa"/>
            <w:noWrap/>
            <w:vAlign w:val="center"/>
            <w:hideMark/>
          </w:tcPr>
          <w:p w14:paraId="3FC362CC"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 xml:space="preserve">-11.0   </w:t>
            </w:r>
          </w:p>
        </w:tc>
        <w:tc>
          <w:tcPr>
            <w:tcW w:w="1192" w:type="dxa"/>
            <w:noWrap/>
            <w:vAlign w:val="center"/>
            <w:hideMark/>
          </w:tcPr>
          <w:p w14:paraId="45B1FCF6"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100%</w:t>
            </w:r>
          </w:p>
        </w:tc>
        <w:tc>
          <w:tcPr>
            <w:tcW w:w="1192" w:type="dxa"/>
            <w:noWrap/>
            <w:vAlign w:val="center"/>
            <w:hideMark/>
          </w:tcPr>
          <w:p w14:paraId="58423378" w14:textId="31D29478" w:rsidR="00141F0F" w:rsidRPr="004E70CE" w:rsidRDefault="00982AE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0</w:t>
            </w:r>
            <w:r w:rsidR="00141F0F" w:rsidRPr="004E70CE">
              <w:rPr>
                <w:rFonts w:ascii="Calibri" w:hAnsi="Calibri" w:cs="Calibri"/>
                <w:color w:val="000000"/>
                <w:sz w:val="18"/>
                <w:szCs w:val="18"/>
              </w:rPr>
              <w:t xml:space="preserve">%   </w:t>
            </w:r>
          </w:p>
        </w:tc>
      </w:tr>
      <w:tr w:rsidR="00141F0F" w:rsidRPr="004E70CE" w14:paraId="5319CA38"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45419573" w14:textId="77777777" w:rsidR="00141F0F" w:rsidRPr="004E70CE" w:rsidRDefault="00141F0F" w:rsidP="00141F0F">
            <w:pPr>
              <w:spacing w:after="0" w:line="240" w:lineRule="auto"/>
              <w:rPr>
                <w:sz w:val="18"/>
                <w:szCs w:val="18"/>
              </w:rPr>
            </w:pPr>
            <w:r w:rsidRPr="004E70CE">
              <w:rPr>
                <w:rFonts w:ascii="Calibri" w:hAnsi="Calibri" w:cs="Calibri"/>
                <w:color w:val="000000"/>
                <w:sz w:val="18"/>
                <w:szCs w:val="18"/>
              </w:rPr>
              <w:t>Chemicals: Ammonium phosphate</w:t>
            </w:r>
          </w:p>
        </w:tc>
        <w:tc>
          <w:tcPr>
            <w:tcW w:w="1134" w:type="dxa"/>
            <w:noWrap/>
            <w:vAlign w:val="center"/>
            <w:hideMark/>
          </w:tcPr>
          <w:p w14:paraId="000F2922" w14:textId="427C4D15" w:rsidR="00141F0F" w:rsidRPr="004E70CE" w:rsidRDefault="00AC5AD8"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0-</w:t>
            </w:r>
            <w:r w:rsidR="0094696D" w:rsidRPr="004E70CE">
              <w:rPr>
                <w:rFonts w:ascii="Calibri" w:hAnsi="Calibri" w:cs="Calibri"/>
                <w:color w:val="000000"/>
                <w:sz w:val="18"/>
                <w:szCs w:val="18"/>
              </w:rPr>
              <w:t>1</w:t>
            </w:r>
            <w:r w:rsidR="00141F0F" w:rsidRPr="004E70CE">
              <w:rPr>
                <w:rFonts w:ascii="Calibri" w:hAnsi="Calibri" w:cs="Calibri"/>
                <w:color w:val="000000"/>
                <w:sz w:val="18"/>
                <w:szCs w:val="18"/>
              </w:rPr>
              <w:t>%</w:t>
            </w:r>
          </w:p>
        </w:tc>
        <w:tc>
          <w:tcPr>
            <w:tcW w:w="1249" w:type="dxa"/>
            <w:noWrap/>
            <w:vAlign w:val="center"/>
            <w:hideMark/>
          </w:tcPr>
          <w:p w14:paraId="60A9B459" w14:textId="1E580FD0" w:rsidR="00141F0F" w:rsidRPr="004E70CE" w:rsidRDefault="00737184"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0.6-0.8</w:t>
            </w:r>
          </w:p>
        </w:tc>
        <w:tc>
          <w:tcPr>
            <w:tcW w:w="1191" w:type="dxa"/>
            <w:noWrap/>
            <w:vAlign w:val="center"/>
            <w:hideMark/>
          </w:tcPr>
          <w:p w14:paraId="6978A09C"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N/A</w:t>
            </w:r>
          </w:p>
        </w:tc>
        <w:tc>
          <w:tcPr>
            <w:tcW w:w="1192" w:type="dxa"/>
            <w:noWrap/>
            <w:vAlign w:val="center"/>
            <w:hideMark/>
          </w:tcPr>
          <w:p w14:paraId="53B665D3"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100%</w:t>
            </w:r>
          </w:p>
        </w:tc>
        <w:tc>
          <w:tcPr>
            <w:tcW w:w="1192" w:type="dxa"/>
            <w:noWrap/>
            <w:vAlign w:val="center"/>
            <w:hideMark/>
          </w:tcPr>
          <w:p w14:paraId="176D31BC"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N/A</w:t>
            </w:r>
          </w:p>
        </w:tc>
      </w:tr>
      <w:tr w:rsidR="001C447A" w:rsidRPr="004E70CE" w14:paraId="6B6CEA6D"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1F6FA6C7" w14:textId="77777777" w:rsidR="00141F0F" w:rsidRPr="004E70CE" w:rsidRDefault="00141F0F" w:rsidP="00141F0F">
            <w:pPr>
              <w:spacing w:after="0" w:line="240" w:lineRule="auto"/>
              <w:rPr>
                <w:sz w:val="18"/>
                <w:szCs w:val="18"/>
              </w:rPr>
            </w:pPr>
            <w:r w:rsidRPr="004E70CE">
              <w:rPr>
                <w:rFonts w:ascii="Calibri" w:hAnsi="Calibri" w:cs="Calibri"/>
                <w:sz w:val="18"/>
                <w:szCs w:val="18"/>
              </w:rPr>
              <w:t>Chemicals: Urea</w:t>
            </w:r>
          </w:p>
        </w:tc>
        <w:tc>
          <w:tcPr>
            <w:tcW w:w="1134" w:type="dxa"/>
            <w:noWrap/>
            <w:vAlign w:val="center"/>
            <w:hideMark/>
          </w:tcPr>
          <w:p w14:paraId="195DF15E" w14:textId="389663A8" w:rsidR="00141F0F" w:rsidRPr="004E70CE" w:rsidRDefault="00AC5AD8"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sz w:val="18"/>
                <w:szCs w:val="18"/>
              </w:rPr>
              <w:t>1-3</w:t>
            </w:r>
            <w:r w:rsidR="00141F0F" w:rsidRPr="004E70CE">
              <w:rPr>
                <w:rFonts w:ascii="Calibri" w:hAnsi="Calibri" w:cs="Calibri"/>
                <w:sz w:val="18"/>
                <w:szCs w:val="18"/>
              </w:rPr>
              <w:t>%</w:t>
            </w:r>
          </w:p>
        </w:tc>
        <w:tc>
          <w:tcPr>
            <w:tcW w:w="1249" w:type="dxa"/>
            <w:noWrap/>
            <w:vAlign w:val="center"/>
            <w:hideMark/>
          </w:tcPr>
          <w:p w14:paraId="44016B28" w14:textId="046EB9E3" w:rsidR="00141F0F" w:rsidRPr="004E70CE" w:rsidRDefault="00737184"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sz w:val="18"/>
                <w:szCs w:val="18"/>
              </w:rPr>
              <w:t>0-0.2</w:t>
            </w:r>
          </w:p>
        </w:tc>
        <w:tc>
          <w:tcPr>
            <w:tcW w:w="1191" w:type="dxa"/>
            <w:noWrap/>
            <w:vAlign w:val="center"/>
            <w:hideMark/>
          </w:tcPr>
          <w:p w14:paraId="0578A65E"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sz w:val="18"/>
                <w:szCs w:val="18"/>
              </w:rPr>
              <w:t xml:space="preserve">-1.1   </w:t>
            </w:r>
          </w:p>
        </w:tc>
        <w:tc>
          <w:tcPr>
            <w:tcW w:w="1192" w:type="dxa"/>
            <w:noWrap/>
            <w:vAlign w:val="center"/>
            <w:hideMark/>
          </w:tcPr>
          <w:p w14:paraId="0093068B"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sz w:val="18"/>
                <w:szCs w:val="18"/>
              </w:rPr>
              <w:t>100%</w:t>
            </w:r>
          </w:p>
        </w:tc>
        <w:tc>
          <w:tcPr>
            <w:tcW w:w="1192" w:type="dxa"/>
            <w:noWrap/>
            <w:vAlign w:val="center"/>
            <w:hideMark/>
          </w:tcPr>
          <w:p w14:paraId="236EC449" w14:textId="2926BD0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sz w:val="18"/>
                <w:szCs w:val="18"/>
              </w:rPr>
              <w:t xml:space="preserve">0%   </w:t>
            </w:r>
          </w:p>
        </w:tc>
      </w:tr>
      <w:tr w:rsidR="00141F0F" w:rsidRPr="004E70CE" w14:paraId="293A1A92"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4C6A4EFF" w14:textId="77777777" w:rsidR="00141F0F" w:rsidRPr="004E70CE" w:rsidRDefault="00141F0F" w:rsidP="00141F0F">
            <w:pPr>
              <w:spacing w:after="0" w:line="240" w:lineRule="auto"/>
              <w:rPr>
                <w:sz w:val="18"/>
                <w:szCs w:val="18"/>
              </w:rPr>
            </w:pPr>
            <w:r w:rsidRPr="004E70CE">
              <w:rPr>
                <w:rFonts w:ascii="Calibri" w:hAnsi="Calibri" w:cs="Calibri"/>
                <w:color w:val="000000"/>
                <w:sz w:val="18"/>
                <w:szCs w:val="18"/>
              </w:rPr>
              <w:t>Alumina and aluminium: Aluminium</w:t>
            </w:r>
          </w:p>
        </w:tc>
        <w:tc>
          <w:tcPr>
            <w:tcW w:w="1134" w:type="dxa"/>
            <w:noWrap/>
            <w:vAlign w:val="center"/>
            <w:hideMark/>
          </w:tcPr>
          <w:p w14:paraId="25656461" w14:textId="4E2E9108" w:rsidR="00141F0F" w:rsidRPr="004E70CE" w:rsidRDefault="00AC5AD8"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1-3</w:t>
            </w:r>
            <w:r w:rsidR="00141F0F" w:rsidRPr="004E70CE">
              <w:rPr>
                <w:rFonts w:ascii="Calibri" w:hAnsi="Calibri" w:cs="Calibri"/>
                <w:color w:val="000000"/>
                <w:sz w:val="18"/>
                <w:szCs w:val="18"/>
              </w:rPr>
              <w:t>%</w:t>
            </w:r>
          </w:p>
        </w:tc>
        <w:tc>
          <w:tcPr>
            <w:tcW w:w="1249" w:type="dxa"/>
            <w:noWrap/>
            <w:vAlign w:val="center"/>
            <w:hideMark/>
          </w:tcPr>
          <w:p w14:paraId="3DC8AB9D" w14:textId="29BB1807" w:rsidR="00141F0F" w:rsidRPr="004E70CE" w:rsidRDefault="00737184"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0.8-1.0</w:t>
            </w:r>
          </w:p>
        </w:tc>
        <w:tc>
          <w:tcPr>
            <w:tcW w:w="1191" w:type="dxa"/>
            <w:noWrap/>
            <w:vAlign w:val="center"/>
            <w:hideMark/>
          </w:tcPr>
          <w:p w14:paraId="566C7FB9"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N/A</w:t>
            </w:r>
          </w:p>
        </w:tc>
        <w:tc>
          <w:tcPr>
            <w:tcW w:w="1192" w:type="dxa"/>
            <w:noWrap/>
            <w:vAlign w:val="center"/>
            <w:hideMark/>
          </w:tcPr>
          <w:p w14:paraId="1B6CC64F"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100%</w:t>
            </w:r>
          </w:p>
        </w:tc>
        <w:tc>
          <w:tcPr>
            <w:tcW w:w="1192" w:type="dxa"/>
            <w:noWrap/>
            <w:vAlign w:val="center"/>
            <w:hideMark/>
          </w:tcPr>
          <w:p w14:paraId="37007FF8"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N/A</w:t>
            </w:r>
          </w:p>
        </w:tc>
      </w:tr>
      <w:tr w:rsidR="00141F0F" w:rsidRPr="004E70CE" w14:paraId="0B1EABB4"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351A25D6" w14:textId="77777777" w:rsidR="00141F0F" w:rsidRPr="004E70CE" w:rsidRDefault="00141F0F" w:rsidP="00141F0F">
            <w:pPr>
              <w:spacing w:after="0" w:line="240" w:lineRule="auto"/>
              <w:rPr>
                <w:sz w:val="18"/>
                <w:szCs w:val="18"/>
              </w:rPr>
            </w:pPr>
            <w:r w:rsidRPr="004E70CE">
              <w:rPr>
                <w:rFonts w:ascii="Calibri" w:hAnsi="Calibri" w:cs="Calibri"/>
                <w:color w:val="000000"/>
                <w:sz w:val="18"/>
                <w:szCs w:val="18"/>
              </w:rPr>
              <w:t>Alumina and aluminium: Alumina</w:t>
            </w:r>
          </w:p>
        </w:tc>
        <w:tc>
          <w:tcPr>
            <w:tcW w:w="1134" w:type="dxa"/>
            <w:noWrap/>
            <w:vAlign w:val="center"/>
            <w:hideMark/>
          </w:tcPr>
          <w:p w14:paraId="472A5191" w14:textId="6B7EB16D" w:rsidR="00141F0F" w:rsidRPr="004E70CE" w:rsidRDefault="00AC5AD8"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1-3</w:t>
            </w:r>
            <w:r w:rsidR="00141F0F" w:rsidRPr="004E70CE">
              <w:rPr>
                <w:rFonts w:ascii="Calibri" w:hAnsi="Calibri" w:cs="Calibri"/>
                <w:color w:val="000000"/>
                <w:sz w:val="18"/>
                <w:szCs w:val="18"/>
              </w:rPr>
              <w:t>%</w:t>
            </w:r>
          </w:p>
        </w:tc>
        <w:tc>
          <w:tcPr>
            <w:tcW w:w="1249" w:type="dxa"/>
            <w:noWrap/>
            <w:vAlign w:val="center"/>
            <w:hideMark/>
          </w:tcPr>
          <w:p w14:paraId="3D8804D0" w14:textId="49BF203C" w:rsidR="00141F0F" w:rsidRPr="004E70CE" w:rsidRDefault="00737184"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0.8-1.0</w:t>
            </w:r>
          </w:p>
        </w:tc>
        <w:tc>
          <w:tcPr>
            <w:tcW w:w="1191" w:type="dxa"/>
            <w:noWrap/>
            <w:vAlign w:val="center"/>
            <w:hideMark/>
          </w:tcPr>
          <w:p w14:paraId="262D70F0"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 xml:space="preserve">-0.3   </w:t>
            </w:r>
          </w:p>
        </w:tc>
        <w:tc>
          <w:tcPr>
            <w:tcW w:w="1192" w:type="dxa"/>
            <w:noWrap/>
            <w:vAlign w:val="center"/>
            <w:hideMark/>
          </w:tcPr>
          <w:p w14:paraId="385264B4"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100%</w:t>
            </w:r>
          </w:p>
        </w:tc>
        <w:tc>
          <w:tcPr>
            <w:tcW w:w="1192" w:type="dxa"/>
            <w:noWrap/>
            <w:vAlign w:val="center"/>
            <w:hideMark/>
          </w:tcPr>
          <w:p w14:paraId="4BEE2C19" w14:textId="76699469"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 xml:space="preserve">0%   </w:t>
            </w:r>
          </w:p>
        </w:tc>
      </w:tr>
      <w:tr w:rsidR="00141F0F" w:rsidRPr="004E70CE" w14:paraId="18049164"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32ADCC18" w14:textId="77777777" w:rsidR="00141F0F" w:rsidRPr="004E70CE" w:rsidRDefault="00141F0F" w:rsidP="00141F0F">
            <w:pPr>
              <w:spacing w:after="0" w:line="240" w:lineRule="auto"/>
              <w:rPr>
                <w:sz w:val="18"/>
                <w:szCs w:val="18"/>
              </w:rPr>
            </w:pPr>
            <w:r w:rsidRPr="004E70CE">
              <w:rPr>
                <w:rFonts w:ascii="Calibri" w:hAnsi="Calibri" w:cs="Calibri"/>
                <w:color w:val="000000"/>
                <w:sz w:val="18"/>
                <w:szCs w:val="18"/>
              </w:rPr>
              <w:t>Alumina and aluminium: Bauxite</w:t>
            </w:r>
          </w:p>
        </w:tc>
        <w:tc>
          <w:tcPr>
            <w:tcW w:w="1134" w:type="dxa"/>
            <w:noWrap/>
            <w:vAlign w:val="center"/>
            <w:hideMark/>
          </w:tcPr>
          <w:p w14:paraId="507B74EE" w14:textId="4B6F7D0D" w:rsidR="00141F0F" w:rsidRPr="004E70CE" w:rsidRDefault="00AC5AD8"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0-1</w:t>
            </w:r>
            <w:r w:rsidR="00141F0F" w:rsidRPr="004E70CE">
              <w:rPr>
                <w:rFonts w:ascii="Calibri" w:hAnsi="Calibri" w:cs="Calibri"/>
                <w:color w:val="000000"/>
                <w:sz w:val="18"/>
                <w:szCs w:val="18"/>
              </w:rPr>
              <w:t>%</w:t>
            </w:r>
          </w:p>
        </w:tc>
        <w:tc>
          <w:tcPr>
            <w:tcW w:w="1249" w:type="dxa"/>
            <w:noWrap/>
            <w:vAlign w:val="center"/>
            <w:hideMark/>
          </w:tcPr>
          <w:p w14:paraId="2B41C1DA" w14:textId="10136C62" w:rsidR="00141F0F" w:rsidRPr="004E70CE" w:rsidRDefault="00BB0DE5"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0.4-0.6</w:t>
            </w:r>
          </w:p>
        </w:tc>
        <w:tc>
          <w:tcPr>
            <w:tcW w:w="1191" w:type="dxa"/>
            <w:noWrap/>
            <w:vAlign w:val="center"/>
            <w:hideMark/>
          </w:tcPr>
          <w:p w14:paraId="14B6978C"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 xml:space="preserve">-0.8   </w:t>
            </w:r>
          </w:p>
        </w:tc>
        <w:tc>
          <w:tcPr>
            <w:tcW w:w="1192" w:type="dxa"/>
            <w:noWrap/>
            <w:vAlign w:val="center"/>
            <w:hideMark/>
          </w:tcPr>
          <w:p w14:paraId="3BE0970C" w14:textId="77777777" w:rsidR="00141F0F" w:rsidRPr="004E70CE" w:rsidRDefault="0059089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75</w:t>
            </w:r>
            <w:r w:rsidR="00141F0F" w:rsidRPr="004E70CE">
              <w:rPr>
                <w:rFonts w:ascii="Calibri" w:hAnsi="Calibri" w:cs="Calibri"/>
                <w:color w:val="000000"/>
                <w:sz w:val="18"/>
                <w:szCs w:val="18"/>
              </w:rPr>
              <w:t>%</w:t>
            </w:r>
          </w:p>
        </w:tc>
        <w:tc>
          <w:tcPr>
            <w:tcW w:w="1192" w:type="dxa"/>
            <w:noWrap/>
            <w:vAlign w:val="center"/>
            <w:hideMark/>
          </w:tcPr>
          <w:p w14:paraId="320F8240" w14:textId="0F1D2DC6"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 xml:space="preserve">0%   </w:t>
            </w:r>
          </w:p>
        </w:tc>
      </w:tr>
      <w:tr w:rsidR="001C447A" w:rsidRPr="004E70CE" w14:paraId="6021CCEA"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024A6F64" w14:textId="77777777" w:rsidR="00141F0F" w:rsidRPr="004E70CE" w:rsidRDefault="00141F0F" w:rsidP="00141F0F">
            <w:pPr>
              <w:spacing w:after="0" w:line="240" w:lineRule="auto"/>
              <w:rPr>
                <w:sz w:val="18"/>
                <w:szCs w:val="18"/>
              </w:rPr>
            </w:pPr>
            <w:r w:rsidRPr="004E70CE">
              <w:rPr>
                <w:rFonts w:ascii="Calibri" w:hAnsi="Calibri" w:cs="Calibri"/>
                <w:sz w:val="18"/>
                <w:szCs w:val="18"/>
              </w:rPr>
              <w:t>Glass: Flat glass</w:t>
            </w:r>
          </w:p>
        </w:tc>
        <w:tc>
          <w:tcPr>
            <w:tcW w:w="1134" w:type="dxa"/>
            <w:noWrap/>
            <w:vAlign w:val="center"/>
            <w:hideMark/>
          </w:tcPr>
          <w:p w14:paraId="7C9FFC6E" w14:textId="6D71B46F" w:rsidR="00141F0F" w:rsidRPr="004E70CE" w:rsidRDefault="00AC5AD8"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sz w:val="18"/>
                <w:szCs w:val="18"/>
              </w:rPr>
              <w:t>0-1</w:t>
            </w:r>
            <w:r w:rsidR="00463EB5" w:rsidRPr="004E70CE">
              <w:rPr>
                <w:rFonts w:ascii="Calibri" w:hAnsi="Calibri" w:cs="Calibri"/>
                <w:sz w:val="18"/>
                <w:szCs w:val="18"/>
              </w:rPr>
              <w:t>%</w:t>
            </w:r>
          </w:p>
        </w:tc>
        <w:tc>
          <w:tcPr>
            <w:tcW w:w="1249" w:type="dxa"/>
            <w:noWrap/>
            <w:vAlign w:val="center"/>
            <w:hideMark/>
          </w:tcPr>
          <w:p w14:paraId="20A41581" w14:textId="10B31CCB" w:rsidR="00141F0F" w:rsidRPr="004E70CE" w:rsidRDefault="00BB0DE5"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sz w:val="18"/>
                <w:szCs w:val="18"/>
              </w:rPr>
              <w:t>0-0.2</w:t>
            </w:r>
          </w:p>
        </w:tc>
        <w:tc>
          <w:tcPr>
            <w:tcW w:w="1191" w:type="dxa"/>
            <w:noWrap/>
            <w:vAlign w:val="center"/>
            <w:hideMark/>
          </w:tcPr>
          <w:p w14:paraId="51D9C4E9"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sz w:val="18"/>
                <w:szCs w:val="18"/>
              </w:rPr>
              <w:t>N/A</w:t>
            </w:r>
          </w:p>
        </w:tc>
        <w:tc>
          <w:tcPr>
            <w:tcW w:w="1192" w:type="dxa"/>
            <w:noWrap/>
            <w:vAlign w:val="center"/>
            <w:hideMark/>
          </w:tcPr>
          <w:p w14:paraId="2A6410B0"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sz w:val="18"/>
                <w:szCs w:val="18"/>
              </w:rPr>
              <w:t>100%</w:t>
            </w:r>
          </w:p>
        </w:tc>
        <w:tc>
          <w:tcPr>
            <w:tcW w:w="1192" w:type="dxa"/>
            <w:noWrap/>
            <w:vAlign w:val="center"/>
            <w:hideMark/>
          </w:tcPr>
          <w:p w14:paraId="5BE0F4F2"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sz w:val="18"/>
                <w:szCs w:val="18"/>
              </w:rPr>
              <w:t>N/A</w:t>
            </w:r>
          </w:p>
        </w:tc>
      </w:tr>
      <w:tr w:rsidR="00141F0F" w:rsidRPr="004E70CE" w14:paraId="211F46EF"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0BBF2785" w14:textId="77777777" w:rsidR="00141F0F" w:rsidRPr="004E70CE" w:rsidRDefault="00141F0F" w:rsidP="00141F0F">
            <w:pPr>
              <w:spacing w:after="0" w:line="240" w:lineRule="auto"/>
              <w:rPr>
                <w:sz w:val="18"/>
                <w:szCs w:val="18"/>
              </w:rPr>
            </w:pPr>
            <w:r w:rsidRPr="004E70CE">
              <w:rPr>
                <w:rFonts w:ascii="Calibri" w:hAnsi="Calibri" w:cs="Calibri"/>
                <w:color w:val="000000"/>
                <w:sz w:val="18"/>
                <w:szCs w:val="18"/>
              </w:rPr>
              <w:t>Glass: Glass containers</w:t>
            </w:r>
          </w:p>
        </w:tc>
        <w:tc>
          <w:tcPr>
            <w:tcW w:w="1134" w:type="dxa"/>
            <w:noWrap/>
            <w:vAlign w:val="center"/>
            <w:hideMark/>
          </w:tcPr>
          <w:p w14:paraId="3F5BCC1E" w14:textId="02473267" w:rsidR="00141F0F" w:rsidRPr="004E70CE" w:rsidRDefault="00AC5AD8"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0-1</w:t>
            </w:r>
            <w:r w:rsidR="00141F0F" w:rsidRPr="004E70CE">
              <w:rPr>
                <w:rFonts w:ascii="Calibri" w:hAnsi="Calibri" w:cs="Calibri"/>
                <w:color w:val="000000"/>
                <w:sz w:val="18"/>
                <w:szCs w:val="18"/>
              </w:rPr>
              <w:t>%</w:t>
            </w:r>
          </w:p>
        </w:tc>
        <w:tc>
          <w:tcPr>
            <w:tcW w:w="1249" w:type="dxa"/>
            <w:noWrap/>
            <w:vAlign w:val="center"/>
            <w:hideMark/>
          </w:tcPr>
          <w:p w14:paraId="3FB27A95" w14:textId="1B450B4A" w:rsidR="00141F0F" w:rsidRPr="004E70CE" w:rsidRDefault="00BB0DE5"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0-0.2</w:t>
            </w:r>
          </w:p>
        </w:tc>
        <w:tc>
          <w:tcPr>
            <w:tcW w:w="1191" w:type="dxa"/>
            <w:noWrap/>
            <w:vAlign w:val="center"/>
            <w:hideMark/>
          </w:tcPr>
          <w:p w14:paraId="3D157E3F"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 xml:space="preserve">-1.6   </w:t>
            </w:r>
          </w:p>
        </w:tc>
        <w:tc>
          <w:tcPr>
            <w:tcW w:w="1192" w:type="dxa"/>
            <w:noWrap/>
            <w:vAlign w:val="center"/>
            <w:hideMark/>
          </w:tcPr>
          <w:p w14:paraId="7C9901BD"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44%</w:t>
            </w:r>
          </w:p>
        </w:tc>
        <w:tc>
          <w:tcPr>
            <w:tcW w:w="1192" w:type="dxa"/>
            <w:noWrap/>
            <w:vAlign w:val="center"/>
            <w:hideMark/>
          </w:tcPr>
          <w:p w14:paraId="14E49B1C" w14:textId="77E09A71"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 xml:space="preserve">0%   </w:t>
            </w:r>
          </w:p>
        </w:tc>
      </w:tr>
      <w:tr w:rsidR="00141F0F" w:rsidRPr="004E70CE" w14:paraId="65209DB2"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47F0F66C" w14:textId="77777777" w:rsidR="00141F0F" w:rsidRPr="004E70CE" w:rsidRDefault="00141F0F" w:rsidP="00141F0F">
            <w:pPr>
              <w:spacing w:after="0" w:line="240" w:lineRule="auto"/>
              <w:rPr>
                <w:sz w:val="18"/>
                <w:szCs w:val="18"/>
              </w:rPr>
            </w:pPr>
            <w:r w:rsidRPr="004E70CE">
              <w:rPr>
                <w:rFonts w:ascii="Calibri" w:hAnsi="Calibri" w:cs="Calibri"/>
                <w:color w:val="000000"/>
                <w:sz w:val="18"/>
                <w:szCs w:val="18"/>
              </w:rPr>
              <w:t>Pulp and paper</w:t>
            </w:r>
          </w:p>
        </w:tc>
        <w:tc>
          <w:tcPr>
            <w:tcW w:w="1134" w:type="dxa"/>
            <w:noWrap/>
            <w:vAlign w:val="center"/>
            <w:hideMark/>
          </w:tcPr>
          <w:p w14:paraId="022A5E89" w14:textId="7E91DB41" w:rsidR="00141F0F" w:rsidRPr="004E70CE" w:rsidRDefault="00AC5AD8"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1-3</w:t>
            </w:r>
            <w:r w:rsidR="00141F0F" w:rsidRPr="004E70CE">
              <w:rPr>
                <w:rFonts w:ascii="Calibri" w:hAnsi="Calibri" w:cs="Calibri"/>
                <w:color w:val="000000"/>
                <w:sz w:val="18"/>
                <w:szCs w:val="18"/>
              </w:rPr>
              <w:t>%</w:t>
            </w:r>
          </w:p>
        </w:tc>
        <w:tc>
          <w:tcPr>
            <w:tcW w:w="1249" w:type="dxa"/>
            <w:noWrap/>
            <w:vAlign w:val="center"/>
            <w:hideMark/>
          </w:tcPr>
          <w:p w14:paraId="2E796452" w14:textId="1337B2C7" w:rsidR="00141F0F" w:rsidRPr="004E70CE" w:rsidRDefault="00BB0DE5"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0.8-1.0</w:t>
            </w:r>
          </w:p>
        </w:tc>
        <w:tc>
          <w:tcPr>
            <w:tcW w:w="1191" w:type="dxa"/>
            <w:noWrap/>
            <w:vAlign w:val="center"/>
            <w:hideMark/>
          </w:tcPr>
          <w:p w14:paraId="020A5A43"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 xml:space="preserve">-1.5   </w:t>
            </w:r>
          </w:p>
        </w:tc>
        <w:tc>
          <w:tcPr>
            <w:tcW w:w="1192" w:type="dxa"/>
            <w:noWrap/>
            <w:vAlign w:val="center"/>
            <w:hideMark/>
          </w:tcPr>
          <w:p w14:paraId="623576DB"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52%</w:t>
            </w:r>
          </w:p>
        </w:tc>
        <w:tc>
          <w:tcPr>
            <w:tcW w:w="1192" w:type="dxa"/>
            <w:noWrap/>
            <w:vAlign w:val="center"/>
            <w:hideMark/>
          </w:tcPr>
          <w:p w14:paraId="381DAA72" w14:textId="3C9556B5" w:rsidR="00141F0F" w:rsidRPr="004E70CE" w:rsidRDefault="00982AE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2</w:t>
            </w:r>
            <w:r w:rsidR="00141F0F" w:rsidRPr="004E70CE">
              <w:rPr>
                <w:rFonts w:ascii="Calibri" w:hAnsi="Calibri" w:cs="Calibri"/>
                <w:color w:val="000000"/>
                <w:sz w:val="18"/>
                <w:szCs w:val="18"/>
              </w:rPr>
              <w:t xml:space="preserve">%   </w:t>
            </w:r>
          </w:p>
        </w:tc>
      </w:tr>
      <w:tr w:rsidR="001C447A" w:rsidRPr="004E70CE" w14:paraId="422889C1"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F4E9E0A" w14:textId="77777777" w:rsidR="00141F0F" w:rsidRPr="004E70CE" w:rsidRDefault="00141F0F" w:rsidP="00141F0F">
            <w:pPr>
              <w:spacing w:after="0" w:line="240" w:lineRule="auto"/>
              <w:rPr>
                <w:sz w:val="18"/>
                <w:szCs w:val="18"/>
              </w:rPr>
            </w:pPr>
            <w:r w:rsidRPr="004E70CE">
              <w:rPr>
                <w:rFonts w:ascii="Calibri" w:hAnsi="Calibri" w:cs="Calibri"/>
                <w:sz w:val="18"/>
                <w:szCs w:val="18"/>
              </w:rPr>
              <w:t>Polyethylene</w:t>
            </w:r>
          </w:p>
        </w:tc>
        <w:tc>
          <w:tcPr>
            <w:tcW w:w="1134" w:type="dxa"/>
            <w:noWrap/>
            <w:vAlign w:val="center"/>
            <w:hideMark/>
          </w:tcPr>
          <w:p w14:paraId="7611C071" w14:textId="482C2E9A" w:rsidR="00141F0F" w:rsidRPr="004E70CE" w:rsidRDefault="00AC5AD8"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sz w:val="18"/>
                <w:szCs w:val="18"/>
              </w:rPr>
              <w:t>0-1</w:t>
            </w:r>
            <w:r w:rsidR="00141F0F" w:rsidRPr="004E70CE">
              <w:rPr>
                <w:rFonts w:ascii="Calibri" w:hAnsi="Calibri" w:cs="Calibri"/>
                <w:sz w:val="18"/>
                <w:szCs w:val="18"/>
              </w:rPr>
              <w:t>%</w:t>
            </w:r>
          </w:p>
        </w:tc>
        <w:tc>
          <w:tcPr>
            <w:tcW w:w="1249" w:type="dxa"/>
            <w:noWrap/>
            <w:vAlign w:val="center"/>
            <w:hideMark/>
          </w:tcPr>
          <w:p w14:paraId="2210B4F3" w14:textId="4C0F4F48" w:rsidR="00141F0F" w:rsidRPr="004E70CE" w:rsidRDefault="00DA4FDB"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sz w:val="18"/>
                <w:szCs w:val="18"/>
              </w:rPr>
              <w:t>0-0.2</w:t>
            </w:r>
          </w:p>
        </w:tc>
        <w:tc>
          <w:tcPr>
            <w:tcW w:w="1191" w:type="dxa"/>
            <w:noWrap/>
            <w:vAlign w:val="center"/>
            <w:hideMark/>
          </w:tcPr>
          <w:p w14:paraId="75FA9887"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sz w:val="18"/>
                <w:szCs w:val="18"/>
              </w:rPr>
              <w:t xml:space="preserve">-1.4   </w:t>
            </w:r>
          </w:p>
        </w:tc>
        <w:tc>
          <w:tcPr>
            <w:tcW w:w="1192" w:type="dxa"/>
            <w:noWrap/>
            <w:vAlign w:val="center"/>
            <w:hideMark/>
          </w:tcPr>
          <w:p w14:paraId="29BA7379"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sz w:val="18"/>
                <w:szCs w:val="18"/>
              </w:rPr>
              <w:t>100%</w:t>
            </w:r>
          </w:p>
        </w:tc>
        <w:tc>
          <w:tcPr>
            <w:tcW w:w="1192" w:type="dxa"/>
            <w:noWrap/>
            <w:vAlign w:val="center"/>
            <w:hideMark/>
          </w:tcPr>
          <w:p w14:paraId="70ECA951" w14:textId="6204A368"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sz w:val="18"/>
                <w:szCs w:val="18"/>
              </w:rPr>
              <w:t xml:space="preserve">0%   </w:t>
            </w:r>
          </w:p>
        </w:tc>
      </w:tr>
      <w:tr w:rsidR="00141F0F" w:rsidRPr="004E70CE" w14:paraId="42742C24"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839785F" w14:textId="77777777" w:rsidR="00141F0F" w:rsidRPr="004E70CE" w:rsidRDefault="00141F0F" w:rsidP="00141F0F">
            <w:pPr>
              <w:spacing w:after="0" w:line="240" w:lineRule="auto"/>
              <w:rPr>
                <w:sz w:val="18"/>
                <w:szCs w:val="18"/>
              </w:rPr>
            </w:pPr>
            <w:r w:rsidRPr="004E70CE">
              <w:rPr>
                <w:rFonts w:ascii="Calibri" w:hAnsi="Calibri" w:cs="Calibri"/>
                <w:color w:val="000000"/>
                <w:sz w:val="18"/>
                <w:szCs w:val="18"/>
              </w:rPr>
              <w:t>Energy: LNG</w:t>
            </w:r>
          </w:p>
        </w:tc>
        <w:tc>
          <w:tcPr>
            <w:tcW w:w="1134" w:type="dxa"/>
            <w:noWrap/>
            <w:vAlign w:val="center"/>
            <w:hideMark/>
          </w:tcPr>
          <w:p w14:paraId="3FCBA463" w14:textId="3A66E583" w:rsidR="00141F0F" w:rsidRPr="004E70CE" w:rsidRDefault="00AC5AD8"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1-3</w:t>
            </w:r>
            <w:r w:rsidR="00141F0F" w:rsidRPr="004E70CE">
              <w:rPr>
                <w:rFonts w:ascii="Calibri" w:hAnsi="Calibri" w:cs="Calibri"/>
                <w:color w:val="000000"/>
                <w:sz w:val="18"/>
                <w:szCs w:val="18"/>
              </w:rPr>
              <w:t>%</w:t>
            </w:r>
          </w:p>
        </w:tc>
        <w:tc>
          <w:tcPr>
            <w:tcW w:w="1249" w:type="dxa"/>
            <w:noWrap/>
            <w:vAlign w:val="center"/>
            <w:hideMark/>
          </w:tcPr>
          <w:p w14:paraId="026E3592" w14:textId="6C58DA8A" w:rsidR="00141F0F" w:rsidRPr="004E70CE" w:rsidRDefault="00DA4FDB"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0.8-1.0</w:t>
            </w:r>
          </w:p>
        </w:tc>
        <w:tc>
          <w:tcPr>
            <w:tcW w:w="1191" w:type="dxa"/>
            <w:noWrap/>
            <w:vAlign w:val="center"/>
            <w:hideMark/>
          </w:tcPr>
          <w:p w14:paraId="5909E014"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 xml:space="preserve">-0.6   </w:t>
            </w:r>
          </w:p>
        </w:tc>
        <w:tc>
          <w:tcPr>
            <w:tcW w:w="1192" w:type="dxa"/>
            <w:noWrap/>
            <w:vAlign w:val="center"/>
            <w:hideMark/>
          </w:tcPr>
          <w:p w14:paraId="6AE64864"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9</w:t>
            </w:r>
            <w:r w:rsidR="00EA66E5" w:rsidRPr="004E70CE">
              <w:rPr>
                <w:rFonts w:ascii="Calibri" w:hAnsi="Calibri" w:cs="Calibri"/>
                <w:color w:val="000000"/>
                <w:sz w:val="18"/>
                <w:szCs w:val="18"/>
              </w:rPr>
              <w:t>6</w:t>
            </w:r>
            <w:r w:rsidRPr="004E70CE">
              <w:rPr>
                <w:rFonts w:ascii="Calibri" w:hAnsi="Calibri" w:cs="Calibri"/>
                <w:color w:val="000000"/>
                <w:sz w:val="18"/>
                <w:szCs w:val="18"/>
              </w:rPr>
              <w:t>%</w:t>
            </w:r>
          </w:p>
        </w:tc>
        <w:tc>
          <w:tcPr>
            <w:tcW w:w="1192" w:type="dxa"/>
            <w:noWrap/>
            <w:vAlign w:val="center"/>
            <w:hideMark/>
          </w:tcPr>
          <w:p w14:paraId="1F740F1A" w14:textId="5F5F961A" w:rsidR="00141F0F" w:rsidRPr="004E70CE" w:rsidRDefault="00982AE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1</w:t>
            </w:r>
            <w:r w:rsidR="00141F0F" w:rsidRPr="004E70CE">
              <w:rPr>
                <w:rFonts w:ascii="Calibri" w:hAnsi="Calibri" w:cs="Calibri"/>
                <w:color w:val="000000"/>
                <w:sz w:val="18"/>
                <w:szCs w:val="18"/>
              </w:rPr>
              <w:t xml:space="preserve">%   </w:t>
            </w:r>
          </w:p>
        </w:tc>
      </w:tr>
      <w:tr w:rsidR="00141F0F" w:rsidRPr="004E70CE" w14:paraId="7D649845"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DCE36CB" w14:textId="77777777" w:rsidR="00141F0F" w:rsidRPr="004E70CE" w:rsidRDefault="00141F0F" w:rsidP="00141F0F">
            <w:pPr>
              <w:spacing w:after="0" w:line="240" w:lineRule="auto"/>
              <w:rPr>
                <w:sz w:val="18"/>
                <w:szCs w:val="18"/>
              </w:rPr>
            </w:pPr>
            <w:r w:rsidRPr="004E70CE">
              <w:rPr>
                <w:rFonts w:ascii="Calibri" w:hAnsi="Calibri" w:cs="Calibri"/>
                <w:color w:val="000000"/>
                <w:sz w:val="18"/>
                <w:szCs w:val="18"/>
              </w:rPr>
              <w:t>Energy: Ethane and LPG</w:t>
            </w:r>
          </w:p>
        </w:tc>
        <w:tc>
          <w:tcPr>
            <w:tcW w:w="1134" w:type="dxa"/>
            <w:noWrap/>
            <w:vAlign w:val="center"/>
            <w:hideMark/>
          </w:tcPr>
          <w:p w14:paraId="6B190227" w14:textId="4B37E0D8" w:rsidR="00141F0F" w:rsidRPr="004E70CE" w:rsidRDefault="00AC5AD8"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0-1</w:t>
            </w:r>
            <w:r w:rsidR="00141F0F" w:rsidRPr="004E70CE">
              <w:rPr>
                <w:rFonts w:ascii="Calibri" w:hAnsi="Calibri" w:cs="Calibri"/>
                <w:color w:val="000000"/>
                <w:sz w:val="18"/>
                <w:szCs w:val="18"/>
              </w:rPr>
              <w:t>%</w:t>
            </w:r>
          </w:p>
        </w:tc>
        <w:tc>
          <w:tcPr>
            <w:tcW w:w="1249" w:type="dxa"/>
            <w:noWrap/>
            <w:vAlign w:val="center"/>
            <w:hideMark/>
          </w:tcPr>
          <w:p w14:paraId="39748E7A" w14:textId="4258C01C" w:rsidR="00141F0F" w:rsidRPr="004E70CE" w:rsidRDefault="00DA4FDB"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0.4-0.6</w:t>
            </w:r>
          </w:p>
        </w:tc>
        <w:tc>
          <w:tcPr>
            <w:tcW w:w="1191" w:type="dxa"/>
            <w:noWrap/>
            <w:vAlign w:val="center"/>
            <w:hideMark/>
          </w:tcPr>
          <w:p w14:paraId="478A9EFC"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 xml:space="preserve">-0.8   </w:t>
            </w:r>
          </w:p>
        </w:tc>
        <w:tc>
          <w:tcPr>
            <w:tcW w:w="1192" w:type="dxa"/>
            <w:noWrap/>
            <w:vAlign w:val="center"/>
            <w:hideMark/>
          </w:tcPr>
          <w:p w14:paraId="2C01FA05"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98%</w:t>
            </w:r>
          </w:p>
        </w:tc>
        <w:tc>
          <w:tcPr>
            <w:tcW w:w="1192" w:type="dxa"/>
            <w:noWrap/>
            <w:vAlign w:val="center"/>
            <w:hideMark/>
          </w:tcPr>
          <w:p w14:paraId="62E16ECD" w14:textId="225F45FE"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 xml:space="preserve">0%   </w:t>
            </w:r>
          </w:p>
        </w:tc>
      </w:tr>
      <w:tr w:rsidR="00141F0F" w:rsidRPr="004E70CE" w14:paraId="5DB12F92"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17327B31" w14:textId="77777777" w:rsidR="00141F0F" w:rsidRPr="004E70CE" w:rsidRDefault="00141F0F" w:rsidP="00141F0F">
            <w:pPr>
              <w:spacing w:after="0" w:line="240" w:lineRule="auto"/>
              <w:rPr>
                <w:sz w:val="18"/>
                <w:szCs w:val="18"/>
              </w:rPr>
            </w:pPr>
            <w:r w:rsidRPr="004E70CE">
              <w:rPr>
                <w:rFonts w:ascii="Calibri" w:hAnsi="Calibri" w:cs="Calibri"/>
                <w:color w:val="000000"/>
                <w:sz w:val="18"/>
                <w:szCs w:val="18"/>
              </w:rPr>
              <w:t xml:space="preserve">Energy: </w:t>
            </w:r>
            <w:r w:rsidR="00FB0F52" w:rsidRPr="004E70CE">
              <w:rPr>
                <w:rFonts w:ascii="Calibri" w:hAnsi="Calibri" w:cs="Calibri"/>
                <w:color w:val="000000"/>
                <w:sz w:val="18"/>
                <w:szCs w:val="18"/>
              </w:rPr>
              <w:t>Other refined p</w:t>
            </w:r>
            <w:r w:rsidRPr="004E70CE">
              <w:rPr>
                <w:rFonts w:ascii="Calibri" w:hAnsi="Calibri" w:cs="Calibri"/>
                <w:color w:val="000000"/>
                <w:sz w:val="18"/>
                <w:szCs w:val="18"/>
              </w:rPr>
              <w:t>etroleum</w:t>
            </w:r>
          </w:p>
        </w:tc>
        <w:tc>
          <w:tcPr>
            <w:tcW w:w="1134" w:type="dxa"/>
            <w:noWrap/>
            <w:vAlign w:val="center"/>
            <w:hideMark/>
          </w:tcPr>
          <w:p w14:paraId="06ACBE7A" w14:textId="53B7D682" w:rsidR="00141F0F" w:rsidRPr="004E70CE" w:rsidRDefault="00AC5AD8"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themeColor="text1"/>
                <w:sz w:val="18"/>
                <w:szCs w:val="18"/>
              </w:rPr>
              <w:t>0-1</w:t>
            </w:r>
            <w:r w:rsidR="00141F0F" w:rsidRPr="004E70CE">
              <w:rPr>
                <w:rFonts w:ascii="Calibri" w:hAnsi="Calibri" w:cs="Calibri"/>
                <w:color w:val="000000" w:themeColor="text1"/>
                <w:sz w:val="18"/>
                <w:szCs w:val="18"/>
              </w:rPr>
              <w:t>%</w:t>
            </w:r>
          </w:p>
        </w:tc>
        <w:tc>
          <w:tcPr>
            <w:tcW w:w="1249" w:type="dxa"/>
            <w:noWrap/>
            <w:vAlign w:val="center"/>
            <w:hideMark/>
          </w:tcPr>
          <w:p w14:paraId="2C140039" w14:textId="725ED194" w:rsidR="00141F0F" w:rsidRPr="004E70CE" w:rsidRDefault="00DA4FDB"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0.2-0.4</w:t>
            </w:r>
          </w:p>
        </w:tc>
        <w:tc>
          <w:tcPr>
            <w:tcW w:w="1191" w:type="dxa"/>
            <w:noWrap/>
            <w:vAlign w:val="center"/>
            <w:hideMark/>
          </w:tcPr>
          <w:p w14:paraId="16596380"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 xml:space="preserve">-1.0   </w:t>
            </w:r>
          </w:p>
        </w:tc>
        <w:tc>
          <w:tcPr>
            <w:tcW w:w="1192" w:type="dxa"/>
            <w:noWrap/>
            <w:vAlign w:val="center"/>
            <w:hideMark/>
          </w:tcPr>
          <w:p w14:paraId="7E4AE257"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97%</w:t>
            </w:r>
          </w:p>
        </w:tc>
        <w:tc>
          <w:tcPr>
            <w:tcW w:w="1192" w:type="dxa"/>
            <w:noWrap/>
            <w:vAlign w:val="center"/>
            <w:hideMark/>
          </w:tcPr>
          <w:p w14:paraId="19DA1054" w14:textId="4EAD0F78"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 xml:space="preserve">0%   </w:t>
            </w:r>
          </w:p>
        </w:tc>
      </w:tr>
      <w:tr w:rsidR="00141F0F" w:rsidRPr="004E70CE" w14:paraId="55C01277"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17AD1B2" w14:textId="77777777" w:rsidR="00141F0F" w:rsidRPr="004E70CE" w:rsidRDefault="00141F0F" w:rsidP="00141F0F">
            <w:pPr>
              <w:spacing w:after="0" w:line="240" w:lineRule="auto"/>
              <w:rPr>
                <w:sz w:val="18"/>
                <w:szCs w:val="18"/>
              </w:rPr>
            </w:pPr>
            <w:r w:rsidRPr="004E70CE">
              <w:rPr>
                <w:rFonts w:ascii="Calibri" w:hAnsi="Calibri" w:cs="Calibri"/>
                <w:color w:val="000000"/>
                <w:sz w:val="18"/>
                <w:szCs w:val="18"/>
              </w:rPr>
              <w:t>Energy: Crude oil</w:t>
            </w:r>
          </w:p>
        </w:tc>
        <w:tc>
          <w:tcPr>
            <w:tcW w:w="1134" w:type="dxa"/>
            <w:noWrap/>
            <w:vAlign w:val="center"/>
            <w:hideMark/>
          </w:tcPr>
          <w:p w14:paraId="0FCB9BD1" w14:textId="44473778" w:rsidR="00141F0F" w:rsidRPr="004E70CE" w:rsidRDefault="00AC5AD8"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4E70CE">
              <w:rPr>
                <w:rFonts w:ascii="Calibri" w:hAnsi="Calibri" w:cs="Calibri"/>
                <w:color w:val="000000" w:themeColor="text1"/>
                <w:sz w:val="18"/>
                <w:szCs w:val="18"/>
              </w:rPr>
              <w:t>0-1</w:t>
            </w:r>
            <w:r w:rsidR="1556162D" w:rsidRPr="004E70CE">
              <w:rPr>
                <w:rFonts w:ascii="Calibri" w:hAnsi="Calibri" w:cs="Calibri"/>
                <w:color w:val="000000" w:themeColor="text1"/>
                <w:sz w:val="18"/>
                <w:szCs w:val="18"/>
              </w:rPr>
              <w:t>%</w:t>
            </w:r>
          </w:p>
        </w:tc>
        <w:tc>
          <w:tcPr>
            <w:tcW w:w="1249" w:type="dxa"/>
            <w:noWrap/>
            <w:vAlign w:val="center"/>
            <w:hideMark/>
          </w:tcPr>
          <w:p w14:paraId="11256809" w14:textId="656964AD" w:rsidR="00141F0F" w:rsidRPr="004E70CE" w:rsidRDefault="00DA4FDB"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1.0*</w:t>
            </w:r>
          </w:p>
        </w:tc>
        <w:tc>
          <w:tcPr>
            <w:tcW w:w="1191" w:type="dxa"/>
            <w:noWrap/>
            <w:vAlign w:val="center"/>
            <w:hideMark/>
          </w:tcPr>
          <w:p w14:paraId="6314E334"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N/A</w:t>
            </w:r>
          </w:p>
        </w:tc>
        <w:tc>
          <w:tcPr>
            <w:tcW w:w="1192" w:type="dxa"/>
            <w:noWrap/>
            <w:vAlign w:val="center"/>
            <w:hideMark/>
          </w:tcPr>
          <w:p w14:paraId="335D3C1A"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96%</w:t>
            </w:r>
          </w:p>
        </w:tc>
        <w:tc>
          <w:tcPr>
            <w:tcW w:w="1192" w:type="dxa"/>
            <w:noWrap/>
            <w:vAlign w:val="center"/>
            <w:hideMark/>
          </w:tcPr>
          <w:p w14:paraId="1AD76EBD"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N/A</w:t>
            </w:r>
          </w:p>
        </w:tc>
      </w:tr>
      <w:tr w:rsidR="00141F0F" w:rsidRPr="004E70CE" w14:paraId="2E3DF45D"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449135D9" w14:textId="77777777" w:rsidR="00141F0F" w:rsidRPr="004E70CE" w:rsidRDefault="00141F0F" w:rsidP="00141F0F">
            <w:pPr>
              <w:spacing w:after="0" w:line="240" w:lineRule="auto"/>
              <w:rPr>
                <w:sz w:val="18"/>
                <w:szCs w:val="18"/>
              </w:rPr>
            </w:pPr>
            <w:r w:rsidRPr="004E70CE">
              <w:rPr>
                <w:rFonts w:ascii="Calibri" w:hAnsi="Calibri" w:cs="Calibri"/>
                <w:color w:val="000000"/>
                <w:sz w:val="18"/>
                <w:szCs w:val="18"/>
              </w:rPr>
              <w:t>Energy: Coal</w:t>
            </w:r>
          </w:p>
        </w:tc>
        <w:tc>
          <w:tcPr>
            <w:tcW w:w="1134" w:type="dxa"/>
            <w:noWrap/>
            <w:vAlign w:val="center"/>
            <w:hideMark/>
          </w:tcPr>
          <w:p w14:paraId="11CB9EC6" w14:textId="42C454DD" w:rsidR="00141F0F" w:rsidRPr="004E70CE" w:rsidRDefault="00AC5AD8"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0-1</w:t>
            </w:r>
            <w:r w:rsidR="00141F0F" w:rsidRPr="004E70CE">
              <w:rPr>
                <w:rFonts w:ascii="Calibri" w:hAnsi="Calibri" w:cs="Calibri"/>
                <w:color w:val="000000"/>
                <w:sz w:val="18"/>
                <w:szCs w:val="18"/>
              </w:rPr>
              <w:t>%</w:t>
            </w:r>
          </w:p>
        </w:tc>
        <w:tc>
          <w:tcPr>
            <w:tcW w:w="1249" w:type="dxa"/>
            <w:noWrap/>
            <w:vAlign w:val="center"/>
            <w:hideMark/>
          </w:tcPr>
          <w:p w14:paraId="4B96DCB5" w14:textId="49A3E504" w:rsidR="00141F0F" w:rsidRPr="004E70CE" w:rsidRDefault="00DA4FDB"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0.6-0.8</w:t>
            </w:r>
          </w:p>
        </w:tc>
        <w:tc>
          <w:tcPr>
            <w:tcW w:w="1191" w:type="dxa"/>
            <w:noWrap/>
            <w:vAlign w:val="center"/>
            <w:hideMark/>
          </w:tcPr>
          <w:p w14:paraId="759DF03B"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N/A</w:t>
            </w:r>
          </w:p>
        </w:tc>
        <w:tc>
          <w:tcPr>
            <w:tcW w:w="1192" w:type="dxa"/>
            <w:noWrap/>
            <w:vAlign w:val="center"/>
            <w:hideMark/>
          </w:tcPr>
          <w:p w14:paraId="4715F787"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95%</w:t>
            </w:r>
          </w:p>
        </w:tc>
        <w:tc>
          <w:tcPr>
            <w:tcW w:w="1192" w:type="dxa"/>
            <w:noWrap/>
            <w:vAlign w:val="center"/>
            <w:hideMark/>
          </w:tcPr>
          <w:p w14:paraId="30C5C5B1"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N/A</w:t>
            </w:r>
          </w:p>
        </w:tc>
      </w:tr>
      <w:tr w:rsidR="00141F0F" w:rsidRPr="004E70CE" w14:paraId="728224F2"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19D45E31" w14:textId="17021367" w:rsidR="00141F0F" w:rsidRPr="004E70CE" w:rsidRDefault="00141F0F" w:rsidP="00141F0F">
            <w:pPr>
              <w:spacing w:after="0" w:line="240" w:lineRule="auto"/>
              <w:rPr>
                <w:sz w:val="18"/>
                <w:szCs w:val="18"/>
              </w:rPr>
            </w:pPr>
            <w:r w:rsidRPr="004E70CE">
              <w:rPr>
                <w:rFonts w:ascii="Calibri" w:hAnsi="Calibri" w:cs="Calibri"/>
                <w:color w:val="000000"/>
                <w:sz w:val="18"/>
                <w:szCs w:val="18"/>
              </w:rPr>
              <w:t>Iron ore</w:t>
            </w:r>
            <w:r w:rsidR="0098321A">
              <w:rPr>
                <w:rFonts w:ascii="Calibri" w:hAnsi="Calibri" w:cs="Calibri"/>
                <w:color w:val="000000"/>
                <w:sz w:val="18"/>
                <w:szCs w:val="18"/>
              </w:rPr>
              <w:t xml:space="preserve"> </w:t>
            </w:r>
          </w:p>
        </w:tc>
        <w:tc>
          <w:tcPr>
            <w:tcW w:w="1134" w:type="dxa"/>
            <w:noWrap/>
            <w:vAlign w:val="center"/>
            <w:hideMark/>
          </w:tcPr>
          <w:p w14:paraId="032E3F71" w14:textId="00F88C50" w:rsidR="00141F0F" w:rsidRPr="004E70CE" w:rsidRDefault="00AC5AD8"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0-1</w:t>
            </w:r>
            <w:r w:rsidR="00141F0F" w:rsidRPr="004E70CE">
              <w:rPr>
                <w:rFonts w:ascii="Calibri" w:hAnsi="Calibri" w:cs="Calibri"/>
                <w:color w:val="000000"/>
                <w:sz w:val="18"/>
                <w:szCs w:val="18"/>
              </w:rPr>
              <w:t>%</w:t>
            </w:r>
          </w:p>
        </w:tc>
        <w:tc>
          <w:tcPr>
            <w:tcW w:w="1249" w:type="dxa"/>
            <w:noWrap/>
            <w:vAlign w:val="center"/>
            <w:hideMark/>
          </w:tcPr>
          <w:p w14:paraId="20448A06" w14:textId="13AC68AA" w:rsidR="00141F0F" w:rsidRPr="004E70CE" w:rsidRDefault="00DA4FDB"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1.0*</w:t>
            </w:r>
          </w:p>
        </w:tc>
        <w:tc>
          <w:tcPr>
            <w:tcW w:w="1191" w:type="dxa"/>
            <w:noWrap/>
            <w:vAlign w:val="center"/>
            <w:hideMark/>
          </w:tcPr>
          <w:p w14:paraId="006FD5F6"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N/A</w:t>
            </w:r>
          </w:p>
        </w:tc>
        <w:tc>
          <w:tcPr>
            <w:tcW w:w="1192" w:type="dxa"/>
            <w:noWrap/>
            <w:vAlign w:val="center"/>
            <w:hideMark/>
          </w:tcPr>
          <w:p w14:paraId="5D6FF750"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9</w:t>
            </w:r>
            <w:r w:rsidR="0059089F" w:rsidRPr="004E70CE">
              <w:rPr>
                <w:rFonts w:ascii="Calibri" w:hAnsi="Calibri" w:cs="Calibri"/>
                <w:color w:val="000000"/>
                <w:sz w:val="18"/>
                <w:szCs w:val="18"/>
              </w:rPr>
              <w:t>3</w:t>
            </w:r>
            <w:r w:rsidRPr="004E70CE">
              <w:rPr>
                <w:rFonts w:ascii="Calibri" w:hAnsi="Calibri" w:cs="Calibri"/>
                <w:color w:val="000000"/>
                <w:sz w:val="18"/>
                <w:szCs w:val="18"/>
              </w:rPr>
              <w:t>%</w:t>
            </w:r>
          </w:p>
        </w:tc>
        <w:tc>
          <w:tcPr>
            <w:tcW w:w="1192" w:type="dxa"/>
            <w:noWrap/>
            <w:vAlign w:val="center"/>
            <w:hideMark/>
          </w:tcPr>
          <w:p w14:paraId="2B6F93B4"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N/A</w:t>
            </w:r>
          </w:p>
        </w:tc>
      </w:tr>
      <w:tr w:rsidR="00141F0F" w:rsidRPr="004E70CE" w14:paraId="4A7FD8E6"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05D05FD6" w14:textId="77777777" w:rsidR="00141F0F" w:rsidRPr="004E70CE" w:rsidRDefault="00141F0F" w:rsidP="00141F0F">
            <w:pPr>
              <w:spacing w:after="0" w:line="240" w:lineRule="auto"/>
              <w:rPr>
                <w:sz w:val="18"/>
                <w:szCs w:val="18"/>
              </w:rPr>
            </w:pPr>
            <w:r w:rsidRPr="004E70CE">
              <w:rPr>
                <w:rFonts w:ascii="Calibri" w:hAnsi="Calibri" w:cs="Calibri"/>
                <w:color w:val="000000"/>
                <w:sz w:val="18"/>
                <w:szCs w:val="18"/>
              </w:rPr>
              <w:t>Basic non-ferrous metal</w:t>
            </w:r>
          </w:p>
        </w:tc>
        <w:tc>
          <w:tcPr>
            <w:tcW w:w="1134" w:type="dxa"/>
            <w:noWrap/>
            <w:vAlign w:val="center"/>
            <w:hideMark/>
          </w:tcPr>
          <w:p w14:paraId="25F95B67" w14:textId="53DAFA62" w:rsidR="00141F0F" w:rsidRPr="004E70CE" w:rsidRDefault="00AC5AD8"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0-1</w:t>
            </w:r>
            <w:r w:rsidR="00141F0F" w:rsidRPr="004E70CE">
              <w:rPr>
                <w:rFonts w:ascii="Calibri" w:hAnsi="Calibri" w:cs="Calibri"/>
                <w:color w:val="000000"/>
                <w:sz w:val="18"/>
                <w:szCs w:val="18"/>
              </w:rPr>
              <w:t>%</w:t>
            </w:r>
          </w:p>
        </w:tc>
        <w:tc>
          <w:tcPr>
            <w:tcW w:w="1249" w:type="dxa"/>
            <w:noWrap/>
            <w:vAlign w:val="center"/>
            <w:hideMark/>
          </w:tcPr>
          <w:p w14:paraId="6A343CE8" w14:textId="0FBA8344" w:rsidR="00141F0F" w:rsidRPr="004E70CE" w:rsidRDefault="00DA4FDB"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0.4-0.6</w:t>
            </w:r>
          </w:p>
        </w:tc>
        <w:tc>
          <w:tcPr>
            <w:tcW w:w="1191" w:type="dxa"/>
            <w:noWrap/>
            <w:vAlign w:val="center"/>
            <w:hideMark/>
          </w:tcPr>
          <w:p w14:paraId="71117CDA"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N/A</w:t>
            </w:r>
          </w:p>
        </w:tc>
        <w:tc>
          <w:tcPr>
            <w:tcW w:w="1192" w:type="dxa"/>
            <w:noWrap/>
            <w:vAlign w:val="center"/>
            <w:hideMark/>
          </w:tcPr>
          <w:p w14:paraId="46EF989A"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90%</w:t>
            </w:r>
          </w:p>
        </w:tc>
        <w:tc>
          <w:tcPr>
            <w:tcW w:w="1192" w:type="dxa"/>
            <w:noWrap/>
            <w:vAlign w:val="center"/>
            <w:hideMark/>
          </w:tcPr>
          <w:p w14:paraId="70BE2AE0"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N/A</w:t>
            </w:r>
          </w:p>
        </w:tc>
      </w:tr>
      <w:tr w:rsidR="00141F0F" w:rsidRPr="004E70CE" w14:paraId="2E39AA66"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5B0BD68" w14:textId="129008BE" w:rsidR="00141F0F" w:rsidRPr="004E70CE" w:rsidRDefault="00141F0F" w:rsidP="00141F0F">
            <w:pPr>
              <w:spacing w:after="0" w:line="240" w:lineRule="auto"/>
              <w:rPr>
                <w:sz w:val="18"/>
                <w:szCs w:val="18"/>
              </w:rPr>
            </w:pPr>
            <w:r w:rsidRPr="004E70CE">
              <w:rPr>
                <w:rFonts w:ascii="Calibri" w:hAnsi="Calibri" w:cs="Calibri"/>
                <w:color w:val="000000"/>
                <w:sz w:val="18"/>
                <w:szCs w:val="18"/>
              </w:rPr>
              <w:t>Nickel</w:t>
            </w:r>
          </w:p>
        </w:tc>
        <w:tc>
          <w:tcPr>
            <w:tcW w:w="1134" w:type="dxa"/>
            <w:noWrap/>
            <w:vAlign w:val="center"/>
            <w:hideMark/>
          </w:tcPr>
          <w:p w14:paraId="085F0E0F" w14:textId="3AAC1BB1" w:rsidR="00141F0F" w:rsidRPr="004E70CE" w:rsidRDefault="00AC5AD8"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1-3</w:t>
            </w:r>
            <w:r w:rsidR="00141F0F" w:rsidRPr="004E70CE">
              <w:rPr>
                <w:rFonts w:ascii="Calibri" w:hAnsi="Calibri" w:cs="Calibri"/>
                <w:color w:val="000000"/>
                <w:sz w:val="18"/>
                <w:szCs w:val="18"/>
              </w:rPr>
              <w:t>%</w:t>
            </w:r>
          </w:p>
        </w:tc>
        <w:tc>
          <w:tcPr>
            <w:tcW w:w="1249" w:type="dxa"/>
            <w:noWrap/>
            <w:vAlign w:val="center"/>
            <w:hideMark/>
          </w:tcPr>
          <w:p w14:paraId="41AB0FAB" w14:textId="202273DF" w:rsidR="00141F0F" w:rsidRPr="004E70CE" w:rsidRDefault="00DA4FDB"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0.2-0.4</w:t>
            </w:r>
          </w:p>
        </w:tc>
        <w:tc>
          <w:tcPr>
            <w:tcW w:w="1191" w:type="dxa"/>
            <w:noWrap/>
            <w:vAlign w:val="center"/>
            <w:hideMark/>
          </w:tcPr>
          <w:p w14:paraId="5A84F221"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N/A</w:t>
            </w:r>
          </w:p>
        </w:tc>
        <w:tc>
          <w:tcPr>
            <w:tcW w:w="1192" w:type="dxa"/>
            <w:noWrap/>
            <w:vAlign w:val="center"/>
            <w:hideMark/>
          </w:tcPr>
          <w:p w14:paraId="3949C21E"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87%</w:t>
            </w:r>
          </w:p>
        </w:tc>
        <w:tc>
          <w:tcPr>
            <w:tcW w:w="1192" w:type="dxa"/>
            <w:noWrap/>
            <w:vAlign w:val="center"/>
            <w:hideMark/>
          </w:tcPr>
          <w:p w14:paraId="5DA8C27A"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N/A</w:t>
            </w:r>
          </w:p>
        </w:tc>
      </w:tr>
      <w:tr w:rsidR="001C447A" w:rsidRPr="004E70CE" w14:paraId="4D9DD287"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54AC9FE" w14:textId="77777777" w:rsidR="00141F0F" w:rsidRPr="004E70CE" w:rsidRDefault="00141F0F" w:rsidP="00141F0F">
            <w:pPr>
              <w:spacing w:after="0" w:line="240" w:lineRule="auto"/>
              <w:rPr>
                <w:sz w:val="18"/>
                <w:szCs w:val="18"/>
              </w:rPr>
            </w:pPr>
            <w:r w:rsidRPr="004E70CE">
              <w:rPr>
                <w:rFonts w:ascii="Calibri" w:hAnsi="Calibri" w:cs="Calibri"/>
                <w:sz w:val="18"/>
                <w:szCs w:val="18"/>
              </w:rPr>
              <w:t>Magnesia</w:t>
            </w:r>
          </w:p>
        </w:tc>
        <w:tc>
          <w:tcPr>
            <w:tcW w:w="1134" w:type="dxa"/>
            <w:noWrap/>
            <w:vAlign w:val="center"/>
            <w:hideMark/>
          </w:tcPr>
          <w:p w14:paraId="5134054A" w14:textId="77AF37C1" w:rsidR="00141F0F" w:rsidRPr="004E70CE" w:rsidRDefault="00AC5AD8"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sz w:val="18"/>
                <w:szCs w:val="18"/>
              </w:rPr>
              <w:t>3-5</w:t>
            </w:r>
            <w:r w:rsidR="00141F0F" w:rsidRPr="004E70CE">
              <w:rPr>
                <w:rFonts w:ascii="Calibri" w:hAnsi="Calibri" w:cs="Calibri"/>
                <w:sz w:val="18"/>
                <w:szCs w:val="18"/>
              </w:rPr>
              <w:t>%</w:t>
            </w:r>
          </w:p>
        </w:tc>
        <w:tc>
          <w:tcPr>
            <w:tcW w:w="1249" w:type="dxa"/>
            <w:noWrap/>
            <w:vAlign w:val="center"/>
            <w:hideMark/>
          </w:tcPr>
          <w:p w14:paraId="53BBD700" w14:textId="4A64884A" w:rsidR="00141F0F" w:rsidRPr="004E70CE" w:rsidRDefault="00DA4FDB"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sz w:val="18"/>
                <w:szCs w:val="18"/>
              </w:rPr>
              <w:t>0-0.2</w:t>
            </w:r>
          </w:p>
        </w:tc>
        <w:tc>
          <w:tcPr>
            <w:tcW w:w="1191" w:type="dxa"/>
            <w:noWrap/>
            <w:vAlign w:val="center"/>
            <w:hideMark/>
          </w:tcPr>
          <w:p w14:paraId="68340326"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sz w:val="18"/>
                <w:szCs w:val="18"/>
              </w:rPr>
              <w:t>N/A</w:t>
            </w:r>
          </w:p>
        </w:tc>
        <w:tc>
          <w:tcPr>
            <w:tcW w:w="1192" w:type="dxa"/>
            <w:noWrap/>
            <w:vAlign w:val="center"/>
            <w:hideMark/>
          </w:tcPr>
          <w:p w14:paraId="2E69B514"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sz w:val="18"/>
                <w:szCs w:val="18"/>
              </w:rPr>
              <w:t>100%</w:t>
            </w:r>
          </w:p>
        </w:tc>
        <w:tc>
          <w:tcPr>
            <w:tcW w:w="1192" w:type="dxa"/>
            <w:noWrap/>
            <w:vAlign w:val="center"/>
            <w:hideMark/>
          </w:tcPr>
          <w:p w14:paraId="285485CD"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sz w:val="18"/>
                <w:szCs w:val="18"/>
              </w:rPr>
              <w:t>N/A</w:t>
            </w:r>
          </w:p>
        </w:tc>
      </w:tr>
      <w:tr w:rsidR="001C447A" w:rsidRPr="004E70CE" w14:paraId="79C330A0"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3AA262B4" w14:textId="77777777" w:rsidR="00141F0F" w:rsidRPr="004E70CE" w:rsidRDefault="00141F0F" w:rsidP="00141F0F">
            <w:pPr>
              <w:spacing w:after="0" w:line="240" w:lineRule="auto"/>
              <w:rPr>
                <w:sz w:val="18"/>
                <w:szCs w:val="18"/>
              </w:rPr>
            </w:pPr>
            <w:r w:rsidRPr="004E70CE">
              <w:rPr>
                <w:rFonts w:ascii="Calibri" w:hAnsi="Calibri" w:cs="Calibri"/>
                <w:sz w:val="18"/>
                <w:szCs w:val="18"/>
              </w:rPr>
              <w:t>Manganese products: Manganese ore</w:t>
            </w:r>
          </w:p>
        </w:tc>
        <w:tc>
          <w:tcPr>
            <w:tcW w:w="1134" w:type="dxa"/>
            <w:noWrap/>
            <w:vAlign w:val="center"/>
            <w:hideMark/>
          </w:tcPr>
          <w:p w14:paraId="02B16F2F" w14:textId="0F642E7F" w:rsidR="00141F0F" w:rsidRPr="004E70CE" w:rsidRDefault="00AC5AD8"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sz w:val="18"/>
                <w:szCs w:val="18"/>
              </w:rPr>
              <w:t>3-5</w:t>
            </w:r>
            <w:r w:rsidR="00141F0F" w:rsidRPr="004E70CE">
              <w:rPr>
                <w:rFonts w:ascii="Calibri" w:hAnsi="Calibri" w:cs="Calibri"/>
                <w:sz w:val="18"/>
                <w:szCs w:val="18"/>
              </w:rPr>
              <w:t>%</w:t>
            </w:r>
          </w:p>
        </w:tc>
        <w:tc>
          <w:tcPr>
            <w:tcW w:w="1249" w:type="dxa"/>
            <w:noWrap/>
            <w:vAlign w:val="center"/>
            <w:hideMark/>
          </w:tcPr>
          <w:p w14:paraId="6C02FEBE" w14:textId="1B838F5A" w:rsidR="00141F0F" w:rsidRPr="004E70CE" w:rsidRDefault="00DA4FDB"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sz w:val="18"/>
                <w:szCs w:val="18"/>
              </w:rPr>
              <w:t>0-0.2</w:t>
            </w:r>
          </w:p>
        </w:tc>
        <w:tc>
          <w:tcPr>
            <w:tcW w:w="1191" w:type="dxa"/>
            <w:noWrap/>
            <w:vAlign w:val="center"/>
            <w:hideMark/>
          </w:tcPr>
          <w:p w14:paraId="49F3A05B"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sz w:val="18"/>
                <w:szCs w:val="18"/>
              </w:rPr>
              <w:t>N/A</w:t>
            </w:r>
          </w:p>
        </w:tc>
        <w:tc>
          <w:tcPr>
            <w:tcW w:w="1192" w:type="dxa"/>
            <w:noWrap/>
            <w:vAlign w:val="center"/>
            <w:hideMark/>
          </w:tcPr>
          <w:p w14:paraId="225BB208"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sz w:val="18"/>
                <w:szCs w:val="18"/>
              </w:rPr>
              <w:t>73%</w:t>
            </w:r>
          </w:p>
        </w:tc>
        <w:tc>
          <w:tcPr>
            <w:tcW w:w="1192" w:type="dxa"/>
            <w:noWrap/>
            <w:vAlign w:val="center"/>
            <w:hideMark/>
          </w:tcPr>
          <w:p w14:paraId="32C990C2"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sz w:val="18"/>
                <w:szCs w:val="18"/>
              </w:rPr>
              <w:t>N/A</w:t>
            </w:r>
          </w:p>
        </w:tc>
      </w:tr>
      <w:tr w:rsidR="00141F0F" w:rsidRPr="004E70CE" w14:paraId="11E8E558"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502D5546" w14:textId="77777777" w:rsidR="00141F0F" w:rsidRPr="004E70CE" w:rsidRDefault="00141F0F" w:rsidP="00141F0F">
            <w:pPr>
              <w:spacing w:after="0" w:line="240" w:lineRule="auto"/>
              <w:rPr>
                <w:sz w:val="18"/>
                <w:szCs w:val="18"/>
              </w:rPr>
            </w:pPr>
            <w:r w:rsidRPr="004E70CE">
              <w:rPr>
                <w:rFonts w:ascii="Calibri" w:hAnsi="Calibri" w:cs="Calibri"/>
                <w:color w:val="000000"/>
                <w:sz w:val="18"/>
                <w:szCs w:val="18"/>
              </w:rPr>
              <w:t>Manganese products: Ferromanganese</w:t>
            </w:r>
          </w:p>
        </w:tc>
        <w:tc>
          <w:tcPr>
            <w:tcW w:w="1134" w:type="dxa"/>
            <w:noWrap/>
            <w:vAlign w:val="center"/>
            <w:hideMark/>
          </w:tcPr>
          <w:p w14:paraId="762D2EAD" w14:textId="1158706B" w:rsidR="00141F0F" w:rsidRPr="004E70CE" w:rsidRDefault="00AC5AD8"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1-3</w:t>
            </w:r>
            <w:r w:rsidR="00141F0F" w:rsidRPr="004E70CE">
              <w:rPr>
                <w:rFonts w:ascii="Calibri" w:hAnsi="Calibri" w:cs="Calibri"/>
                <w:color w:val="000000"/>
                <w:sz w:val="18"/>
                <w:szCs w:val="18"/>
              </w:rPr>
              <w:t>%</w:t>
            </w:r>
          </w:p>
        </w:tc>
        <w:tc>
          <w:tcPr>
            <w:tcW w:w="1249" w:type="dxa"/>
            <w:noWrap/>
            <w:vAlign w:val="center"/>
            <w:hideMark/>
          </w:tcPr>
          <w:p w14:paraId="3E64914B" w14:textId="46FECDD5" w:rsidR="00141F0F" w:rsidRPr="004E70CE" w:rsidRDefault="00DA4FDB"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0.8-1.0</w:t>
            </w:r>
          </w:p>
        </w:tc>
        <w:tc>
          <w:tcPr>
            <w:tcW w:w="1191" w:type="dxa"/>
            <w:noWrap/>
            <w:vAlign w:val="center"/>
            <w:hideMark/>
          </w:tcPr>
          <w:p w14:paraId="3326BA32"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 xml:space="preserve">-0.01   </w:t>
            </w:r>
          </w:p>
        </w:tc>
        <w:tc>
          <w:tcPr>
            <w:tcW w:w="1192" w:type="dxa"/>
            <w:noWrap/>
            <w:vAlign w:val="center"/>
            <w:hideMark/>
          </w:tcPr>
          <w:p w14:paraId="6FC1E2BC"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100%</w:t>
            </w:r>
          </w:p>
        </w:tc>
        <w:tc>
          <w:tcPr>
            <w:tcW w:w="1192" w:type="dxa"/>
            <w:noWrap/>
            <w:vAlign w:val="center"/>
            <w:hideMark/>
          </w:tcPr>
          <w:p w14:paraId="7C242694" w14:textId="08DD67C8"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 xml:space="preserve">0%   </w:t>
            </w:r>
          </w:p>
        </w:tc>
      </w:tr>
      <w:tr w:rsidR="00141F0F" w:rsidRPr="004E70CE" w14:paraId="5A652220"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EB311E6" w14:textId="77777777" w:rsidR="00141F0F" w:rsidRPr="004E70CE" w:rsidRDefault="00141F0F" w:rsidP="00141F0F">
            <w:pPr>
              <w:spacing w:after="0" w:line="240" w:lineRule="auto"/>
              <w:rPr>
                <w:sz w:val="18"/>
                <w:szCs w:val="18"/>
              </w:rPr>
            </w:pPr>
            <w:r w:rsidRPr="004E70CE">
              <w:rPr>
                <w:rFonts w:ascii="Calibri" w:hAnsi="Calibri" w:cs="Calibri"/>
                <w:color w:val="000000"/>
                <w:sz w:val="18"/>
                <w:szCs w:val="18"/>
              </w:rPr>
              <w:t>Manganese products: Silicomanganese</w:t>
            </w:r>
          </w:p>
        </w:tc>
        <w:tc>
          <w:tcPr>
            <w:tcW w:w="1134" w:type="dxa"/>
            <w:noWrap/>
            <w:vAlign w:val="center"/>
            <w:hideMark/>
          </w:tcPr>
          <w:p w14:paraId="26C26F7C" w14:textId="30E30BE5" w:rsidR="00141F0F" w:rsidRPr="004E70CE" w:rsidRDefault="00AC5AD8"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1-3</w:t>
            </w:r>
            <w:r w:rsidR="00141F0F" w:rsidRPr="004E70CE">
              <w:rPr>
                <w:rFonts w:ascii="Calibri" w:hAnsi="Calibri" w:cs="Calibri"/>
                <w:color w:val="000000"/>
                <w:sz w:val="18"/>
                <w:szCs w:val="18"/>
              </w:rPr>
              <w:t>%</w:t>
            </w:r>
          </w:p>
        </w:tc>
        <w:tc>
          <w:tcPr>
            <w:tcW w:w="1249" w:type="dxa"/>
            <w:noWrap/>
            <w:vAlign w:val="center"/>
            <w:hideMark/>
          </w:tcPr>
          <w:p w14:paraId="0C3BB41A" w14:textId="6CAE6B25" w:rsidR="00141F0F" w:rsidRPr="004E70CE" w:rsidRDefault="00DA4FDB"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0.8-1.0</w:t>
            </w:r>
          </w:p>
        </w:tc>
        <w:tc>
          <w:tcPr>
            <w:tcW w:w="1191" w:type="dxa"/>
            <w:noWrap/>
            <w:vAlign w:val="center"/>
            <w:hideMark/>
          </w:tcPr>
          <w:p w14:paraId="69790AEE"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N/A</w:t>
            </w:r>
          </w:p>
        </w:tc>
        <w:tc>
          <w:tcPr>
            <w:tcW w:w="1192" w:type="dxa"/>
            <w:noWrap/>
            <w:vAlign w:val="center"/>
            <w:hideMark/>
          </w:tcPr>
          <w:p w14:paraId="63A54338"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100%</w:t>
            </w:r>
          </w:p>
        </w:tc>
        <w:tc>
          <w:tcPr>
            <w:tcW w:w="1192" w:type="dxa"/>
            <w:noWrap/>
            <w:vAlign w:val="center"/>
            <w:hideMark/>
          </w:tcPr>
          <w:p w14:paraId="5610B7B9"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N/A</w:t>
            </w:r>
          </w:p>
        </w:tc>
      </w:tr>
      <w:tr w:rsidR="00141F0F" w:rsidRPr="004E70CE" w14:paraId="009CC707"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4DB115E" w14:textId="77777777" w:rsidR="00141F0F" w:rsidRPr="004E70CE" w:rsidRDefault="00141F0F" w:rsidP="00141F0F">
            <w:pPr>
              <w:spacing w:after="0" w:line="240" w:lineRule="auto"/>
              <w:rPr>
                <w:sz w:val="18"/>
                <w:szCs w:val="18"/>
              </w:rPr>
            </w:pPr>
            <w:r w:rsidRPr="004E70CE">
              <w:rPr>
                <w:rFonts w:ascii="Calibri" w:hAnsi="Calibri" w:cs="Calibri"/>
                <w:color w:val="000000"/>
                <w:sz w:val="18"/>
                <w:szCs w:val="18"/>
              </w:rPr>
              <w:t>Lithium</w:t>
            </w:r>
            <w:r w:rsidR="009142FC" w:rsidRPr="004E70CE">
              <w:rPr>
                <w:rFonts w:ascii="Calibri" w:hAnsi="Calibri" w:cs="Calibri"/>
                <w:color w:val="000000"/>
                <w:sz w:val="18"/>
                <w:szCs w:val="18"/>
              </w:rPr>
              <w:t xml:space="preserve"> ore</w:t>
            </w:r>
          </w:p>
        </w:tc>
        <w:tc>
          <w:tcPr>
            <w:tcW w:w="1134" w:type="dxa"/>
            <w:noWrap/>
            <w:vAlign w:val="center"/>
            <w:hideMark/>
          </w:tcPr>
          <w:p w14:paraId="13364AFF" w14:textId="114C186D" w:rsidR="00141F0F" w:rsidRPr="004E70CE" w:rsidRDefault="00AC5AD8"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0-1</w:t>
            </w:r>
            <w:r w:rsidR="00141F0F" w:rsidRPr="004E70CE">
              <w:rPr>
                <w:rFonts w:ascii="Calibri" w:hAnsi="Calibri" w:cs="Calibri"/>
                <w:color w:val="000000"/>
                <w:sz w:val="18"/>
                <w:szCs w:val="18"/>
              </w:rPr>
              <w:t>%</w:t>
            </w:r>
          </w:p>
        </w:tc>
        <w:tc>
          <w:tcPr>
            <w:tcW w:w="1249" w:type="dxa"/>
            <w:noWrap/>
            <w:vAlign w:val="center"/>
            <w:hideMark/>
          </w:tcPr>
          <w:p w14:paraId="24E7D841" w14:textId="1DE88AF9" w:rsidR="00141F0F" w:rsidRPr="004E70CE" w:rsidRDefault="00DA4FDB"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1.0*</w:t>
            </w:r>
          </w:p>
        </w:tc>
        <w:tc>
          <w:tcPr>
            <w:tcW w:w="1191" w:type="dxa"/>
            <w:noWrap/>
            <w:vAlign w:val="center"/>
            <w:hideMark/>
          </w:tcPr>
          <w:p w14:paraId="6D5FF141"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 xml:space="preserve">-1.2   </w:t>
            </w:r>
          </w:p>
        </w:tc>
        <w:tc>
          <w:tcPr>
            <w:tcW w:w="1192" w:type="dxa"/>
            <w:noWrap/>
            <w:vAlign w:val="center"/>
            <w:hideMark/>
          </w:tcPr>
          <w:p w14:paraId="14B73AEF"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53%</w:t>
            </w:r>
          </w:p>
        </w:tc>
        <w:tc>
          <w:tcPr>
            <w:tcW w:w="1192" w:type="dxa"/>
            <w:noWrap/>
            <w:vAlign w:val="center"/>
            <w:hideMark/>
          </w:tcPr>
          <w:p w14:paraId="545CA117" w14:textId="2B0AAE1C"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 xml:space="preserve">0%   </w:t>
            </w:r>
          </w:p>
        </w:tc>
      </w:tr>
      <w:tr w:rsidR="00141F0F" w:rsidRPr="004E70CE" w14:paraId="5C8F18D0"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198BF897" w14:textId="77777777" w:rsidR="00141F0F" w:rsidRPr="004E70CE" w:rsidRDefault="00141F0F" w:rsidP="00141F0F">
            <w:pPr>
              <w:spacing w:after="0" w:line="240" w:lineRule="auto"/>
              <w:rPr>
                <w:sz w:val="18"/>
                <w:szCs w:val="18"/>
              </w:rPr>
            </w:pPr>
            <w:r w:rsidRPr="004E70CE">
              <w:rPr>
                <w:rFonts w:ascii="Calibri" w:hAnsi="Calibri" w:cs="Calibri"/>
                <w:color w:val="000000"/>
                <w:sz w:val="18"/>
                <w:szCs w:val="18"/>
              </w:rPr>
              <w:t>Synthetic rutile</w:t>
            </w:r>
          </w:p>
        </w:tc>
        <w:tc>
          <w:tcPr>
            <w:tcW w:w="1134" w:type="dxa"/>
            <w:noWrap/>
            <w:vAlign w:val="center"/>
            <w:hideMark/>
          </w:tcPr>
          <w:p w14:paraId="29CC704E" w14:textId="53C62397" w:rsidR="00141F0F" w:rsidRPr="004E70CE" w:rsidRDefault="00AC5AD8"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0-1</w:t>
            </w:r>
            <w:r w:rsidR="00141F0F" w:rsidRPr="004E70CE">
              <w:rPr>
                <w:rFonts w:ascii="Calibri" w:hAnsi="Calibri" w:cs="Calibri"/>
                <w:color w:val="000000"/>
                <w:sz w:val="18"/>
                <w:szCs w:val="18"/>
              </w:rPr>
              <w:t>%</w:t>
            </w:r>
          </w:p>
        </w:tc>
        <w:tc>
          <w:tcPr>
            <w:tcW w:w="1249" w:type="dxa"/>
            <w:noWrap/>
            <w:vAlign w:val="center"/>
            <w:hideMark/>
          </w:tcPr>
          <w:p w14:paraId="22FD2F33" w14:textId="0A6BFAAB" w:rsidR="00141F0F" w:rsidRPr="004E70CE" w:rsidRDefault="00DA4FDB"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0.2-0.4</w:t>
            </w:r>
          </w:p>
        </w:tc>
        <w:tc>
          <w:tcPr>
            <w:tcW w:w="1191" w:type="dxa"/>
            <w:noWrap/>
            <w:vAlign w:val="center"/>
            <w:hideMark/>
          </w:tcPr>
          <w:p w14:paraId="660884F7"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 xml:space="preserve">-1.2   </w:t>
            </w:r>
          </w:p>
        </w:tc>
        <w:tc>
          <w:tcPr>
            <w:tcW w:w="1192" w:type="dxa"/>
            <w:noWrap/>
            <w:vAlign w:val="center"/>
            <w:hideMark/>
          </w:tcPr>
          <w:p w14:paraId="6FE1DA39"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100%</w:t>
            </w:r>
          </w:p>
        </w:tc>
        <w:tc>
          <w:tcPr>
            <w:tcW w:w="1192" w:type="dxa"/>
            <w:noWrap/>
            <w:vAlign w:val="center"/>
            <w:hideMark/>
          </w:tcPr>
          <w:p w14:paraId="467DA0D0" w14:textId="73503344"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 xml:space="preserve">0%   </w:t>
            </w:r>
          </w:p>
        </w:tc>
      </w:tr>
      <w:tr w:rsidR="001C447A" w:rsidRPr="004E70CE" w14:paraId="15134404"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8B7C7D0" w14:textId="6B7C33AE" w:rsidR="00141F0F" w:rsidRPr="004E70CE" w:rsidRDefault="00141F0F" w:rsidP="00141F0F">
            <w:pPr>
              <w:spacing w:after="0" w:line="240" w:lineRule="auto"/>
              <w:rPr>
                <w:sz w:val="18"/>
                <w:szCs w:val="18"/>
              </w:rPr>
            </w:pPr>
            <w:r w:rsidRPr="004E70CE">
              <w:rPr>
                <w:rFonts w:ascii="Calibri" w:hAnsi="Calibri" w:cs="Calibri"/>
                <w:sz w:val="18"/>
                <w:szCs w:val="18"/>
              </w:rPr>
              <w:t xml:space="preserve">Titanium </w:t>
            </w:r>
            <w:r w:rsidR="008F0F9B">
              <w:rPr>
                <w:rFonts w:ascii="Calibri" w:hAnsi="Calibri" w:cs="Calibri"/>
                <w:sz w:val="18"/>
                <w:szCs w:val="18"/>
              </w:rPr>
              <w:t>di</w:t>
            </w:r>
            <w:r w:rsidRPr="004E70CE">
              <w:rPr>
                <w:rFonts w:ascii="Calibri" w:hAnsi="Calibri" w:cs="Calibri"/>
                <w:sz w:val="18"/>
                <w:szCs w:val="18"/>
              </w:rPr>
              <w:t>oxide</w:t>
            </w:r>
          </w:p>
        </w:tc>
        <w:tc>
          <w:tcPr>
            <w:tcW w:w="1134" w:type="dxa"/>
            <w:noWrap/>
            <w:vAlign w:val="center"/>
            <w:hideMark/>
          </w:tcPr>
          <w:p w14:paraId="3D79781D" w14:textId="16D797F2"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sz w:val="18"/>
                <w:szCs w:val="18"/>
              </w:rPr>
              <w:t>0</w:t>
            </w:r>
            <w:r w:rsidR="00894AB0" w:rsidRPr="004E70CE">
              <w:rPr>
                <w:rFonts w:ascii="Calibri" w:hAnsi="Calibri" w:cs="Calibri"/>
                <w:sz w:val="18"/>
                <w:szCs w:val="18"/>
              </w:rPr>
              <w:t>-1</w:t>
            </w:r>
            <w:r w:rsidRPr="004E70CE">
              <w:rPr>
                <w:rFonts w:ascii="Calibri" w:hAnsi="Calibri" w:cs="Calibri"/>
                <w:sz w:val="18"/>
                <w:szCs w:val="18"/>
              </w:rPr>
              <w:t>%</w:t>
            </w:r>
          </w:p>
        </w:tc>
        <w:tc>
          <w:tcPr>
            <w:tcW w:w="1249" w:type="dxa"/>
            <w:noWrap/>
            <w:vAlign w:val="center"/>
            <w:hideMark/>
          </w:tcPr>
          <w:p w14:paraId="7801CC9E" w14:textId="02252574" w:rsidR="00141F0F" w:rsidRPr="004E70CE" w:rsidRDefault="00DA4FDB"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sz w:val="18"/>
                <w:szCs w:val="18"/>
              </w:rPr>
              <w:t>0-0.2</w:t>
            </w:r>
          </w:p>
        </w:tc>
        <w:tc>
          <w:tcPr>
            <w:tcW w:w="1191" w:type="dxa"/>
            <w:noWrap/>
            <w:vAlign w:val="center"/>
            <w:hideMark/>
          </w:tcPr>
          <w:p w14:paraId="7813D2AA"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sz w:val="18"/>
                <w:szCs w:val="18"/>
              </w:rPr>
              <w:t>N/A</w:t>
            </w:r>
          </w:p>
        </w:tc>
        <w:tc>
          <w:tcPr>
            <w:tcW w:w="1192" w:type="dxa"/>
            <w:noWrap/>
            <w:vAlign w:val="center"/>
            <w:hideMark/>
          </w:tcPr>
          <w:p w14:paraId="2B85BAF8"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sz w:val="18"/>
                <w:szCs w:val="18"/>
              </w:rPr>
              <w:t>100%</w:t>
            </w:r>
          </w:p>
        </w:tc>
        <w:tc>
          <w:tcPr>
            <w:tcW w:w="1192" w:type="dxa"/>
            <w:noWrap/>
            <w:vAlign w:val="center"/>
            <w:hideMark/>
          </w:tcPr>
          <w:p w14:paraId="446295A2"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sz w:val="18"/>
                <w:szCs w:val="18"/>
              </w:rPr>
              <w:t>N/A</w:t>
            </w:r>
          </w:p>
        </w:tc>
      </w:tr>
      <w:tr w:rsidR="00141F0F" w:rsidRPr="004E70CE" w14:paraId="517C70BE"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1F2510F7" w14:textId="77777777" w:rsidR="00141F0F" w:rsidRPr="004E70CE" w:rsidRDefault="00141F0F" w:rsidP="00141F0F">
            <w:pPr>
              <w:spacing w:after="0" w:line="240" w:lineRule="auto"/>
              <w:rPr>
                <w:sz w:val="18"/>
                <w:szCs w:val="18"/>
              </w:rPr>
            </w:pPr>
            <w:r w:rsidRPr="004E70CE">
              <w:rPr>
                <w:rFonts w:ascii="Calibri" w:hAnsi="Calibri" w:cs="Calibri"/>
                <w:color w:val="000000"/>
                <w:sz w:val="18"/>
                <w:szCs w:val="18"/>
              </w:rPr>
              <w:t>Other metal ore</w:t>
            </w:r>
          </w:p>
        </w:tc>
        <w:tc>
          <w:tcPr>
            <w:tcW w:w="1134" w:type="dxa"/>
            <w:noWrap/>
            <w:vAlign w:val="center"/>
            <w:hideMark/>
          </w:tcPr>
          <w:p w14:paraId="6C08A074" w14:textId="2E10AB69" w:rsidR="00141F0F" w:rsidRPr="004E70CE" w:rsidRDefault="00894AB0"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0-1</w:t>
            </w:r>
            <w:r w:rsidR="00141F0F" w:rsidRPr="004E70CE">
              <w:rPr>
                <w:rFonts w:ascii="Calibri" w:hAnsi="Calibri" w:cs="Calibri"/>
                <w:color w:val="000000"/>
                <w:sz w:val="18"/>
                <w:szCs w:val="18"/>
              </w:rPr>
              <w:t>%</w:t>
            </w:r>
          </w:p>
        </w:tc>
        <w:tc>
          <w:tcPr>
            <w:tcW w:w="1249" w:type="dxa"/>
            <w:noWrap/>
            <w:vAlign w:val="center"/>
            <w:hideMark/>
          </w:tcPr>
          <w:p w14:paraId="22008258" w14:textId="2396E278" w:rsidR="00141F0F" w:rsidRPr="004E70CE" w:rsidRDefault="004C5432"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0-0.2</w:t>
            </w:r>
          </w:p>
        </w:tc>
        <w:tc>
          <w:tcPr>
            <w:tcW w:w="1191" w:type="dxa"/>
            <w:noWrap/>
            <w:vAlign w:val="center"/>
            <w:hideMark/>
          </w:tcPr>
          <w:p w14:paraId="08953BB8"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N/A</w:t>
            </w:r>
          </w:p>
        </w:tc>
        <w:tc>
          <w:tcPr>
            <w:tcW w:w="1192" w:type="dxa"/>
            <w:noWrap/>
            <w:vAlign w:val="center"/>
            <w:hideMark/>
          </w:tcPr>
          <w:p w14:paraId="6020BBD6"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7</w:t>
            </w:r>
            <w:r w:rsidR="0059089F" w:rsidRPr="004E70CE">
              <w:rPr>
                <w:rFonts w:ascii="Calibri" w:hAnsi="Calibri" w:cs="Calibri"/>
                <w:color w:val="000000"/>
                <w:sz w:val="18"/>
                <w:szCs w:val="18"/>
              </w:rPr>
              <w:t>0</w:t>
            </w:r>
            <w:r w:rsidRPr="004E70CE">
              <w:rPr>
                <w:rFonts w:ascii="Calibri" w:hAnsi="Calibri" w:cs="Calibri"/>
                <w:color w:val="000000"/>
                <w:sz w:val="18"/>
                <w:szCs w:val="18"/>
              </w:rPr>
              <w:t>%</w:t>
            </w:r>
          </w:p>
        </w:tc>
        <w:tc>
          <w:tcPr>
            <w:tcW w:w="1192" w:type="dxa"/>
            <w:noWrap/>
            <w:vAlign w:val="center"/>
            <w:hideMark/>
          </w:tcPr>
          <w:p w14:paraId="62D2F135"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N/A</w:t>
            </w:r>
          </w:p>
        </w:tc>
      </w:tr>
      <w:tr w:rsidR="00141F0F" w:rsidRPr="004E70CE" w14:paraId="43782214"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DFE17D8" w14:textId="77777777" w:rsidR="00141F0F" w:rsidRPr="004E70CE" w:rsidRDefault="00141F0F" w:rsidP="00141F0F">
            <w:pPr>
              <w:spacing w:after="0" w:line="240" w:lineRule="auto"/>
              <w:rPr>
                <w:sz w:val="18"/>
                <w:szCs w:val="18"/>
              </w:rPr>
            </w:pPr>
            <w:r w:rsidRPr="004E70CE">
              <w:rPr>
                <w:rFonts w:ascii="Calibri" w:hAnsi="Calibri" w:cs="Calibri"/>
                <w:color w:val="000000"/>
                <w:sz w:val="18"/>
                <w:szCs w:val="18"/>
              </w:rPr>
              <w:t>Silicon</w:t>
            </w:r>
          </w:p>
        </w:tc>
        <w:tc>
          <w:tcPr>
            <w:tcW w:w="1134" w:type="dxa"/>
            <w:noWrap/>
            <w:vAlign w:val="center"/>
            <w:hideMark/>
          </w:tcPr>
          <w:p w14:paraId="07E585C0" w14:textId="508CB834" w:rsidR="00141F0F" w:rsidRPr="004E70CE" w:rsidRDefault="00894AB0"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0-1</w:t>
            </w:r>
            <w:r w:rsidR="00141F0F" w:rsidRPr="004E70CE">
              <w:rPr>
                <w:rFonts w:ascii="Calibri" w:hAnsi="Calibri" w:cs="Calibri"/>
                <w:color w:val="000000"/>
                <w:sz w:val="18"/>
                <w:szCs w:val="18"/>
              </w:rPr>
              <w:t>%</w:t>
            </w:r>
          </w:p>
        </w:tc>
        <w:tc>
          <w:tcPr>
            <w:tcW w:w="1249" w:type="dxa"/>
            <w:noWrap/>
            <w:vAlign w:val="center"/>
            <w:hideMark/>
          </w:tcPr>
          <w:p w14:paraId="0B48C6C8" w14:textId="7BFB759B" w:rsidR="00141F0F" w:rsidRPr="004E70CE" w:rsidRDefault="004C5432"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0.8-1.0</w:t>
            </w:r>
          </w:p>
        </w:tc>
        <w:tc>
          <w:tcPr>
            <w:tcW w:w="1191" w:type="dxa"/>
            <w:noWrap/>
            <w:vAlign w:val="center"/>
            <w:hideMark/>
          </w:tcPr>
          <w:p w14:paraId="01FEAAB2"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 xml:space="preserve">-0.2   </w:t>
            </w:r>
          </w:p>
        </w:tc>
        <w:tc>
          <w:tcPr>
            <w:tcW w:w="1192" w:type="dxa"/>
            <w:noWrap/>
            <w:vAlign w:val="center"/>
            <w:hideMark/>
          </w:tcPr>
          <w:p w14:paraId="21E71F72"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100%</w:t>
            </w:r>
          </w:p>
        </w:tc>
        <w:tc>
          <w:tcPr>
            <w:tcW w:w="1192" w:type="dxa"/>
            <w:noWrap/>
            <w:vAlign w:val="center"/>
            <w:hideMark/>
          </w:tcPr>
          <w:p w14:paraId="3AAE1569" w14:textId="418393A8"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 xml:space="preserve">0%   </w:t>
            </w:r>
          </w:p>
        </w:tc>
      </w:tr>
      <w:tr w:rsidR="00141F0F" w:rsidRPr="004E70CE" w14:paraId="14F0AD46" w14:textId="77777777" w:rsidTr="00507820">
        <w:trPr>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2C0374C" w14:textId="77777777" w:rsidR="00141F0F" w:rsidRPr="004E70CE" w:rsidRDefault="00141F0F" w:rsidP="00141F0F">
            <w:pPr>
              <w:spacing w:after="0" w:line="240" w:lineRule="auto"/>
              <w:rPr>
                <w:sz w:val="18"/>
                <w:szCs w:val="18"/>
              </w:rPr>
            </w:pPr>
            <w:r w:rsidRPr="004E70CE">
              <w:rPr>
                <w:rFonts w:ascii="Calibri" w:hAnsi="Calibri" w:cs="Calibri"/>
                <w:color w:val="000000"/>
                <w:sz w:val="18"/>
                <w:szCs w:val="18"/>
              </w:rPr>
              <w:t>Sodium cyanide</w:t>
            </w:r>
          </w:p>
        </w:tc>
        <w:tc>
          <w:tcPr>
            <w:tcW w:w="1134" w:type="dxa"/>
            <w:noWrap/>
            <w:vAlign w:val="center"/>
            <w:hideMark/>
          </w:tcPr>
          <w:p w14:paraId="53165D3D" w14:textId="6FC47C07" w:rsidR="00141F0F" w:rsidRPr="004E70CE" w:rsidRDefault="00894AB0"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0-1</w:t>
            </w:r>
            <w:r w:rsidR="00141F0F" w:rsidRPr="004E70CE">
              <w:rPr>
                <w:rFonts w:ascii="Calibri" w:hAnsi="Calibri" w:cs="Calibri"/>
                <w:color w:val="000000"/>
                <w:sz w:val="18"/>
                <w:szCs w:val="18"/>
              </w:rPr>
              <w:t>%</w:t>
            </w:r>
          </w:p>
        </w:tc>
        <w:tc>
          <w:tcPr>
            <w:tcW w:w="1249" w:type="dxa"/>
            <w:noWrap/>
            <w:vAlign w:val="center"/>
            <w:hideMark/>
          </w:tcPr>
          <w:p w14:paraId="1C03C61A" w14:textId="217319CE" w:rsidR="00141F0F" w:rsidRPr="004E70CE" w:rsidRDefault="004C5432"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0-0.2</w:t>
            </w:r>
          </w:p>
        </w:tc>
        <w:tc>
          <w:tcPr>
            <w:tcW w:w="1191" w:type="dxa"/>
            <w:noWrap/>
            <w:vAlign w:val="center"/>
            <w:hideMark/>
          </w:tcPr>
          <w:p w14:paraId="57D39E39"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N/A</w:t>
            </w:r>
          </w:p>
        </w:tc>
        <w:tc>
          <w:tcPr>
            <w:tcW w:w="1192" w:type="dxa"/>
            <w:noWrap/>
            <w:vAlign w:val="center"/>
            <w:hideMark/>
          </w:tcPr>
          <w:p w14:paraId="6C69D52F"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92%</w:t>
            </w:r>
          </w:p>
        </w:tc>
        <w:tc>
          <w:tcPr>
            <w:tcW w:w="1192" w:type="dxa"/>
            <w:noWrap/>
            <w:vAlign w:val="center"/>
            <w:hideMark/>
          </w:tcPr>
          <w:p w14:paraId="33245C2B" w14:textId="77777777" w:rsidR="00141F0F" w:rsidRPr="004E70CE" w:rsidRDefault="00141F0F" w:rsidP="00141F0F">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E70CE">
              <w:rPr>
                <w:rFonts w:ascii="Calibri" w:hAnsi="Calibri" w:cs="Calibri"/>
                <w:color w:val="000000"/>
                <w:sz w:val="18"/>
                <w:szCs w:val="18"/>
              </w:rPr>
              <w:t>N/A</w:t>
            </w:r>
          </w:p>
        </w:tc>
      </w:tr>
      <w:tr w:rsidR="00141F0F" w:rsidRPr="004E70CE" w14:paraId="21999DEA" w14:textId="77777777" w:rsidTr="00507820">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0340D20" w14:textId="77777777" w:rsidR="00141F0F" w:rsidRPr="004E70CE" w:rsidRDefault="00141F0F" w:rsidP="00141F0F">
            <w:pPr>
              <w:spacing w:after="0" w:line="240" w:lineRule="auto"/>
              <w:rPr>
                <w:sz w:val="18"/>
                <w:szCs w:val="18"/>
              </w:rPr>
            </w:pPr>
            <w:r w:rsidRPr="004E70CE">
              <w:rPr>
                <w:rFonts w:ascii="Calibri" w:hAnsi="Calibri" w:cs="Calibri"/>
                <w:color w:val="000000"/>
                <w:sz w:val="18"/>
                <w:szCs w:val="18"/>
              </w:rPr>
              <w:t>Ethanol and dried distillers grain</w:t>
            </w:r>
          </w:p>
        </w:tc>
        <w:tc>
          <w:tcPr>
            <w:tcW w:w="1134" w:type="dxa"/>
            <w:noWrap/>
            <w:vAlign w:val="center"/>
            <w:hideMark/>
          </w:tcPr>
          <w:p w14:paraId="17E87565" w14:textId="5FD71D3D" w:rsidR="00141F0F" w:rsidRPr="004E70CE" w:rsidRDefault="00894AB0"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0-1</w:t>
            </w:r>
            <w:r w:rsidR="00141F0F" w:rsidRPr="004E70CE">
              <w:rPr>
                <w:rFonts w:ascii="Calibri" w:hAnsi="Calibri" w:cs="Calibri"/>
                <w:color w:val="000000"/>
                <w:sz w:val="18"/>
                <w:szCs w:val="18"/>
              </w:rPr>
              <w:t>%</w:t>
            </w:r>
          </w:p>
        </w:tc>
        <w:tc>
          <w:tcPr>
            <w:tcW w:w="1249" w:type="dxa"/>
            <w:noWrap/>
            <w:vAlign w:val="center"/>
            <w:hideMark/>
          </w:tcPr>
          <w:p w14:paraId="4BEC6567" w14:textId="55E5344D" w:rsidR="00141F0F" w:rsidRPr="004E70CE" w:rsidRDefault="004C5432"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0.2-0.4</w:t>
            </w:r>
          </w:p>
        </w:tc>
        <w:tc>
          <w:tcPr>
            <w:tcW w:w="1191" w:type="dxa"/>
            <w:noWrap/>
            <w:vAlign w:val="center"/>
            <w:hideMark/>
          </w:tcPr>
          <w:p w14:paraId="46FB05B9"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 xml:space="preserve">-0.6   </w:t>
            </w:r>
          </w:p>
        </w:tc>
        <w:tc>
          <w:tcPr>
            <w:tcW w:w="1192" w:type="dxa"/>
            <w:noWrap/>
            <w:vAlign w:val="center"/>
            <w:hideMark/>
          </w:tcPr>
          <w:p w14:paraId="271753DD" w14:textId="77777777"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100%</w:t>
            </w:r>
          </w:p>
        </w:tc>
        <w:tc>
          <w:tcPr>
            <w:tcW w:w="1192" w:type="dxa"/>
            <w:noWrap/>
            <w:vAlign w:val="center"/>
            <w:hideMark/>
          </w:tcPr>
          <w:p w14:paraId="44F90DF7" w14:textId="4E4C2563" w:rsidR="00141F0F" w:rsidRPr="004E70CE" w:rsidRDefault="00141F0F" w:rsidP="00141F0F">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E70CE">
              <w:rPr>
                <w:rFonts w:ascii="Calibri" w:hAnsi="Calibri" w:cs="Calibri"/>
                <w:color w:val="000000"/>
                <w:sz w:val="18"/>
                <w:szCs w:val="18"/>
              </w:rPr>
              <w:t xml:space="preserve">0%   </w:t>
            </w:r>
          </w:p>
        </w:tc>
      </w:tr>
    </w:tbl>
    <w:p w14:paraId="59EFFFA4" w14:textId="77777777" w:rsidR="0073242A" w:rsidRPr="004E70CE" w:rsidRDefault="0073242A" w:rsidP="006E7286">
      <w:pPr>
        <w:spacing w:after="0" w:line="240" w:lineRule="auto"/>
        <w:rPr>
          <w:b/>
          <w:bCs/>
        </w:rPr>
        <w:sectPr w:rsidR="0073242A" w:rsidRPr="004E70CE" w:rsidSect="00961B6E">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418" w:left="1418" w:header="567" w:footer="283" w:gutter="0"/>
          <w:cols w:space="708"/>
          <w:titlePg/>
          <w:docGrid w:linePitch="360"/>
        </w:sectPr>
      </w:pPr>
    </w:p>
    <w:p w14:paraId="1D4BE40A" w14:textId="36A39FE9" w:rsidR="00C252ED" w:rsidRPr="004E70CE" w:rsidRDefault="00C252ED" w:rsidP="006E7286">
      <w:pPr>
        <w:spacing w:after="0" w:line="240" w:lineRule="auto"/>
        <w:rPr>
          <w:b/>
          <w:bCs/>
        </w:rPr>
      </w:pPr>
    </w:p>
    <w:p w14:paraId="328CE00B" w14:textId="5E2BB900" w:rsidR="210FB856" w:rsidRPr="004E70CE" w:rsidRDefault="001E0706" w:rsidP="2A35194C">
      <w:pPr>
        <w:spacing w:after="0" w:line="240" w:lineRule="auto"/>
      </w:pPr>
      <w:r>
        <w:rPr>
          <w:noProof/>
        </w:rPr>
        <w:drawing>
          <wp:inline distT="0" distB="0" distL="0" distR="0" wp14:anchorId="015206F1" wp14:editId="31274CC3">
            <wp:extent cx="5971890" cy="35484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l="1859" b="6230"/>
                    <a:stretch/>
                  </pic:blipFill>
                  <pic:spPr bwMode="auto">
                    <a:xfrm>
                      <a:off x="0" y="0"/>
                      <a:ext cx="5994907" cy="3562095"/>
                    </a:xfrm>
                    <a:prstGeom prst="rect">
                      <a:avLst/>
                    </a:prstGeom>
                    <a:noFill/>
                    <a:ln>
                      <a:noFill/>
                    </a:ln>
                    <a:extLst>
                      <a:ext uri="{53640926-AAD7-44D8-BBD7-CCE9431645EC}">
                        <a14:shadowObscured xmlns:a14="http://schemas.microsoft.com/office/drawing/2010/main"/>
                      </a:ext>
                    </a:extLst>
                  </pic:spPr>
                </pic:pic>
              </a:graphicData>
            </a:graphic>
          </wp:inline>
        </w:drawing>
      </w:r>
    </w:p>
    <w:p w14:paraId="49C783F6" w14:textId="4AA97901" w:rsidR="00BE32C9" w:rsidRPr="004E70CE" w:rsidRDefault="00E562C2" w:rsidP="00FB0F52">
      <w:pPr>
        <w:spacing w:before="120" w:after="0" w:line="240" w:lineRule="auto"/>
        <w:rPr>
          <w:b/>
          <w:bCs/>
        </w:rPr>
      </w:pPr>
      <w:r w:rsidRPr="004E70CE">
        <w:rPr>
          <w:b/>
          <w:bCs/>
        </w:rPr>
        <w:t>Figure 2</w:t>
      </w:r>
      <w:r w:rsidR="00472EFD" w:rsidRPr="004E70CE">
        <w:rPr>
          <w:b/>
          <w:bCs/>
        </w:rPr>
        <w:t>(a)</w:t>
      </w:r>
      <w:r w:rsidRPr="004E70CE">
        <w:rPr>
          <w:b/>
          <w:bCs/>
        </w:rPr>
        <w:t xml:space="preserve">: </w:t>
      </w:r>
      <w:r w:rsidR="00A27300" w:rsidRPr="004E70CE">
        <w:rPr>
          <w:b/>
          <w:bCs/>
        </w:rPr>
        <w:t>‘</w:t>
      </w:r>
      <w:r w:rsidRPr="004E70CE">
        <w:rPr>
          <w:b/>
          <w:bCs/>
        </w:rPr>
        <w:t>Carbon cost as per cent of price</w:t>
      </w:r>
      <w:r w:rsidR="00A27300" w:rsidRPr="004E70CE">
        <w:rPr>
          <w:b/>
          <w:bCs/>
        </w:rPr>
        <w:t>’</w:t>
      </w:r>
      <w:r w:rsidRPr="004E70CE">
        <w:rPr>
          <w:b/>
          <w:bCs/>
        </w:rPr>
        <w:t xml:space="preserve"> compared to </w:t>
      </w:r>
      <w:r w:rsidR="00A27300" w:rsidRPr="004E70CE">
        <w:rPr>
          <w:b/>
          <w:bCs/>
        </w:rPr>
        <w:t>‘</w:t>
      </w:r>
      <w:r w:rsidR="00D531A1" w:rsidRPr="004E70CE">
        <w:rPr>
          <w:b/>
          <w:bCs/>
        </w:rPr>
        <w:t xml:space="preserve">Imports </w:t>
      </w:r>
      <w:r w:rsidR="007257F0" w:rsidRPr="004E70CE">
        <w:rPr>
          <w:b/>
          <w:bCs/>
        </w:rPr>
        <w:t>relative to Safeguard production</w:t>
      </w:r>
      <w:r w:rsidR="00FB47D4" w:rsidRPr="004E70CE">
        <w:rPr>
          <w:b/>
          <w:bCs/>
        </w:rPr>
        <w:t>’</w:t>
      </w:r>
      <w:r w:rsidRPr="004E70CE">
        <w:rPr>
          <w:b/>
          <w:bCs/>
        </w:rPr>
        <w:t>.</w:t>
      </w:r>
      <w:r w:rsidR="000D709B">
        <w:rPr>
          <w:rStyle w:val="FootnoteReference"/>
          <w:b/>
          <w:bCs/>
        </w:rPr>
        <w:footnoteReference w:id="30"/>
      </w:r>
      <w:r w:rsidRPr="004E70CE" w:rsidDel="00E562C2">
        <w:rPr>
          <w:b/>
          <w:bCs/>
        </w:rPr>
        <w:t xml:space="preserve"> </w:t>
      </w:r>
    </w:p>
    <w:p w14:paraId="61FDE541" w14:textId="77777777" w:rsidR="000F709B" w:rsidRPr="004E70CE" w:rsidRDefault="000F709B" w:rsidP="00FB0F52">
      <w:pPr>
        <w:spacing w:before="120" w:after="0" w:line="240" w:lineRule="auto"/>
        <w:rPr>
          <w:b/>
          <w:bCs/>
        </w:rPr>
      </w:pPr>
    </w:p>
    <w:p w14:paraId="52C24366" w14:textId="73AF813B" w:rsidR="00BE32C9" w:rsidRPr="004E70CE" w:rsidRDefault="004B2E03" w:rsidP="000F709B">
      <w:pPr>
        <w:spacing w:after="0" w:line="240" w:lineRule="auto"/>
        <w:jc w:val="both"/>
        <w:rPr>
          <w:b/>
          <w:bCs/>
        </w:rPr>
      </w:pPr>
      <w:r>
        <w:rPr>
          <w:b/>
          <w:bCs/>
          <w:noProof/>
        </w:rPr>
        <w:drawing>
          <wp:inline distT="0" distB="0" distL="0" distR="0" wp14:anchorId="78168A36" wp14:editId="41496C33">
            <wp:extent cx="5942304" cy="2663371"/>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3181" b="9422"/>
                    <a:stretch/>
                  </pic:blipFill>
                  <pic:spPr bwMode="auto">
                    <a:xfrm>
                      <a:off x="0" y="0"/>
                      <a:ext cx="5991775" cy="2685544"/>
                    </a:xfrm>
                    <a:prstGeom prst="rect">
                      <a:avLst/>
                    </a:prstGeom>
                    <a:noFill/>
                    <a:ln>
                      <a:noFill/>
                    </a:ln>
                    <a:extLst>
                      <a:ext uri="{53640926-AAD7-44D8-BBD7-CCE9431645EC}">
                        <a14:shadowObscured xmlns:a14="http://schemas.microsoft.com/office/drawing/2010/main"/>
                      </a:ext>
                    </a:extLst>
                  </pic:spPr>
                </pic:pic>
              </a:graphicData>
            </a:graphic>
          </wp:inline>
        </w:drawing>
      </w:r>
    </w:p>
    <w:p w14:paraId="3B1B8C72" w14:textId="08D128AF" w:rsidR="000F709B" w:rsidRPr="004E70CE" w:rsidRDefault="000F709B" w:rsidP="000F709B">
      <w:pPr>
        <w:spacing w:before="120" w:after="0" w:line="240" w:lineRule="auto"/>
        <w:rPr>
          <w:b/>
          <w:bCs/>
        </w:rPr>
      </w:pPr>
      <w:r w:rsidRPr="004E70CE">
        <w:rPr>
          <w:b/>
          <w:bCs/>
        </w:rPr>
        <w:t xml:space="preserve">Figure 2(b): ‘Carbon cost as per cent of price’ compared to ‘Exports </w:t>
      </w:r>
      <w:r w:rsidR="00205D13">
        <w:rPr>
          <w:b/>
          <w:bCs/>
        </w:rPr>
        <w:t>relative to</w:t>
      </w:r>
      <w:r w:rsidRPr="004E70CE">
        <w:rPr>
          <w:b/>
          <w:bCs/>
        </w:rPr>
        <w:t xml:space="preserve"> Safeguard production’.</w:t>
      </w:r>
      <w:r w:rsidR="000D709B">
        <w:rPr>
          <w:rStyle w:val="FootnoteReference"/>
          <w:b/>
          <w:bCs/>
        </w:rPr>
        <w:footnoteReference w:id="31"/>
      </w:r>
      <w:r w:rsidRPr="004E70CE" w:rsidDel="00E562C2">
        <w:rPr>
          <w:b/>
          <w:bCs/>
        </w:rPr>
        <w:t xml:space="preserve"> </w:t>
      </w:r>
    </w:p>
    <w:p w14:paraId="63A45205" w14:textId="77777777" w:rsidR="000F709B" w:rsidRPr="004E70CE" w:rsidRDefault="000F709B" w:rsidP="00FE09AA">
      <w:pPr>
        <w:spacing w:after="0" w:line="240" w:lineRule="auto"/>
        <w:jc w:val="both"/>
        <w:rPr>
          <w:b/>
          <w:bCs/>
        </w:rPr>
      </w:pPr>
    </w:p>
    <w:p w14:paraId="05038888" w14:textId="77777777" w:rsidR="006E4981" w:rsidRPr="004E70CE" w:rsidRDefault="006E4981" w:rsidP="00FB0F52">
      <w:pPr>
        <w:spacing w:before="120" w:after="0" w:line="240" w:lineRule="auto"/>
        <w:rPr>
          <w:b/>
          <w:bCs/>
        </w:rPr>
        <w:sectPr w:rsidR="006E4981" w:rsidRPr="004E70CE" w:rsidSect="006D1828">
          <w:pgSz w:w="11906" w:h="16838"/>
          <w:pgMar w:top="1418" w:right="1418" w:bottom="1418" w:left="1418" w:header="567" w:footer="284" w:gutter="0"/>
          <w:cols w:space="708"/>
          <w:docGrid w:linePitch="360"/>
        </w:sectPr>
      </w:pPr>
    </w:p>
    <w:p w14:paraId="527DEFBD" w14:textId="77777777" w:rsidR="009B34B9" w:rsidRDefault="009B34B9" w:rsidP="000C3652">
      <w:pPr>
        <w:spacing w:after="120" w:line="240" w:lineRule="auto"/>
        <w:rPr>
          <w:b/>
        </w:rPr>
      </w:pPr>
      <w:r>
        <w:rPr>
          <w:b/>
          <w:noProof/>
        </w:rPr>
        <w:lastRenderedPageBreak/>
        <w:drawing>
          <wp:inline distT="0" distB="0" distL="0" distR="0" wp14:anchorId="4E62AEC7" wp14:editId="265FFADA">
            <wp:extent cx="5765019" cy="7920761"/>
            <wp:effectExtent l="0" t="0" r="7620" b="4445"/>
            <wp:docPr id="19013637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0479" cy="7942002"/>
                    </a:xfrm>
                    <a:prstGeom prst="rect">
                      <a:avLst/>
                    </a:prstGeom>
                    <a:noFill/>
                  </pic:spPr>
                </pic:pic>
              </a:graphicData>
            </a:graphic>
          </wp:inline>
        </w:drawing>
      </w:r>
    </w:p>
    <w:p w14:paraId="185F996B" w14:textId="1F31BF20" w:rsidR="00BE366C" w:rsidRPr="004E70CE" w:rsidRDefault="009B34B9" w:rsidP="009B34B9">
      <w:pPr>
        <w:spacing w:after="240" w:line="240" w:lineRule="auto"/>
        <w:contextualSpacing/>
        <w:rPr>
          <w:b/>
        </w:rPr>
      </w:pPr>
      <w:r>
        <w:rPr>
          <w:b/>
        </w:rPr>
        <w:t>Fig</w:t>
      </w:r>
      <w:r w:rsidR="00BE366C" w:rsidRPr="004E70CE">
        <w:rPr>
          <w:b/>
        </w:rPr>
        <w:t xml:space="preserve">ure 3: Trade elasticity illustrating the sensitivity of imports and exports to price changes.  </w:t>
      </w:r>
    </w:p>
    <w:p w14:paraId="268D51B9" w14:textId="77777777" w:rsidR="00656E75" w:rsidRPr="004E70CE" w:rsidRDefault="00656E75">
      <w:pPr>
        <w:spacing w:after="0" w:line="240" w:lineRule="auto"/>
        <w:rPr>
          <w:b/>
          <w:bCs/>
          <w:u w:val="single"/>
        </w:rPr>
      </w:pPr>
    </w:p>
    <w:p w14:paraId="1684F45C" w14:textId="77777777" w:rsidR="00CC5F57" w:rsidRPr="004E70CE" w:rsidRDefault="00CC5F57">
      <w:pPr>
        <w:spacing w:after="0" w:line="240" w:lineRule="auto"/>
        <w:rPr>
          <w:b/>
          <w:bCs/>
          <w:u w:val="single"/>
        </w:rPr>
      </w:pPr>
      <w:r w:rsidRPr="004E70CE">
        <w:rPr>
          <w:b/>
          <w:bCs/>
          <w:u w:val="single"/>
        </w:rPr>
        <w:br w:type="page"/>
      </w:r>
    </w:p>
    <w:p w14:paraId="059F3236" w14:textId="77777777" w:rsidR="00EB05CF" w:rsidRPr="004E70CE" w:rsidRDefault="00EB05CF">
      <w:pPr>
        <w:spacing w:after="0" w:line="240" w:lineRule="auto"/>
        <w:rPr>
          <w:b/>
          <w:bCs/>
          <w:u w:val="single"/>
        </w:rPr>
      </w:pPr>
    </w:p>
    <w:p w14:paraId="4755EB5A" w14:textId="1B67D286" w:rsidR="006A2188" w:rsidRPr="004E70CE" w:rsidRDefault="00AD168A">
      <w:pPr>
        <w:spacing w:after="0" w:line="240" w:lineRule="auto"/>
        <w:rPr>
          <w:b/>
          <w:bCs/>
          <w:u w:val="single"/>
        </w:rPr>
      </w:pPr>
      <w:r w:rsidRPr="00AA4F9E">
        <w:rPr>
          <w:noProof/>
        </w:rPr>
        <w:drawing>
          <wp:inline distT="0" distB="0" distL="0" distR="0" wp14:anchorId="5A30A01F" wp14:editId="31700BAA">
            <wp:extent cx="5621174" cy="79512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0865" cy="7964926"/>
                    </a:xfrm>
                    <a:prstGeom prst="rect">
                      <a:avLst/>
                    </a:prstGeom>
                    <a:noFill/>
                  </pic:spPr>
                </pic:pic>
              </a:graphicData>
            </a:graphic>
          </wp:inline>
        </w:drawing>
      </w:r>
    </w:p>
    <w:p w14:paraId="236AEEEF" w14:textId="77777777" w:rsidR="00C77E2C" w:rsidRPr="004E70CE" w:rsidRDefault="00C77E2C" w:rsidP="00B21DA4">
      <w:pPr>
        <w:spacing w:before="120" w:after="0" w:line="240" w:lineRule="auto"/>
        <w:rPr>
          <w:b/>
        </w:rPr>
      </w:pPr>
      <w:r w:rsidRPr="004E70CE">
        <w:rPr>
          <w:b/>
        </w:rPr>
        <w:t xml:space="preserve">Figure 4: Estimated change in production as </w:t>
      </w:r>
      <w:r w:rsidR="00C37EC3" w:rsidRPr="004E70CE">
        <w:rPr>
          <w:b/>
        </w:rPr>
        <w:t xml:space="preserve">a </w:t>
      </w:r>
      <w:r w:rsidRPr="004E70CE">
        <w:rPr>
          <w:b/>
        </w:rPr>
        <w:t>percent</w:t>
      </w:r>
      <w:r w:rsidR="00C37EC3" w:rsidRPr="004E70CE">
        <w:rPr>
          <w:b/>
        </w:rPr>
        <w:t>age</w:t>
      </w:r>
      <w:r w:rsidRPr="004E70CE">
        <w:rPr>
          <w:b/>
        </w:rPr>
        <w:t xml:space="preserve"> of Safeguard-covered production</w:t>
      </w:r>
      <w:r w:rsidR="00C37EC3" w:rsidRPr="004E70CE">
        <w:rPr>
          <w:b/>
        </w:rPr>
        <w:t>.</w:t>
      </w:r>
      <w:r w:rsidRPr="004E70CE">
        <w:rPr>
          <w:b/>
        </w:rPr>
        <w:t xml:space="preserve"> </w:t>
      </w:r>
    </w:p>
    <w:p w14:paraId="585D0AB5" w14:textId="77777777" w:rsidR="00064930" w:rsidRPr="004E70CE" w:rsidRDefault="00064930">
      <w:pPr>
        <w:spacing w:after="0" w:line="240" w:lineRule="auto"/>
        <w:rPr>
          <w:b/>
          <w:bCs/>
          <w:u w:val="single"/>
        </w:rPr>
      </w:pPr>
      <w:r w:rsidRPr="004E70CE">
        <w:rPr>
          <w:b/>
          <w:bCs/>
          <w:u w:val="single"/>
        </w:rPr>
        <w:br w:type="page"/>
      </w:r>
    </w:p>
    <w:p w14:paraId="0470B153" w14:textId="77777777" w:rsidR="00A21D2B" w:rsidRPr="004E70CE" w:rsidRDefault="0BA80F7B" w:rsidP="00B21DA4">
      <w:pPr>
        <w:pStyle w:val="Heading3"/>
        <w:spacing w:line="276" w:lineRule="auto"/>
      </w:pPr>
      <w:bookmarkStart w:id="17" w:name="_Toc173997660"/>
      <w:r w:rsidRPr="004E70CE">
        <w:lastRenderedPageBreak/>
        <w:t>Assessing i</w:t>
      </w:r>
      <w:r w:rsidR="4CADF433" w:rsidRPr="004E70CE">
        <w:t xml:space="preserve">nvestment </w:t>
      </w:r>
      <w:r w:rsidRPr="004E70CE">
        <w:t>l</w:t>
      </w:r>
      <w:r w:rsidR="4CADF433" w:rsidRPr="004E70CE">
        <w:t>eakage</w:t>
      </w:r>
      <w:r w:rsidR="4D32126B" w:rsidRPr="004E70CE">
        <w:t xml:space="preserve"> risk</w:t>
      </w:r>
      <w:bookmarkEnd w:id="17"/>
    </w:p>
    <w:p w14:paraId="724F8262" w14:textId="77777777" w:rsidR="00245159" w:rsidRPr="004E70CE" w:rsidRDefault="4CADF433" w:rsidP="00B21DA4">
      <w:r w:rsidRPr="004E70CE">
        <w:t xml:space="preserve">Differences in emissions reduction policies can give rise to </w:t>
      </w:r>
      <w:r w:rsidR="004A51E4" w:rsidRPr="004E70CE">
        <w:t xml:space="preserve">carbon </w:t>
      </w:r>
      <w:r w:rsidRPr="004E70CE">
        <w:t>leakage risks</w:t>
      </w:r>
      <w:r w:rsidR="004A51E4" w:rsidRPr="004E70CE">
        <w:t xml:space="preserve"> in investment</w:t>
      </w:r>
      <w:r w:rsidRPr="004E70CE">
        <w:t xml:space="preserve">. </w:t>
      </w:r>
      <w:r w:rsidR="002C172E" w:rsidRPr="004E70CE">
        <w:t>C</w:t>
      </w:r>
      <w:r w:rsidR="17A0E256" w:rsidRPr="004E70CE">
        <w:t xml:space="preserve">hanges in investment </w:t>
      </w:r>
      <w:r w:rsidR="16703689" w:rsidRPr="004E70CE">
        <w:t>decision</w:t>
      </w:r>
      <w:r w:rsidR="0F4A429B" w:rsidRPr="004E70CE">
        <w:t>s</w:t>
      </w:r>
      <w:r w:rsidR="16703689" w:rsidRPr="004E70CE">
        <w:t xml:space="preserve"> </w:t>
      </w:r>
      <w:r w:rsidR="002C172E" w:rsidRPr="004E70CE">
        <w:t>also</w:t>
      </w:r>
      <w:r w:rsidR="5E030B3C" w:rsidRPr="004E70CE">
        <w:t xml:space="preserve"> occur </w:t>
      </w:r>
      <w:r w:rsidR="759AEB32" w:rsidRPr="004E70CE">
        <w:t xml:space="preserve">for reasons other than </w:t>
      </w:r>
      <w:r w:rsidR="348E54A1" w:rsidRPr="004E70CE">
        <w:t xml:space="preserve">differences in </w:t>
      </w:r>
      <w:r w:rsidR="759AEB32" w:rsidRPr="004E70CE">
        <w:t xml:space="preserve">climate policy. Investment decisions </w:t>
      </w:r>
      <w:r w:rsidR="24B3D6F0" w:rsidRPr="004E70CE">
        <w:t xml:space="preserve">are </w:t>
      </w:r>
      <w:r w:rsidR="17A0E256" w:rsidRPr="004E70CE">
        <w:t xml:space="preserve">influenced </w:t>
      </w:r>
      <w:r w:rsidR="24B3D6F0" w:rsidRPr="004E70CE">
        <w:t xml:space="preserve">by </w:t>
      </w:r>
      <w:r w:rsidR="7E4C16FB" w:rsidRPr="004E70CE">
        <w:t xml:space="preserve">features </w:t>
      </w:r>
      <w:r w:rsidR="1E0FDABC" w:rsidRPr="004E70CE">
        <w:t xml:space="preserve">including </w:t>
      </w:r>
      <w:r w:rsidR="24B3D6F0" w:rsidRPr="004E70CE">
        <w:t>costs of capital</w:t>
      </w:r>
      <w:r w:rsidR="17A0E256" w:rsidRPr="004E70CE">
        <w:t xml:space="preserve"> and labour, access to skilled labour and </w:t>
      </w:r>
      <w:r w:rsidR="1C928346" w:rsidRPr="004E70CE">
        <w:t>operational costs</w:t>
      </w:r>
      <w:r w:rsidR="1E982A49" w:rsidRPr="004E70CE">
        <w:t xml:space="preserve">. </w:t>
      </w:r>
      <w:r w:rsidRPr="004E70CE">
        <w:t>In addition, investment also often turns on more intangible issues like market conditions</w:t>
      </w:r>
      <w:r w:rsidR="6DF75049" w:rsidRPr="004E70CE">
        <w:t xml:space="preserve">, company strategies </w:t>
      </w:r>
      <w:r w:rsidRPr="004E70CE">
        <w:t xml:space="preserve">and business </w:t>
      </w:r>
      <w:r w:rsidR="7BE7CBEA" w:rsidRPr="004E70CE">
        <w:t>sentiment</w:t>
      </w:r>
      <w:r w:rsidR="43935D17" w:rsidRPr="004E70CE">
        <w:t>.</w:t>
      </w:r>
      <w:r w:rsidR="00A21D2B" w:rsidRPr="004E70CE">
        <w:rPr>
          <w:rStyle w:val="FootnoteReference"/>
        </w:rPr>
        <w:footnoteReference w:id="32"/>
      </w:r>
      <w:r w:rsidR="00245159" w:rsidRPr="004E70CE">
        <w:t xml:space="preserve"> </w:t>
      </w:r>
      <w:r w:rsidR="00554392" w:rsidRPr="004E70CE">
        <w:t xml:space="preserve">In considering investment leakage risk, </w:t>
      </w:r>
      <w:r w:rsidR="00592CE2" w:rsidRPr="004E70CE">
        <w:t xml:space="preserve">the Review relies on stakeholder engagement </w:t>
      </w:r>
      <w:r w:rsidR="00287911" w:rsidRPr="004E70CE">
        <w:t xml:space="preserve">complemented by an assessment of investment leakage risk based on </w:t>
      </w:r>
      <w:r w:rsidR="00946B37" w:rsidRPr="004E70CE">
        <w:t>average emissions-to-profits ratios for industry groupings.</w:t>
      </w:r>
      <w:r w:rsidR="009836DA" w:rsidRPr="004E70CE">
        <w:t xml:space="preserve">  </w:t>
      </w:r>
      <w:r w:rsidR="004A51E4" w:rsidRPr="004E70CE">
        <w:t xml:space="preserve"> </w:t>
      </w:r>
    </w:p>
    <w:p w14:paraId="6F49E382" w14:textId="77777777" w:rsidR="008032E5" w:rsidRPr="004E70CE" w:rsidRDefault="008032E5" w:rsidP="00B21DA4">
      <w:r w:rsidRPr="004E70CE">
        <w:t>Stakeholders identified carbon leakage</w:t>
      </w:r>
      <w:r w:rsidR="00971862" w:rsidRPr="004E70CE">
        <w:t xml:space="preserve"> risk</w:t>
      </w:r>
      <w:r w:rsidRPr="004E70CE">
        <w:t xml:space="preserve"> in the investment channel as important. </w:t>
      </w:r>
    </w:p>
    <w:p w14:paraId="00A9E073" w14:textId="77777777" w:rsidR="008032E5" w:rsidRPr="004E70CE" w:rsidRDefault="008032E5" w:rsidP="00B21DA4">
      <w:pPr>
        <w:shd w:val="clear" w:color="auto" w:fill="FFFFFF"/>
        <w:ind w:left="720"/>
        <w:rPr>
          <w:b/>
        </w:rPr>
      </w:pPr>
      <w:r w:rsidRPr="004E70CE">
        <w:rPr>
          <w:i/>
        </w:rPr>
        <w:t>In considering the definition of carbon leakage, all parts of the Australian aluminium industry are highly exposed to both trade and investment leakage.</w:t>
      </w:r>
      <w:r w:rsidRPr="004E70CE">
        <w:t xml:space="preserve"> - </w:t>
      </w:r>
      <w:r w:rsidRPr="004E70CE">
        <w:rPr>
          <w:b/>
        </w:rPr>
        <w:t>Australian Aluminium Council</w:t>
      </w:r>
    </w:p>
    <w:p w14:paraId="101456C0" w14:textId="77777777" w:rsidR="008032E5" w:rsidRPr="004E70CE" w:rsidRDefault="008032E5" w:rsidP="00B21DA4">
      <w:pPr>
        <w:shd w:val="clear" w:color="auto" w:fill="FFFFFF"/>
        <w:ind w:left="720"/>
      </w:pPr>
      <w:r w:rsidRPr="004E70CE">
        <w:rPr>
          <w:i/>
        </w:rPr>
        <w:t xml:space="preserve">… it is crucial that the significant risk of investment leakage associated with uneven international climate policies is considered alongside the direct carbon leakage risks. </w:t>
      </w:r>
      <w:r w:rsidRPr="004E70CE">
        <w:t xml:space="preserve">- </w:t>
      </w:r>
      <w:r w:rsidRPr="004E70CE">
        <w:rPr>
          <w:b/>
        </w:rPr>
        <w:t>Boral</w:t>
      </w:r>
      <w:r w:rsidRPr="004E70CE">
        <w:t xml:space="preserve"> </w:t>
      </w:r>
    </w:p>
    <w:p w14:paraId="7750B55A" w14:textId="77777777" w:rsidR="00FC083F" w:rsidRPr="004E70CE" w:rsidRDefault="00A901EA" w:rsidP="00B21DA4">
      <w:pPr>
        <w:ind w:left="720"/>
      </w:pPr>
      <w:r w:rsidRPr="004E70CE">
        <w:rPr>
          <w:i/>
        </w:rPr>
        <w:t>Robust and scalable policy instruments that provide some certainty over the</w:t>
      </w:r>
      <w:r w:rsidR="00FC51BF" w:rsidRPr="004E70CE">
        <w:rPr>
          <w:i/>
          <w:iCs/>
        </w:rPr>
        <w:t xml:space="preserve"> </w:t>
      </w:r>
      <w:r w:rsidRPr="004E70CE">
        <w:rPr>
          <w:i/>
        </w:rPr>
        <w:t>investment horizon can assist in unlocking opportunities for decarbonisation investment and take advantage of Australia’s competitiveness in low</w:t>
      </w:r>
      <w:r w:rsidR="007B52DE" w:rsidRPr="004E70CE">
        <w:rPr>
          <w:i/>
        </w:rPr>
        <w:t xml:space="preserve"> </w:t>
      </w:r>
      <w:r w:rsidRPr="004E70CE">
        <w:rPr>
          <w:i/>
        </w:rPr>
        <w:t>carbon production.</w:t>
      </w:r>
      <w:r w:rsidR="00FC51BF" w:rsidRPr="004E70CE">
        <w:t xml:space="preserve"> - </w:t>
      </w:r>
      <w:r w:rsidR="00FC51BF" w:rsidRPr="004E70CE">
        <w:rPr>
          <w:b/>
          <w:bCs/>
        </w:rPr>
        <w:t>KPMG</w:t>
      </w:r>
    </w:p>
    <w:p w14:paraId="6E4A2C79" w14:textId="77777777" w:rsidR="00C729BA" w:rsidRPr="004E70CE" w:rsidRDefault="00FA65D2" w:rsidP="00B21DA4">
      <w:r w:rsidRPr="004E70CE">
        <w:t>The emissions</w:t>
      </w:r>
      <w:r w:rsidR="00D41D9A" w:rsidRPr="004E70CE">
        <w:t>-to-</w:t>
      </w:r>
      <w:r w:rsidRPr="004E70CE">
        <w:t xml:space="preserve">profits </w:t>
      </w:r>
      <w:r w:rsidR="00D41D9A" w:rsidRPr="004E70CE">
        <w:t xml:space="preserve">ratio is </w:t>
      </w:r>
      <w:r w:rsidR="00C50285" w:rsidRPr="004E70CE">
        <w:t xml:space="preserve">a typical measure of emissions intensity used in </w:t>
      </w:r>
      <w:r w:rsidR="007B52DE" w:rsidRPr="004E70CE">
        <w:t>e</w:t>
      </w:r>
      <w:r w:rsidR="00A11A81" w:rsidRPr="004E70CE">
        <w:t>missions</w:t>
      </w:r>
      <w:r w:rsidR="007B52DE" w:rsidRPr="004E70CE">
        <w:t>-i</w:t>
      </w:r>
      <w:r w:rsidR="00A11A81" w:rsidRPr="004E70CE">
        <w:t xml:space="preserve">ntensive </w:t>
      </w:r>
      <w:r w:rsidR="007B52DE" w:rsidRPr="004E70CE">
        <w:t>t</w:t>
      </w:r>
      <w:r w:rsidR="00A11A81" w:rsidRPr="004E70CE">
        <w:t>rade</w:t>
      </w:r>
      <w:r w:rsidR="007B52DE" w:rsidRPr="004E70CE">
        <w:t>-e</w:t>
      </w:r>
      <w:r w:rsidR="00A11A81" w:rsidRPr="004E70CE">
        <w:t>xposed</w:t>
      </w:r>
      <w:r w:rsidR="004E384A" w:rsidRPr="004E70CE">
        <w:t xml:space="preserve"> metrics, such as </w:t>
      </w:r>
      <w:r w:rsidR="008D2412" w:rsidRPr="004E70CE">
        <w:t xml:space="preserve">those </w:t>
      </w:r>
      <w:r w:rsidR="004E384A" w:rsidRPr="004E70CE">
        <w:t>of the OECD</w:t>
      </w:r>
      <w:r w:rsidR="007D5972" w:rsidRPr="004E70CE">
        <w:t>, IMF, the E</w:t>
      </w:r>
      <w:r w:rsidR="00164E22" w:rsidRPr="004E70CE">
        <w:t xml:space="preserve">uropean </w:t>
      </w:r>
      <w:r w:rsidR="007D5972" w:rsidRPr="004E70CE">
        <w:t>U</w:t>
      </w:r>
      <w:r w:rsidR="00164E22" w:rsidRPr="004E70CE">
        <w:t>nion (EU)</w:t>
      </w:r>
      <w:r w:rsidR="007D5972" w:rsidRPr="004E70CE">
        <w:t xml:space="preserve"> and others</w:t>
      </w:r>
      <w:r w:rsidR="004E384A" w:rsidRPr="004E70CE">
        <w:t>.</w:t>
      </w:r>
      <w:r w:rsidR="007D5972" w:rsidRPr="004E70CE">
        <w:rPr>
          <w:rStyle w:val="FootnoteReference"/>
        </w:rPr>
        <w:footnoteReference w:id="33"/>
      </w:r>
      <w:r w:rsidR="004E384A" w:rsidRPr="004E70CE">
        <w:t xml:space="preserve"> </w:t>
      </w:r>
      <w:r w:rsidR="00C50285" w:rsidRPr="004E70CE">
        <w:t xml:space="preserve"> </w:t>
      </w:r>
      <w:r w:rsidR="00DA6376" w:rsidRPr="004E70CE">
        <w:t>This measure of</w:t>
      </w:r>
      <w:r w:rsidR="003E50D2" w:rsidRPr="004E70CE">
        <w:t xml:space="preserve"> exposure to leakage</w:t>
      </w:r>
      <w:r w:rsidR="00DA6376" w:rsidRPr="004E70CE">
        <w:t xml:space="preserve"> is usually given as </w:t>
      </w:r>
      <w:r w:rsidR="00647606" w:rsidRPr="004E70CE">
        <w:t xml:space="preserve">ratio of </w:t>
      </w:r>
      <w:r w:rsidR="00AB07D9" w:rsidRPr="004E70CE">
        <w:t>carbon</w:t>
      </w:r>
      <w:r w:rsidR="00647606" w:rsidRPr="004E70CE">
        <w:t xml:space="preserve"> costs (emissions,</w:t>
      </w:r>
      <w:r w:rsidR="00AB07D9" w:rsidRPr="004E70CE">
        <w:t xml:space="preserve"> prices</w:t>
      </w:r>
      <w:r w:rsidR="00647606" w:rsidRPr="004E70CE">
        <w:t>) to profits (</w:t>
      </w:r>
      <w:r w:rsidR="00724CCB" w:rsidRPr="004E70CE">
        <w:t>for example gross value added).</w:t>
      </w:r>
      <w:r w:rsidR="00011701" w:rsidRPr="004E70CE">
        <w:t xml:space="preserve"> Industries or firms with a</w:t>
      </w:r>
      <w:r w:rsidR="009701B9" w:rsidRPr="004E70CE">
        <w:t xml:space="preserve"> smaller profit margin </w:t>
      </w:r>
      <w:r w:rsidR="00011701" w:rsidRPr="004E70CE">
        <w:t xml:space="preserve">and </w:t>
      </w:r>
      <w:r w:rsidR="009701B9" w:rsidRPr="004E70CE">
        <w:t xml:space="preserve">large emissions </w:t>
      </w:r>
      <w:r w:rsidR="00011701" w:rsidRPr="004E70CE">
        <w:t xml:space="preserve">are </w:t>
      </w:r>
      <w:r w:rsidR="00BB3C2D" w:rsidRPr="004E70CE">
        <w:t xml:space="preserve">identified by the metric as having a </w:t>
      </w:r>
      <w:r w:rsidR="006F1890" w:rsidRPr="004E70CE">
        <w:t>potential</w:t>
      </w:r>
      <w:r w:rsidR="009701B9" w:rsidRPr="004E70CE">
        <w:t xml:space="preserve"> </w:t>
      </w:r>
      <w:r w:rsidR="00BB3C2D" w:rsidRPr="004E70CE">
        <w:t>carbon</w:t>
      </w:r>
      <w:r w:rsidR="009701B9" w:rsidRPr="004E70CE">
        <w:t xml:space="preserve"> leakage risk.</w:t>
      </w:r>
      <w:r w:rsidR="00403541" w:rsidRPr="004E70CE">
        <w:t xml:space="preserve"> </w:t>
      </w:r>
      <w:r w:rsidR="00BB3C2D" w:rsidRPr="004E70CE">
        <w:t xml:space="preserve">We </w:t>
      </w:r>
      <w:r w:rsidR="00812984" w:rsidRPr="004E70CE">
        <w:t>characterise</w:t>
      </w:r>
      <w:r w:rsidR="007D52F0" w:rsidRPr="004E70CE">
        <w:t xml:space="preserve"> this as investment leakage</w:t>
      </w:r>
      <w:r w:rsidR="00812984" w:rsidRPr="004E70CE">
        <w:t xml:space="preserve"> risk </w:t>
      </w:r>
      <w:r w:rsidR="000C5FAD" w:rsidRPr="004E70CE">
        <w:t xml:space="preserve">as it </w:t>
      </w:r>
      <w:r w:rsidR="00797841" w:rsidRPr="004E70CE">
        <w:t>sheds light on</w:t>
      </w:r>
      <w:r w:rsidR="000C5FAD" w:rsidRPr="004E70CE">
        <w:t xml:space="preserve"> the</w:t>
      </w:r>
      <w:r w:rsidR="00812984" w:rsidRPr="004E70CE">
        <w:t xml:space="preserve"> </w:t>
      </w:r>
      <w:r w:rsidR="00D72B5E" w:rsidRPr="004E70CE">
        <w:t xml:space="preserve">relative </w:t>
      </w:r>
      <w:r w:rsidR="00C17536" w:rsidRPr="004E70CE">
        <w:t xml:space="preserve">attractiveness of the </w:t>
      </w:r>
      <w:r w:rsidR="00D72B5E" w:rsidRPr="004E70CE">
        <w:t xml:space="preserve">industry for </w:t>
      </w:r>
      <w:r w:rsidR="00B65A76" w:rsidRPr="004E70CE">
        <w:t>new</w:t>
      </w:r>
      <w:r w:rsidR="00D72B5E" w:rsidRPr="004E70CE">
        <w:t xml:space="preserve"> investment based on its capacity </w:t>
      </w:r>
      <w:r w:rsidR="00403541" w:rsidRPr="004E70CE">
        <w:t xml:space="preserve">to pass </w:t>
      </w:r>
      <w:r w:rsidR="00EF3A39" w:rsidRPr="004E70CE">
        <w:t xml:space="preserve">carbon </w:t>
      </w:r>
      <w:r w:rsidR="00403541" w:rsidRPr="004E70CE">
        <w:t>costs through to consumers without loss of profit margin</w:t>
      </w:r>
      <w:r w:rsidR="00C729BA" w:rsidRPr="004E70CE">
        <w:t>,</w:t>
      </w:r>
      <w:r w:rsidR="009B410C" w:rsidRPr="004E70CE">
        <w:t xml:space="preserve"> as well as the potential profits </w:t>
      </w:r>
      <w:r w:rsidR="003E7520" w:rsidRPr="004E70CE">
        <w:t>available within an industry or firm for reinvestment in additional production</w:t>
      </w:r>
      <w:r w:rsidR="000F1CC8" w:rsidRPr="004E70CE">
        <w:t xml:space="preserve"> or abatement </w:t>
      </w:r>
      <w:r w:rsidR="00BC42AC" w:rsidRPr="004E70CE">
        <w:t>to earn future revenue</w:t>
      </w:r>
      <w:r w:rsidR="00403541" w:rsidRPr="004E70CE">
        <w:t>.</w:t>
      </w:r>
      <w:r w:rsidR="00BC42AC" w:rsidRPr="004E70CE">
        <w:t xml:space="preserve"> </w:t>
      </w:r>
    </w:p>
    <w:p w14:paraId="2E992069" w14:textId="77777777" w:rsidR="00FE389F" w:rsidRPr="004E70CE" w:rsidRDefault="00C921C3" w:rsidP="00B21DA4">
      <w:r w:rsidRPr="004E70CE">
        <w:t>In contrast to the trade leakage estimate, the</w:t>
      </w:r>
      <w:r w:rsidR="00BC42AC" w:rsidRPr="004E70CE">
        <w:t xml:space="preserve"> investment leakage in</w:t>
      </w:r>
      <w:r w:rsidR="00ED0549" w:rsidRPr="004E70CE">
        <w:t xml:space="preserve">dicator </w:t>
      </w:r>
      <w:r w:rsidR="00F16428" w:rsidRPr="004E70CE">
        <w:t>brings a</w:t>
      </w:r>
      <w:r w:rsidR="00ED0549" w:rsidRPr="004E70CE">
        <w:t xml:space="preserve"> focus on the emission intensity of profit</w:t>
      </w:r>
      <w:r w:rsidR="00F16428" w:rsidRPr="004E70CE">
        <w:t xml:space="preserve"> </w:t>
      </w:r>
      <w:r w:rsidR="004B74F9" w:rsidRPr="004E70CE">
        <w:t xml:space="preserve">rather than of </w:t>
      </w:r>
      <w:r w:rsidR="001D43ED" w:rsidRPr="004E70CE">
        <w:t>production. This allows us</w:t>
      </w:r>
      <w:r w:rsidR="004B0761" w:rsidRPr="004E70CE">
        <w:t xml:space="preserve"> to identify</w:t>
      </w:r>
      <w:r w:rsidR="00950F86" w:rsidRPr="004E70CE">
        <w:t xml:space="preserve"> </w:t>
      </w:r>
      <w:r w:rsidR="004B0761" w:rsidRPr="004E70CE">
        <w:t>activit</w:t>
      </w:r>
      <w:r w:rsidR="00C729BA" w:rsidRPr="004E70CE">
        <w:t>ies</w:t>
      </w:r>
      <w:r w:rsidR="004B0761" w:rsidRPr="004E70CE">
        <w:t xml:space="preserve"> with low</w:t>
      </w:r>
      <w:r w:rsidR="00C729BA" w:rsidRPr="004E70CE">
        <w:t>er</w:t>
      </w:r>
      <w:r w:rsidR="004B0761" w:rsidRPr="004E70CE">
        <w:t xml:space="preserve"> carbon costs</w:t>
      </w:r>
      <w:r w:rsidR="00311259" w:rsidRPr="004E70CE">
        <w:t xml:space="preserve"> as </w:t>
      </w:r>
      <w:r w:rsidR="00BD6454" w:rsidRPr="004E70CE">
        <w:t xml:space="preserve">share of the final unit price but </w:t>
      </w:r>
      <w:r w:rsidR="00CA7B01" w:rsidRPr="004E70CE">
        <w:t>high</w:t>
      </w:r>
      <w:r w:rsidR="00C729BA" w:rsidRPr="004E70CE">
        <w:t>er</w:t>
      </w:r>
      <w:r w:rsidR="00CA7B01" w:rsidRPr="004E70CE">
        <w:t xml:space="preserve"> carbon cost as a share of profits (i.e. after production costs)</w:t>
      </w:r>
      <w:r w:rsidR="00B758D5" w:rsidRPr="004E70CE">
        <w:t>.</w:t>
      </w:r>
      <w:r w:rsidR="00F16428" w:rsidRPr="004E70CE">
        <w:t xml:space="preserve"> </w:t>
      </w:r>
      <w:r w:rsidR="00ED0549" w:rsidRPr="004E70CE">
        <w:t xml:space="preserve"> </w:t>
      </w:r>
      <w:r w:rsidR="00403541" w:rsidRPr="004E70CE">
        <w:t xml:space="preserve"> </w:t>
      </w:r>
    </w:p>
    <w:p w14:paraId="437D18C3" w14:textId="77777777" w:rsidR="519AFB7E" w:rsidRPr="004E70CE" w:rsidRDefault="44CA5ED9" w:rsidP="00B21DA4">
      <w:pPr>
        <w:shd w:val="clear" w:color="auto" w:fill="FFFFFF" w:themeFill="accent6"/>
      </w:pPr>
      <w:r w:rsidRPr="004E70CE">
        <w:t>The Review’s a</w:t>
      </w:r>
      <w:r w:rsidR="412CC259" w:rsidRPr="004E70CE">
        <w:t xml:space="preserve">nalysis </w:t>
      </w:r>
      <w:r w:rsidR="4494846D" w:rsidRPr="004E70CE">
        <w:t>uses</w:t>
      </w:r>
      <w:r w:rsidR="412CC259" w:rsidRPr="004E70CE">
        <w:t xml:space="preserve"> firm-level information </w:t>
      </w:r>
      <w:r w:rsidR="4494846D" w:rsidRPr="004E70CE">
        <w:t>developed through</w:t>
      </w:r>
      <w:r w:rsidR="412CC259" w:rsidRPr="004E70CE">
        <w:t xml:space="preserve"> the </w:t>
      </w:r>
      <w:r w:rsidR="4494846D" w:rsidRPr="004E70CE">
        <w:t xml:space="preserve">integration of NGER Scheme data </w:t>
      </w:r>
      <w:r w:rsidR="7CF1ACD1" w:rsidRPr="004E70CE">
        <w:t xml:space="preserve">and </w:t>
      </w:r>
      <w:r w:rsidR="776219EF" w:rsidRPr="004E70CE">
        <w:t>Business Longitudinal Analysis Data Environment (</w:t>
      </w:r>
      <w:r w:rsidR="412CC259" w:rsidRPr="004E70CE">
        <w:t>BLADE</w:t>
      </w:r>
      <w:r w:rsidR="776219EF" w:rsidRPr="004E70CE">
        <w:t>)</w:t>
      </w:r>
      <w:r w:rsidR="412CC259" w:rsidRPr="004E70CE">
        <w:t xml:space="preserve"> </w:t>
      </w:r>
      <w:r w:rsidR="4494846D" w:rsidRPr="004E70CE">
        <w:t xml:space="preserve">economic activity </w:t>
      </w:r>
      <w:r w:rsidR="412CC259" w:rsidRPr="004E70CE">
        <w:t>dataset</w:t>
      </w:r>
      <w:r w:rsidR="4494846D" w:rsidRPr="004E70CE">
        <w:t>s</w:t>
      </w:r>
      <w:r w:rsidR="412CC259" w:rsidRPr="004E70CE">
        <w:t xml:space="preserve"> </w:t>
      </w:r>
      <w:r w:rsidR="7CF1ACD1" w:rsidRPr="004E70CE">
        <w:t>provided by</w:t>
      </w:r>
      <w:r w:rsidR="412CC259" w:rsidRPr="004E70CE">
        <w:t xml:space="preserve"> the ABS. </w:t>
      </w:r>
    </w:p>
    <w:p w14:paraId="312BC8A8" w14:textId="77777777" w:rsidR="054D2312" w:rsidRPr="004E70CE" w:rsidRDefault="04E272EF" w:rsidP="00B21DA4">
      <w:pPr>
        <w:shd w:val="clear" w:color="auto" w:fill="FFFFFF" w:themeFill="accent6"/>
      </w:pPr>
      <w:r w:rsidRPr="004E70CE">
        <w:t xml:space="preserve">Figure </w:t>
      </w:r>
      <w:r w:rsidR="00813FEC" w:rsidRPr="004E70CE">
        <w:t xml:space="preserve">5 </w:t>
      </w:r>
      <w:r w:rsidRPr="004E70CE">
        <w:t>below represent</w:t>
      </w:r>
      <w:r w:rsidR="000917EF" w:rsidRPr="004E70CE">
        <w:t>s</w:t>
      </w:r>
      <w:r w:rsidRPr="004E70CE">
        <w:t xml:space="preserve"> </w:t>
      </w:r>
      <w:r w:rsidR="2F52D805" w:rsidRPr="004E70CE">
        <w:t xml:space="preserve">an </w:t>
      </w:r>
      <w:r w:rsidR="098997B0" w:rsidRPr="004E70CE">
        <w:t xml:space="preserve">average by industry </w:t>
      </w:r>
      <w:r w:rsidR="005D04C3" w:rsidRPr="004E70CE">
        <w:t xml:space="preserve">grouping </w:t>
      </w:r>
      <w:r w:rsidR="00C72AA1" w:rsidRPr="004E70CE">
        <w:t xml:space="preserve">based on </w:t>
      </w:r>
      <w:r w:rsidR="78A3697B" w:rsidRPr="004E70CE">
        <w:t>firm</w:t>
      </w:r>
      <w:r w:rsidR="00C530AC" w:rsidRPr="004E70CE">
        <w:t>s</w:t>
      </w:r>
      <w:r w:rsidR="78A3697B" w:rsidRPr="004E70CE">
        <w:t xml:space="preserve"> </w:t>
      </w:r>
      <w:r w:rsidR="00C72AA1" w:rsidRPr="004E70CE">
        <w:t xml:space="preserve">with </w:t>
      </w:r>
      <w:r w:rsidR="001C6ECC" w:rsidRPr="004E70CE">
        <w:t>emissions</w:t>
      </w:r>
      <w:r w:rsidR="00C72AA1" w:rsidRPr="004E70CE">
        <w:t xml:space="preserve"> above 100,000 tonnes </w:t>
      </w:r>
      <w:r w:rsidR="00922270" w:rsidRPr="004E70CE">
        <w:t>CO</w:t>
      </w:r>
      <w:r w:rsidR="00AD096E" w:rsidRPr="004E70CE">
        <w:rPr>
          <w:rFonts w:cstheme="minorHAnsi"/>
        </w:rPr>
        <w:t>₂-</w:t>
      </w:r>
      <w:r w:rsidR="00C72AA1" w:rsidRPr="004E70CE">
        <w:t>e</w:t>
      </w:r>
      <w:r w:rsidR="78A3697B" w:rsidRPr="004E70CE">
        <w:t>. Th</w:t>
      </w:r>
      <w:r w:rsidR="00964714" w:rsidRPr="004E70CE">
        <w:t>is</w:t>
      </w:r>
      <w:r w:rsidR="78A3697B" w:rsidRPr="004E70CE">
        <w:t xml:space="preserve"> data </w:t>
      </w:r>
      <w:r w:rsidR="00964714" w:rsidRPr="004E70CE">
        <w:t>covers</w:t>
      </w:r>
      <w:r w:rsidR="098997B0" w:rsidRPr="004E70CE">
        <w:t xml:space="preserve"> </w:t>
      </w:r>
      <w:r w:rsidR="001A11A2" w:rsidRPr="004E70CE">
        <w:t>5</w:t>
      </w:r>
      <w:r w:rsidR="098997B0" w:rsidRPr="004E70CE">
        <w:t xml:space="preserve"> years </w:t>
      </w:r>
      <w:r w:rsidR="001A11A2" w:rsidRPr="004E70CE">
        <w:t>of financial reporting by firms from</w:t>
      </w:r>
      <w:r w:rsidR="098997B0" w:rsidRPr="004E70CE">
        <w:t xml:space="preserve"> 2017-18 to </w:t>
      </w:r>
      <w:r w:rsidR="05E7B73A" w:rsidRPr="004E70CE">
        <w:t>2021-</w:t>
      </w:r>
      <w:r w:rsidR="05E7B73A" w:rsidRPr="004E70CE">
        <w:lastRenderedPageBreak/>
        <w:t>22</w:t>
      </w:r>
      <w:r w:rsidR="001A11A2" w:rsidRPr="004E70CE">
        <w:t>. It is based on</w:t>
      </w:r>
      <w:r w:rsidR="2F52D805" w:rsidRPr="004E70CE">
        <w:t xml:space="preserve"> aggregate</w:t>
      </w:r>
      <w:r w:rsidR="05E7B73A" w:rsidRPr="004E70CE">
        <w:t>d</w:t>
      </w:r>
      <w:r w:rsidR="2F52D805" w:rsidRPr="004E70CE">
        <w:t xml:space="preserve"> </w:t>
      </w:r>
      <w:r w:rsidR="30617DD2" w:rsidRPr="004E70CE">
        <w:t>firm emissions</w:t>
      </w:r>
      <w:r w:rsidR="001A11A2" w:rsidRPr="004E70CE">
        <w:t xml:space="preserve">. </w:t>
      </w:r>
      <w:r w:rsidR="00CE63ED" w:rsidRPr="004E70CE">
        <w:t>E</w:t>
      </w:r>
      <w:r w:rsidR="001A11A2" w:rsidRPr="004E70CE">
        <w:t xml:space="preserve">missions are </w:t>
      </w:r>
      <w:r w:rsidR="009362AD" w:rsidRPr="004E70CE">
        <w:t xml:space="preserve">presented </w:t>
      </w:r>
      <w:r w:rsidR="001A7342" w:rsidRPr="004E70CE">
        <w:t xml:space="preserve">as </w:t>
      </w:r>
      <w:r w:rsidR="2FE41EE4" w:rsidRPr="004E70CE">
        <w:t>a share of the firms</w:t>
      </w:r>
      <w:r w:rsidR="004D4B17" w:rsidRPr="004E70CE">
        <w:t>’</w:t>
      </w:r>
      <w:r w:rsidR="2FE41EE4" w:rsidRPr="004E70CE">
        <w:t xml:space="preserve"> </w:t>
      </w:r>
      <w:r w:rsidR="006B4534" w:rsidRPr="004E70CE">
        <w:t>profits</w:t>
      </w:r>
      <w:r w:rsidR="201A0EA8" w:rsidRPr="004E70CE">
        <w:t>.</w:t>
      </w:r>
      <w:r w:rsidR="00613F19" w:rsidRPr="004E70CE">
        <w:t xml:space="preserve"> </w:t>
      </w:r>
      <w:r w:rsidR="007D2E50" w:rsidRPr="004E70CE">
        <w:t>An average is taken</w:t>
      </w:r>
      <w:r w:rsidR="008B01FA" w:rsidRPr="004E70CE">
        <w:t>,</w:t>
      </w:r>
      <w:r w:rsidR="007D2E50" w:rsidRPr="004E70CE">
        <w:t xml:space="preserve"> as in any given year</w:t>
      </w:r>
      <w:r w:rsidR="008B01FA" w:rsidRPr="004E70CE">
        <w:t>,</w:t>
      </w:r>
      <w:r w:rsidR="007D2E50" w:rsidRPr="004E70CE">
        <w:t xml:space="preserve"> profits can shift due to forces beyond the firm’s control</w:t>
      </w:r>
      <w:r w:rsidR="00D91BAC" w:rsidRPr="004E70CE">
        <w:t>,</w:t>
      </w:r>
      <w:r w:rsidR="007D2E50" w:rsidRPr="004E70CE">
        <w:t xml:space="preserve"> such as </w:t>
      </w:r>
      <w:r w:rsidR="00390021" w:rsidRPr="004E70CE">
        <w:t>variations</w:t>
      </w:r>
      <w:r w:rsidR="00812395" w:rsidRPr="004E70CE">
        <w:t xml:space="preserve"> in</w:t>
      </w:r>
      <w:r w:rsidR="007D2E50" w:rsidRPr="004E70CE">
        <w:t xml:space="preserve"> commodity prices</w:t>
      </w:r>
      <w:r w:rsidR="00812395" w:rsidRPr="004E70CE">
        <w:t>,</w:t>
      </w:r>
      <w:r w:rsidR="007D2E50" w:rsidRPr="004E70CE">
        <w:t xml:space="preserve"> input costs </w:t>
      </w:r>
      <w:r w:rsidR="00AD5AA7" w:rsidRPr="004E70CE">
        <w:t>or</w:t>
      </w:r>
      <w:r w:rsidR="007D2E50" w:rsidRPr="004E70CE">
        <w:t xml:space="preserve"> interest rates.</w:t>
      </w:r>
      <w:r w:rsidR="005B6A57" w:rsidRPr="004E70CE">
        <w:t xml:space="preserve"> </w:t>
      </w:r>
      <w:r w:rsidR="00FC5B64" w:rsidRPr="004E70CE">
        <w:t xml:space="preserve"> </w:t>
      </w:r>
    </w:p>
    <w:p w14:paraId="77BDAA5F" w14:textId="77777777" w:rsidR="054D2312" w:rsidRPr="004E70CE" w:rsidRDefault="017F86FF" w:rsidP="00B21DA4">
      <w:pPr>
        <w:shd w:val="clear" w:color="auto" w:fill="FFFFFF" w:themeFill="accent6"/>
      </w:pPr>
      <w:r w:rsidRPr="004E70CE">
        <w:t>The presentation of results</w:t>
      </w:r>
      <w:r w:rsidR="46E81D95" w:rsidRPr="004E70CE">
        <w:t xml:space="preserve"> of the Review'</w:t>
      </w:r>
      <w:r w:rsidR="2BC906C4" w:rsidRPr="004E70CE">
        <w:t>s analysis</w:t>
      </w:r>
      <w:r w:rsidRPr="004E70CE">
        <w:t xml:space="preserve"> is constrained by ABS rules that </w:t>
      </w:r>
      <w:r w:rsidR="2C11F7E0" w:rsidRPr="004E70CE">
        <w:t xml:space="preserve">require data aggregation to </w:t>
      </w:r>
      <w:r w:rsidRPr="004E70CE">
        <w:t xml:space="preserve">prevent </w:t>
      </w:r>
      <w:r w:rsidR="0C2EBB72" w:rsidRPr="004E70CE">
        <w:t xml:space="preserve">possible </w:t>
      </w:r>
      <w:r w:rsidRPr="004E70CE">
        <w:t xml:space="preserve">release of identifying data. </w:t>
      </w:r>
      <w:r w:rsidR="3E2A331C" w:rsidRPr="004E70CE">
        <w:t xml:space="preserve">The data are presented in </w:t>
      </w:r>
      <w:r w:rsidR="453D21AE" w:rsidRPr="004E70CE">
        <w:t>i</w:t>
      </w:r>
      <w:r w:rsidRPr="004E70CE">
        <w:t>ndustry group</w:t>
      </w:r>
      <w:r w:rsidR="3FEE2963" w:rsidRPr="004E70CE">
        <w:t>ings</w:t>
      </w:r>
      <w:r w:rsidR="003A49EA" w:rsidRPr="004E70CE" w:rsidDel="017F86FF">
        <w:t xml:space="preserve"> </w:t>
      </w:r>
      <w:r w:rsidRPr="004E70CE">
        <w:t>to ensure that each data</w:t>
      </w:r>
      <w:r w:rsidR="00D91BAC" w:rsidRPr="004E70CE">
        <w:t xml:space="preserve"> </w:t>
      </w:r>
      <w:r w:rsidRPr="004E70CE">
        <w:t xml:space="preserve">point presented in Figure </w:t>
      </w:r>
      <w:r w:rsidR="00496E3C" w:rsidRPr="004E70CE">
        <w:t>5</w:t>
      </w:r>
      <w:r w:rsidR="66D43CFE" w:rsidRPr="004E70CE">
        <w:t xml:space="preserve"> </w:t>
      </w:r>
      <w:r w:rsidRPr="004E70CE">
        <w:t xml:space="preserve">includes information for a minimum of 10 firms that represent industries with similar averages and represent logical groupings of industry sectors. </w:t>
      </w:r>
    </w:p>
    <w:p w14:paraId="423DFA71" w14:textId="77777777" w:rsidR="00273775" w:rsidRPr="004E70CE" w:rsidRDefault="70361D5A" w:rsidP="00B21DA4">
      <w:pPr>
        <w:shd w:val="clear" w:color="auto" w:fill="FFFFFF" w:themeFill="accent6"/>
      </w:pPr>
      <w:r w:rsidRPr="004E70CE">
        <w:t>The industry</w:t>
      </w:r>
      <w:r w:rsidR="68A94AB7" w:rsidRPr="004E70CE">
        <w:t xml:space="preserve"> grouping most subject to potential investment leakage according to </w:t>
      </w:r>
      <w:r w:rsidR="002F1E17" w:rsidRPr="004E70CE">
        <w:t>Figure 5</w:t>
      </w:r>
      <w:r w:rsidRPr="004E70CE">
        <w:t xml:space="preserve"> is the ‘</w:t>
      </w:r>
      <w:r w:rsidR="002F1E17" w:rsidRPr="004E70CE">
        <w:t>Glass, Cement, Lime, and Pulp and Paper Manufacturing</w:t>
      </w:r>
      <w:r w:rsidRPr="004E70CE">
        <w:t xml:space="preserve">’ </w:t>
      </w:r>
      <w:r w:rsidR="002F1E17" w:rsidRPr="004E70CE">
        <w:t>industry group</w:t>
      </w:r>
      <w:r w:rsidRPr="004E70CE">
        <w:t xml:space="preserve">, </w:t>
      </w:r>
      <w:r w:rsidR="27361059" w:rsidRPr="004E70CE">
        <w:t>followed by</w:t>
      </w:r>
      <w:r w:rsidRPr="004E70CE">
        <w:t xml:space="preserve"> </w:t>
      </w:r>
      <w:r w:rsidR="749398B6" w:rsidRPr="004E70CE">
        <w:t xml:space="preserve">‘Petroleum Refining, Grain Mill </w:t>
      </w:r>
      <w:r w:rsidR="002F1E17" w:rsidRPr="004E70CE">
        <w:t>Product</w:t>
      </w:r>
      <w:r w:rsidR="749398B6" w:rsidRPr="004E70CE">
        <w:t>, and Chemicals and Fertilisers</w:t>
      </w:r>
      <w:r w:rsidR="00880AD0" w:rsidRPr="004E70CE">
        <w:t xml:space="preserve"> Manufacturing</w:t>
      </w:r>
      <w:r w:rsidR="749398B6" w:rsidRPr="004E70CE">
        <w:t xml:space="preserve">’. </w:t>
      </w:r>
      <w:r w:rsidR="007108B4" w:rsidRPr="004E70CE">
        <w:t xml:space="preserve"> </w:t>
      </w:r>
    </w:p>
    <w:p w14:paraId="5EBDABAC" w14:textId="77777777" w:rsidR="00A141B6" w:rsidRPr="004E70CE" w:rsidRDefault="007108B4" w:rsidP="00B21DA4">
      <w:pPr>
        <w:shd w:val="clear" w:color="auto" w:fill="FFFFFF" w:themeFill="accent6"/>
      </w:pPr>
      <w:r w:rsidRPr="004E70CE">
        <w:t xml:space="preserve">Within industry groupings, the absolute mean deviation (plus or minus from </w:t>
      </w:r>
      <w:r w:rsidR="00D91BAC" w:rsidRPr="004E70CE">
        <w:t xml:space="preserve">the </w:t>
      </w:r>
      <w:r w:rsidRPr="004E70CE">
        <w:t xml:space="preserve">industry average presented by the bar graph) is illustrative of </w:t>
      </w:r>
      <w:r w:rsidR="00C248A8" w:rsidRPr="004E70CE">
        <w:t xml:space="preserve">individual firm </w:t>
      </w:r>
      <w:r w:rsidRPr="004E70CE">
        <w:t>deviations from the average. Deviation from the average is highly variable</w:t>
      </w:r>
      <w:r w:rsidR="00C248A8" w:rsidRPr="004E70CE">
        <w:t>,</w:t>
      </w:r>
      <w:r w:rsidRPr="004E70CE">
        <w:t xml:space="preserve"> particularly in</w:t>
      </w:r>
      <w:r w:rsidR="00D91BAC" w:rsidRPr="004E70CE">
        <w:t xml:space="preserve"> the</w:t>
      </w:r>
      <w:r w:rsidRPr="004E70CE">
        <w:t xml:space="preserve"> manufacturing sectors represented. </w:t>
      </w:r>
      <w:r w:rsidR="00C70B64" w:rsidRPr="004E70CE">
        <w:t>The absolute me</w:t>
      </w:r>
      <w:r w:rsidR="00F142F9" w:rsidRPr="004E70CE">
        <w:t>an deviation is largest in the ‘Petroleum Refining, Grain Mill Product Manufacturing</w:t>
      </w:r>
      <w:r w:rsidR="002A7BFD" w:rsidRPr="004E70CE">
        <w:t>,</w:t>
      </w:r>
      <w:r w:rsidR="00F142F9" w:rsidRPr="004E70CE">
        <w:t xml:space="preserve"> and</w:t>
      </w:r>
      <w:r w:rsidR="002A7BFD" w:rsidRPr="004E70CE">
        <w:t xml:space="preserve"> Chemicals and Fertilisers’ industry grouping, followed by the ‘Glass, Cement, Lime, and Pulp and Paper Manufacturing’ industry group.</w:t>
      </w:r>
      <w:r w:rsidR="006F5012" w:rsidRPr="004E70CE" w:rsidDel="00B911BE">
        <w:t xml:space="preserve"> </w:t>
      </w:r>
    </w:p>
    <w:p w14:paraId="2D6FD188" w14:textId="77777777" w:rsidR="00084B80" w:rsidRPr="004E70CE" w:rsidRDefault="001837D3" w:rsidP="00B21DA4">
      <w:pPr>
        <w:shd w:val="clear" w:color="auto" w:fill="FFFFFF" w:themeFill="accent6"/>
      </w:pPr>
      <w:r w:rsidRPr="004E70CE" w:rsidDel="00B911BE">
        <w:t>The</w:t>
      </w:r>
      <w:r w:rsidR="00386585" w:rsidRPr="004E70CE" w:rsidDel="00B911BE">
        <w:t xml:space="preserve"> results </w:t>
      </w:r>
      <w:r w:rsidR="008B1578" w:rsidRPr="004E70CE">
        <w:t>indicate</w:t>
      </w:r>
      <w:r w:rsidR="00386585" w:rsidRPr="004E70CE" w:rsidDel="00B911BE">
        <w:t xml:space="preserve"> that </w:t>
      </w:r>
      <w:r w:rsidR="00811650" w:rsidRPr="004E70CE">
        <w:t>industries with</w:t>
      </w:r>
      <w:r w:rsidR="00621B8B" w:rsidRPr="004E70CE">
        <w:t xml:space="preserve"> </w:t>
      </w:r>
      <w:r w:rsidR="00621B8B" w:rsidRPr="004E70CE" w:rsidDel="00B911BE">
        <w:t>high emissions and smaller profit margins</w:t>
      </w:r>
      <w:r w:rsidR="00621B8B" w:rsidRPr="004E70CE">
        <w:t xml:space="preserve"> </w:t>
      </w:r>
      <w:r w:rsidR="001D49DC" w:rsidRPr="004E70CE" w:rsidDel="00B911BE">
        <w:t xml:space="preserve">are </w:t>
      </w:r>
      <w:r w:rsidR="001F5861" w:rsidRPr="004E70CE">
        <w:t xml:space="preserve">more </w:t>
      </w:r>
      <w:r w:rsidR="001D49DC" w:rsidRPr="004E70CE" w:rsidDel="00B911BE">
        <w:t>at risk of investment leakage compared with industries with smaller</w:t>
      </w:r>
      <w:r w:rsidR="00540C3E" w:rsidRPr="004E70CE" w:rsidDel="00B911BE">
        <w:t xml:space="preserve"> emissions and higher profit margins</w:t>
      </w:r>
      <w:r w:rsidR="00540C3E" w:rsidRPr="004E70CE">
        <w:t>.</w:t>
      </w:r>
      <w:r w:rsidR="00540C3E" w:rsidRPr="004E70CE" w:rsidDel="00B911BE">
        <w:t xml:space="preserve"> </w:t>
      </w:r>
    </w:p>
    <w:p w14:paraId="35C62566" w14:textId="4B9DEE25" w:rsidR="00635BA6" w:rsidRPr="004E70CE" w:rsidRDefault="002845A4" w:rsidP="210FB856">
      <w:pPr>
        <w:shd w:val="clear" w:color="auto" w:fill="FFFFFF" w:themeFill="accent6"/>
        <w:spacing w:line="240" w:lineRule="auto"/>
        <w:jc w:val="center"/>
        <w:rPr>
          <w:b/>
          <w:bCs/>
        </w:rPr>
      </w:pPr>
      <w:r w:rsidRPr="004E70CE">
        <w:rPr>
          <w:noProof/>
        </w:rPr>
        <w:drawing>
          <wp:inline distT="0" distB="0" distL="0" distR="0" wp14:anchorId="3E0C16AC" wp14:editId="0A006311">
            <wp:extent cx="5759450" cy="2581275"/>
            <wp:effectExtent l="0" t="0" r="0" b="0"/>
            <wp:docPr id="1" name="Chart 1">
              <a:extLst xmlns:a="http://schemas.openxmlformats.org/drawingml/2006/main">
                <a:ext uri="{FF2B5EF4-FFF2-40B4-BE49-F238E27FC236}">
                  <a16:creationId xmlns:a16="http://schemas.microsoft.com/office/drawing/2014/main" id="{118CE196-29E2-A34C-7B95-D0FAD007A6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81F4582" w14:textId="77777777" w:rsidR="003875BC" w:rsidRDefault="00C37EC3" w:rsidP="00A3748E">
      <w:pPr>
        <w:shd w:val="clear" w:color="auto" w:fill="FFFFFF"/>
        <w:spacing w:after="0" w:line="240" w:lineRule="auto"/>
        <w:rPr>
          <w:b/>
          <w:bCs/>
        </w:rPr>
      </w:pPr>
      <w:r w:rsidRPr="004E70CE">
        <w:rPr>
          <w:b/>
          <w:bCs/>
        </w:rPr>
        <w:t xml:space="preserve">Figure 5: Measure of investment leakage risk </w:t>
      </w:r>
      <w:r w:rsidR="006C03D1" w:rsidRPr="004E70CE">
        <w:rPr>
          <w:b/>
          <w:bCs/>
        </w:rPr>
        <w:t>estimated as the</w:t>
      </w:r>
      <w:r w:rsidRPr="004E70CE">
        <w:rPr>
          <w:b/>
          <w:bCs/>
        </w:rPr>
        <w:t xml:space="preserve"> </w:t>
      </w:r>
      <w:r w:rsidR="006C03D1" w:rsidRPr="004E70CE">
        <w:rPr>
          <w:b/>
          <w:bCs/>
        </w:rPr>
        <w:t>r</w:t>
      </w:r>
      <w:r w:rsidRPr="004E70CE">
        <w:rPr>
          <w:b/>
          <w:bCs/>
        </w:rPr>
        <w:t>atio of Safeguard Mechanism-covered facility emissions to profits</w:t>
      </w:r>
      <w:r w:rsidR="006C03D1" w:rsidRPr="004E70CE">
        <w:rPr>
          <w:b/>
          <w:bCs/>
        </w:rPr>
        <w:t>.</w:t>
      </w:r>
    </w:p>
    <w:p w14:paraId="3D44B869" w14:textId="77777777" w:rsidR="003875BC" w:rsidRDefault="003875BC" w:rsidP="00A3748E">
      <w:pPr>
        <w:shd w:val="clear" w:color="auto" w:fill="FFFFFF"/>
        <w:spacing w:after="0" w:line="240" w:lineRule="auto"/>
        <w:rPr>
          <w:b/>
          <w:bCs/>
        </w:rPr>
      </w:pPr>
    </w:p>
    <w:p w14:paraId="0D958F7A" w14:textId="11501AD2" w:rsidR="002906C1" w:rsidRPr="003875BC" w:rsidRDefault="003875BC" w:rsidP="00A3748E">
      <w:pPr>
        <w:shd w:val="clear" w:color="auto" w:fill="FFFFFF"/>
        <w:spacing w:after="0" w:line="240" w:lineRule="auto"/>
      </w:pPr>
      <w:r>
        <w:t>Figure 5 n</w:t>
      </w:r>
      <w:r w:rsidRPr="003875BC">
        <w:t>ote:</w:t>
      </w:r>
      <w:r w:rsidR="006C03D1" w:rsidRPr="003875BC">
        <w:t xml:space="preserve"> Data is i</w:t>
      </w:r>
      <w:r w:rsidR="00C37EC3" w:rsidRPr="003875BC">
        <w:t xml:space="preserve">ndustry group average </w:t>
      </w:r>
      <w:r w:rsidR="006C03D1" w:rsidRPr="003875BC">
        <w:t>for</w:t>
      </w:r>
      <w:r w:rsidR="00C37EC3" w:rsidRPr="003875BC">
        <w:t xml:space="preserve"> 2017-18 to 2021-22</w:t>
      </w:r>
      <w:r w:rsidR="001B76E3" w:rsidRPr="003875BC">
        <w:t>.</w:t>
      </w:r>
      <w:r w:rsidR="00B23D79" w:rsidRPr="003875BC">
        <w:t xml:space="preserve"> </w:t>
      </w:r>
      <w:r w:rsidR="002906C1" w:rsidRPr="003875BC">
        <w:t>The ‘Metals Manufacturing and Aluminium Production’ includes alumina production, aluminium smelting, bauxite mining, basic ferrous and non-ferrous metal manufacturing, iron and steel manufacturing, and other metals such as lead, copper, silver and</w:t>
      </w:r>
      <w:r w:rsidR="002906C1" w:rsidRPr="003875BC" w:rsidDel="000E6D7F">
        <w:t xml:space="preserve"> </w:t>
      </w:r>
      <w:r w:rsidR="002906C1" w:rsidRPr="003875BC">
        <w:t>zinc smelting and refining.</w:t>
      </w:r>
      <w:r w:rsidR="00D91BAC" w:rsidRPr="003875BC">
        <w:rPr>
          <w:rStyle w:val="FootnoteReference"/>
        </w:rPr>
        <w:footnoteReference w:id="34"/>
      </w:r>
      <w:r w:rsidR="002906C1" w:rsidRPr="003875BC">
        <w:t xml:space="preserve"> </w:t>
      </w:r>
    </w:p>
    <w:p w14:paraId="55165520" w14:textId="143E16B3" w:rsidR="00574A3B" w:rsidRPr="004E70CE" w:rsidRDefault="00956C39" w:rsidP="00A3748E">
      <w:pPr>
        <w:pStyle w:val="Heading3"/>
        <w:numPr>
          <w:ilvl w:val="1"/>
          <w:numId w:val="11"/>
        </w:numPr>
        <w:spacing w:line="276" w:lineRule="auto"/>
        <w:rPr>
          <w:sz w:val="32"/>
          <w:szCs w:val="32"/>
        </w:rPr>
      </w:pPr>
      <w:bookmarkStart w:id="18" w:name="_Toc173997661"/>
      <w:r w:rsidRPr="004E70CE">
        <w:rPr>
          <w:sz w:val="32"/>
          <w:szCs w:val="32"/>
        </w:rPr>
        <w:lastRenderedPageBreak/>
        <w:t>Findings of leakage by commodity</w:t>
      </w:r>
      <w:bookmarkEnd w:id="18"/>
    </w:p>
    <w:p w14:paraId="54CC8B1C" w14:textId="77777777" w:rsidR="00820E8E" w:rsidRPr="004E70CE" w:rsidRDefault="00820E8E" w:rsidP="00A3748E">
      <w:pPr>
        <w:pStyle w:val="Calloutbox"/>
        <w:spacing w:after="200" w:line="276" w:lineRule="auto"/>
        <w:rPr>
          <w:b/>
          <w:bCs/>
        </w:rPr>
      </w:pPr>
      <w:r w:rsidRPr="004E70CE">
        <w:rPr>
          <w:b/>
          <w:bCs/>
        </w:rPr>
        <w:t>Preliminary findings</w:t>
      </w:r>
      <w:r w:rsidR="00074A06" w:rsidRPr="004E70CE">
        <w:rPr>
          <w:b/>
          <w:bCs/>
        </w:rPr>
        <w:t xml:space="preserve"> for consultation</w:t>
      </w:r>
    </w:p>
    <w:p w14:paraId="46018CE2" w14:textId="77777777" w:rsidR="004E5A2B" w:rsidRPr="004E70CE" w:rsidRDefault="004E5A2B" w:rsidP="00A3748E">
      <w:pPr>
        <w:pStyle w:val="Calloutbox"/>
        <w:spacing w:after="200" w:line="276" w:lineRule="auto"/>
      </w:pPr>
      <w:r w:rsidRPr="004E70CE">
        <w:t xml:space="preserve">The following commodities are found to </w:t>
      </w:r>
      <w:r w:rsidRPr="004E70CE" w:rsidDel="005479FD">
        <w:t xml:space="preserve">be </w:t>
      </w:r>
      <w:r w:rsidRPr="004E70CE">
        <w:t>subject to potentially material carbon leakage risk over time: cement, clinker and lime; ammonia and derivat</w:t>
      </w:r>
      <w:r w:rsidR="00C42540" w:rsidRPr="004E70CE">
        <w:t>iv</w:t>
      </w:r>
      <w:r w:rsidRPr="004E70CE">
        <w:t xml:space="preserve">es; steel; and glass. </w:t>
      </w:r>
    </w:p>
    <w:p w14:paraId="4486A087" w14:textId="77777777" w:rsidR="004E5A2B" w:rsidRPr="004E70CE" w:rsidRDefault="004E5A2B" w:rsidP="00A3748E">
      <w:pPr>
        <w:pStyle w:val="Calloutbox"/>
        <w:spacing w:after="200" w:line="276" w:lineRule="auto"/>
      </w:pPr>
      <w:r w:rsidRPr="004E70CE">
        <w:t>Carbon leakage risks for cement, clinker and lime are more pronounced than for other commodity groups and may warrant additional policies to be introduced at an earlier stage than other groups.</w:t>
      </w:r>
    </w:p>
    <w:p w14:paraId="7BC9407E" w14:textId="77777777" w:rsidR="004E5A2B" w:rsidRPr="004E70CE" w:rsidRDefault="004E5A2B" w:rsidP="00A3748E">
      <w:pPr>
        <w:pStyle w:val="Calloutbox"/>
        <w:spacing w:after="200" w:line="276" w:lineRule="auto"/>
      </w:pPr>
      <w:r w:rsidRPr="004E70CE">
        <w:t xml:space="preserve">Further, potential carbon leakage risks for aluminium and alumina, refined petroleum, and pulp and paper, are recommended for particular consideration as part of the 2026-27 Safeguard Mechanism Review on the suitability of arrangements for emissions-intensive trade-exposed activities. </w:t>
      </w:r>
    </w:p>
    <w:p w14:paraId="72BC1FBA" w14:textId="77777777" w:rsidR="004F3939" w:rsidRPr="004E70CE" w:rsidRDefault="1D5B1C2E" w:rsidP="00A3748E">
      <w:r w:rsidRPr="004E70CE">
        <w:t xml:space="preserve">Table </w:t>
      </w:r>
      <w:r w:rsidR="00254F0F" w:rsidRPr="004E70CE">
        <w:t>4</w:t>
      </w:r>
      <w:r w:rsidRPr="004E70CE">
        <w:t xml:space="preserve"> integrates and summarises key findings from the preceding assessments </w:t>
      </w:r>
      <w:r w:rsidR="001C2F6C" w:rsidRPr="004E70CE">
        <w:t>i</w:t>
      </w:r>
      <w:r w:rsidR="005E21B0" w:rsidRPr="004E70CE">
        <w:t>n 3 areas</w:t>
      </w:r>
      <w:r w:rsidR="00CB7B7F" w:rsidRPr="004E70CE">
        <w:t>:</w:t>
      </w:r>
      <w:r w:rsidRPr="004E70CE">
        <w:t xml:space="preserve"> </w:t>
      </w:r>
      <w:r w:rsidR="00A35EE9" w:rsidRPr="004E70CE">
        <w:t>emissions intensity and trade-related risk indicators</w:t>
      </w:r>
      <w:r w:rsidR="00D943E1" w:rsidRPr="004E70CE">
        <w:t xml:space="preserve"> (</w:t>
      </w:r>
      <w:r w:rsidR="003472F4" w:rsidRPr="004E70CE">
        <w:t xml:space="preserve">see </w:t>
      </w:r>
      <w:r w:rsidR="00107E92" w:rsidRPr="004E70CE">
        <w:rPr>
          <w:b/>
          <w:bCs/>
        </w:rPr>
        <w:t>S</w:t>
      </w:r>
      <w:r w:rsidR="00D943E1" w:rsidRPr="004E70CE">
        <w:rPr>
          <w:b/>
          <w:bCs/>
        </w:rPr>
        <w:t>ection</w:t>
      </w:r>
      <w:r w:rsidR="004868F4" w:rsidRPr="004E70CE">
        <w:rPr>
          <w:b/>
        </w:rPr>
        <w:t xml:space="preserve"> 2.</w:t>
      </w:r>
      <w:r w:rsidR="00FE64A4" w:rsidRPr="004E70CE">
        <w:rPr>
          <w:b/>
        </w:rPr>
        <w:t>4</w:t>
      </w:r>
      <w:r w:rsidR="00FE64A4" w:rsidRPr="004E70CE">
        <w:t>)</w:t>
      </w:r>
      <w:r w:rsidR="00A35EE9" w:rsidRPr="004E70CE">
        <w:t>;</w:t>
      </w:r>
      <w:r w:rsidRPr="004E70CE">
        <w:t xml:space="preserve"> </w:t>
      </w:r>
      <w:r w:rsidR="0062272A" w:rsidRPr="004E70CE">
        <w:t xml:space="preserve">estimates and analysis of </w:t>
      </w:r>
      <w:r w:rsidRPr="004E70CE">
        <w:t xml:space="preserve">trade and investment </w:t>
      </w:r>
      <w:r w:rsidR="0062272A" w:rsidRPr="004E70CE">
        <w:t>leak</w:t>
      </w:r>
      <w:r w:rsidR="00FD7053" w:rsidRPr="004E70CE">
        <w:t>age</w:t>
      </w:r>
      <w:r w:rsidR="00FE64A4" w:rsidRPr="004E70CE">
        <w:t xml:space="preserve"> </w:t>
      </w:r>
      <w:r w:rsidR="45936B94" w:rsidRPr="004E70CE">
        <w:t xml:space="preserve">risk </w:t>
      </w:r>
      <w:r w:rsidR="00FE64A4" w:rsidRPr="004E70CE">
        <w:t>(</w:t>
      </w:r>
      <w:r w:rsidR="003472F4" w:rsidRPr="004E70CE">
        <w:t xml:space="preserve">see </w:t>
      </w:r>
      <w:r w:rsidR="00107E92" w:rsidRPr="004E70CE">
        <w:rPr>
          <w:b/>
          <w:bCs/>
        </w:rPr>
        <w:t>S</w:t>
      </w:r>
      <w:r w:rsidR="00FE64A4" w:rsidRPr="004E70CE">
        <w:rPr>
          <w:b/>
          <w:bCs/>
        </w:rPr>
        <w:t>ection</w:t>
      </w:r>
      <w:r w:rsidR="00107E92" w:rsidRPr="004E70CE">
        <w:rPr>
          <w:b/>
          <w:bCs/>
        </w:rPr>
        <w:t>s</w:t>
      </w:r>
      <w:r w:rsidR="00FE64A4" w:rsidRPr="004E70CE">
        <w:rPr>
          <w:b/>
        </w:rPr>
        <w:t xml:space="preserve"> 2.4 and 2.5</w:t>
      </w:r>
      <w:r w:rsidR="00FE64A4" w:rsidRPr="004E70CE">
        <w:t>)</w:t>
      </w:r>
      <w:r w:rsidR="00430069" w:rsidRPr="004E70CE">
        <w:t>;</w:t>
      </w:r>
      <w:r w:rsidRPr="004E70CE">
        <w:t xml:space="preserve"> </w:t>
      </w:r>
      <w:r w:rsidR="00430069" w:rsidRPr="004E70CE">
        <w:t>and</w:t>
      </w:r>
      <w:r w:rsidRPr="004E70CE">
        <w:t xml:space="preserve"> stakeholder feedback and other relevant considerations</w:t>
      </w:r>
      <w:r w:rsidR="009774E5" w:rsidRPr="004E70CE">
        <w:t xml:space="preserve"> (</w:t>
      </w:r>
      <w:r w:rsidR="00B73256" w:rsidRPr="004E70CE">
        <w:t xml:space="preserve">see commodity-level discussions in </w:t>
      </w:r>
      <w:r w:rsidR="00107E92" w:rsidRPr="004E70CE">
        <w:rPr>
          <w:b/>
          <w:bCs/>
        </w:rPr>
        <w:t>S</w:t>
      </w:r>
      <w:r w:rsidR="00B73256" w:rsidRPr="004E70CE">
        <w:rPr>
          <w:b/>
          <w:bCs/>
        </w:rPr>
        <w:t>ection</w:t>
      </w:r>
      <w:r w:rsidR="00B73256" w:rsidRPr="004E70CE">
        <w:rPr>
          <w:b/>
        </w:rPr>
        <w:t xml:space="preserve"> 2.6</w:t>
      </w:r>
      <w:r w:rsidR="00B73256" w:rsidRPr="004E70CE">
        <w:t>)</w:t>
      </w:r>
      <w:r w:rsidRPr="004E70CE">
        <w:t xml:space="preserve">.  </w:t>
      </w:r>
    </w:p>
    <w:p w14:paraId="361A0973" w14:textId="77777777" w:rsidR="0007462D" w:rsidRPr="004E70CE" w:rsidRDefault="008458EB" w:rsidP="00A3748E">
      <w:r w:rsidRPr="004E70CE">
        <w:t>For each of these areas</w:t>
      </w:r>
      <w:r w:rsidR="00C55627" w:rsidRPr="004E70CE">
        <w:t xml:space="preserve">, </w:t>
      </w:r>
      <w:r w:rsidR="005948B6" w:rsidRPr="004E70CE">
        <w:t>a</w:t>
      </w:r>
      <w:r w:rsidR="004F3D1E" w:rsidRPr="004E70CE">
        <w:t xml:space="preserve"> judgment on the</w:t>
      </w:r>
      <w:r w:rsidR="00C55627" w:rsidRPr="004E70CE">
        <w:t xml:space="preserve"> </w:t>
      </w:r>
      <w:r w:rsidR="005062E8" w:rsidRPr="004E70CE">
        <w:t>overall level</w:t>
      </w:r>
      <w:r w:rsidR="00C842CF" w:rsidRPr="004E70CE">
        <w:t xml:space="preserve"> of </w:t>
      </w:r>
      <w:r w:rsidR="004F3D1E" w:rsidRPr="004E70CE">
        <w:t xml:space="preserve">leakage </w:t>
      </w:r>
      <w:r w:rsidR="005062E8" w:rsidRPr="004E70CE">
        <w:t>risk</w:t>
      </w:r>
      <w:r w:rsidR="00BA6F5D" w:rsidRPr="004E70CE">
        <w:t xml:space="preserve"> </w:t>
      </w:r>
      <w:r w:rsidR="000C250D" w:rsidRPr="004E70CE">
        <w:t>under existing policies</w:t>
      </w:r>
      <w:r w:rsidR="4CE7C4EA" w:rsidRPr="004E70CE">
        <w:t xml:space="preserve"> is presented</w:t>
      </w:r>
      <w:r w:rsidR="000C250D" w:rsidRPr="004E70CE">
        <w:t xml:space="preserve">, </w:t>
      </w:r>
      <w:r w:rsidR="009104DC" w:rsidRPr="004E70CE">
        <w:t>drawing</w:t>
      </w:r>
      <w:r w:rsidR="000C250D" w:rsidRPr="004E70CE">
        <w:t xml:space="preserve"> </w:t>
      </w:r>
      <w:r w:rsidR="00F93D93" w:rsidRPr="004E70CE">
        <w:t>on</w:t>
      </w:r>
      <w:r w:rsidR="000C250D" w:rsidRPr="004E70CE">
        <w:t xml:space="preserve"> quantitative analysis </w:t>
      </w:r>
      <w:r w:rsidR="00AE78A0" w:rsidRPr="004E70CE">
        <w:t xml:space="preserve">of trade and investment leakage as well as qualitative </w:t>
      </w:r>
      <w:r w:rsidR="005F3057" w:rsidRPr="004E70CE">
        <w:t>information</w:t>
      </w:r>
      <w:r w:rsidR="00AE78A0" w:rsidRPr="004E70CE">
        <w:t xml:space="preserve"> from stakeholder feedback and other sources. </w:t>
      </w:r>
      <w:r w:rsidR="00842E97" w:rsidRPr="004E70CE">
        <w:t xml:space="preserve">Red </w:t>
      </w:r>
      <w:r w:rsidR="001F550C" w:rsidRPr="004E70CE">
        <w:t>indicates areas wher</w:t>
      </w:r>
      <w:r w:rsidR="003605AC" w:rsidRPr="004E70CE">
        <w:t>e risks are considered material</w:t>
      </w:r>
      <w:r w:rsidR="00CD6E75" w:rsidRPr="004E70CE">
        <w:t xml:space="preserve"> </w:t>
      </w:r>
      <w:r w:rsidR="005F3057" w:rsidRPr="004E70CE">
        <w:t>overall</w:t>
      </w:r>
      <w:r w:rsidR="00A81CB2" w:rsidRPr="004E70CE">
        <w:t xml:space="preserve">, </w:t>
      </w:r>
      <w:r w:rsidR="00E53099" w:rsidRPr="004E70CE">
        <w:t xml:space="preserve">and </w:t>
      </w:r>
      <w:r w:rsidR="007C5968" w:rsidRPr="004E70CE">
        <w:t xml:space="preserve">therefore a </w:t>
      </w:r>
      <w:r w:rsidR="1C8230F3" w:rsidRPr="004E70CE">
        <w:t xml:space="preserve">pronounced </w:t>
      </w:r>
      <w:r w:rsidR="007C5968" w:rsidRPr="004E70CE">
        <w:t xml:space="preserve">need </w:t>
      </w:r>
      <w:r w:rsidR="00E53099" w:rsidRPr="004E70CE">
        <w:t xml:space="preserve">to consider </w:t>
      </w:r>
      <w:r w:rsidR="00881FB5" w:rsidRPr="004E70CE">
        <w:t>additional policies</w:t>
      </w:r>
      <w:r w:rsidR="00D554E0" w:rsidRPr="004E70CE">
        <w:t xml:space="preserve">. Orange indicates areas where </w:t>
      </w:r>
      <w:r w:rsidR="00424A70" w:rsidRPr="004E70CE">
        <w:t xml:space="preserve">risks are, on balance, approaching levels that could be considered material. </w:t>
      </w:r>
      <w:r w:rsidR="004872D0" w:rsidRPr="004E70CE">
        <w:t>Green indicates areas where risks of leakage are considered low</w:t>
      </w:r>
      <w:r w:rsidR="00FD1206" w:rsidRPr="004E70CE">
        <w:t xml:space="preserve"> or where the evidence is mixed</w:t>
      </w:r>
      <w:r w:rsidR="007C5968" w:rsidRPr="004E70CE">
        <w:t xml:space="preserve">, and therefore less </w:t>
      </w:r>
      <w:r w:rsidR="46000DC8" w:rsidRPr="004E70CE">
        <w:t xml:space="preserve">or no </w:t>
      </w:r>
      <w:r w:rsidR="007C5968" w:rsidRPr="004E70CE">
        <w:t>need to consider additional policies</w:t>
      </w:r>
      <w:r w:rsidR="004872D0" w:rsidRPr="004E70CE">
        <w:t xml:space="preserve">. </w:t>
      </w:r>
    </w:p>
    <w:p w14:paraId="1FE94364" w14:textId="77777777" w:rsidR="003812F6" w:rsidRPr="004E70CE" w:rsidRDefault="43A87ABB" w:rsidP="00A3748E">
      <w:r w:rsidRPr="004E70CE">
        <w:t>A summary of the underlying sectoral</w:t>
      </w:r>
      <w:r w:rsidR="1D5B1C2E" w:rsidRPr="004E70CE">
        <w:t xml:space="preserve"> analysis </w:t>
      </w:r>
      <w:r w:rsidR="009E601F" w:rsidRPr="004E70CE">
        <w:t xml:space="preserve">and findings </w:t>
      </w:r>
      <w:r w:rsidR="1D5B1C2E" w:rsidRPr="004E70CE">
        <w:t>for each commodity group is also provided after this table.</w:t>
      </w:r>
    </w:p>
    <w:p w14:paraId="52CB1929" w14:textId="77777777" w:rsidR="00CC5F57" w:rsidRPr="004E70CE" w:rsidRDefault="00CC5F57">
      <w:pPr>
        <w:spacing w:after="0" w:line="240" w:lineRule="auto"/>
      </w:pPr>
      <w:r w:rsidRPr="004E70CE">
        <w:br w:type="page"/>
      </w:r>
    </w:p>
    <w:p w14:paraId="54911ED2" w14:textId="77777777" w:rsidR="003414E0" w:rsidRPr="004E70CE" w:rsidRDefault="7CF781B6" w:rsidP="00530872">
      <w:pPr>
        <w:spacing w:after="240" w:line="264" w:lineRule="auto"/>
        <w:rPr>
          <w:b/>
          <w:bCs/>
        </w:rPr>
      </w:pPr>
      <w:r w:rsidRPr="004E70CE">
        <w:rPr>
          <w:b/>
          <w:bCs/>
        </w:rPr>
        <w:lastRenderedPageBreak/>
        <w:t xml:space="preserve">Table </w:t>
      </w:r>
      <w:r w:rsidR="00746934" w:rsidRPr="004E70CE">
        <w:rPr>
          <w:b/>
          <w:bCs/>
        </w:rPr>
        <w:t>4</w:t>
      </w:r>
      <w:r w:rsidRPr="004E70CE">
        <w:rPr>
          <w:b/>
          <w:bCs/>
        </w:rPr>
        <w:t>: Summary of leakage assessment findings</w:t>
      </w:r>
    </w:p>
    <w:tbl>
      <w:tblPr>
        <w:tblStyle w:val="TableGrid12"/>
        <w:tblW w:w="0" w:type="auto"/>
        <w:tblLayout w:type="fixed"/>
        <w:tblLook w:val="04A0" w:firstRow="1" w:lastRow="0" w:firstColumn="1" w:lastColumn="0" w:noHBand="0" w:noVBand="1"/>
      </w:tblPr>
      <w:tblGrid>
        <w:gridCol w:w="1271"/>
        <w:gridCol w:w="2596"/>
        <w:gridCol w:w="2596"/>
        <w:gridCol w:w="2597"/>
      </w:tblGrid>
      <w:tr w:rsidR="003414E0" w:rsidRPr="004E70CE" w14:paraId="330FF835" w14:textId="77777777" w:rsidTr="0095651D">
        <w:trPr>
          <w:tblHeader/>
        </w:trPr>
        <w:tc>
          <w:tcPr>
            <w:tcW w:w="1271" w:type="dxa"/>
            <w:shd w:val="clear" w:color="auto" w:fill="CCECFF"/>
            <w:tcMar>
              <w:top w:w="57" w:type="dxa"/>
              <w:bottom w:w="57" w:type="dxa"/>
            </w:tcMar>
          </w:tcPr>
          <w:p w14:paraId="5E5851D4" w14:textId="77777777" w:rsidR="003414E0" w:rsidRPr="004E70CE" w:rsidRDefault="00A245DF" w:rsidP="003414E0">
            <w:pPr>
              <w:spacing w:after="0" w:line="240" w:lineRule="auto"/>
              <w:rPr>
                <w:rFonts w:ascii="Calibri" w:eastAsia="Calibri" w:hAnsi="Calibri" w:cs="Times New Roman"/>
                <w:b/>
                <w:bCs/>
                <w:sz w:val="18"/>
                <w:szCs w:val="18"/>
              </w:rPr>
            </w:pPr>
            <w:r w:rsidRPr="004E70CE">
              <w:rPr>
                <w:rFonts w:ascii="Calibri" w:eastAsia="Calibri" w:hAnsi="Calibri" w:cs="Times New Roman"/>
                <w:b/>
                <w:bCs/>
                <w:sz w:val="18"/>
                <w:szCs w:val="18"/>
              </w:rPr>
              <w:t>Commodities</w:t>
            </w:r>
          </w:p>
        </w:tc>
        <w:tc>
          <w:tcPr>
            <w:tcW w:w="2596" w:type="dxa"/>
            <w:shd w:val="clear" w:color="auto" w:fill="CCECFF"/>
            <w:tcMar>
              <w:top w:w="57" w:type="dxa"/>
              <w:bottom w:w="57" w:type="dxa"/>
            </w:tcMar>
          </w:tcPr>
          <w:p w14:paraId="7D480F4C" w14:textId="77777777" w:rsidR="003414E0" w:rsidRPr="004E70CE" w:rsidRDefault="003414E0" w:rsidP="003414E0">
            <w:pPr>
              <w:spacing w:after="0" w:line="240" w:lineRule="auto"/>
              <w:rPr>
                <w:rFonts w:ascii="Calibri" w:eastAsia="Calibri" w:hAnsi="Calibri" w:cs="Times New Roman"/>
                <w:b/>
                <w:bCs/>
                <w:sz w:val="18"/>
                <w:szCs w:val="18"/>
              </w:rPr>
            </w:pPr>
            <w:r w:rsidRPr="004E70CE">
              <w:rPr>
                <w:rFonts w:ascii="Calibri" w:eastAsia="Calibri" w:hAnsi="Calibri" w:cs="Times New Roman"/>
                <w:b/>
                <w:bCs/>
                <w:sz w:val="18"/>
                <w:szCs w:val="18"/>
              </w:rPr>
              <w:t xml:space="preserve">Emissions </w:t>
            </w:r>
            <w:r w:rsidR="00A245DF" w:rsidRPr="004E70CE">
              <w:rPr>
                <w:rFonts w:ascii="Calibri" w:eastAsia="Calibri" w:hAnsi="Calibri" w:cs="Times New Roman"/>
                <w:b/>
                <w:bCs/>
                <w:sz w:val="18"/>
                <w:szCs w:val="18"/>
              </w:rPr>
              <w:t>intensity</w:t>
            </w:r>
            <w:r w:rsidRPr="004E70CE">
              <w:rPr>
                <w:rFonts w:ascii="Calibri" w:eastAsia="Calibri" w:hAnsi="Calibri" w:cs="Times New Roman"/>
                <w:b/>
                <w:bCs/>
                <w:sz w:val="18"/>
                <w:szCs w:val="18"/>
              </w:rPr>
              <w:t xml:space="preserve"> and trade</w:t>
            </w:r>
            <w:r w:rsidR="00A245DF" w:rsidRPr="004E70CE">
              <w:rPr>
                <w:rFonts w:ascii="Calibri" w:eastAsia="Calibri" w:hAnsi="Calibri" w:cs="Times New Roman"/>
                <w:b/>
                <w:bCs/>
                <w:sz w:val="18"/>
                <w:szCs w:val="18"/>
              </w:rPr>
              <w:t xml:space="preserve">-related </w:t>
            </w:r>
            <w:r w:rsidR="12A847E9" w:rsidRPr="004E70CE">
              <w:rPr>
                <w:rFonts w:ascii="Calibri" w:eastAsia="Calibri" w:hAnsi="Calibri" w:cs="Times New Roman"/>
                <w:b/>
                <w:bCs/>
                <w:sz w:val="18"/>
                <w:szCs w:val="18"/>
              </w:rPr>
              <w:t xml:space="preserve">leakage </w:t>
            </w:r>
            <w:r w:rsidR="00A245DF" w:rsidRPr="004E70CE">
              <w:rPr>
                <w:rFonts w:ascii="Calibri" w:eastAsia="Calibri" w:hAnsi="Calibri" w:cs="Times New Roman"/>
                <w:b/>
                <w:bCs/>
                <w:sz w:val="18"/>
                <w:szCs w:val="18"/>
              </w:rPr>
              <w:t>risk factors</w:t>
            </w:r>
          </w:p>
        </w:tc>
        <w:tc>
          <w:tcPr>
            <w:tcW w:w="2596" w:type="dxa"/>
            <w:shd w:val="clear" w:color="auto" w:fill="CCECFF"/>
            <w:tcMar>
              <w:top w:w="57" w:type="dxa"/>
              <w:bottom w:w="57" w:type="dxa"/>
            </w:tcMar>
          </w:tcPr>
          <w:p w14:paraId="507FDC48" w14:textId="77777777" w:rsidR="003414E0" w:rsidRPr="004E70CE" w:rsidRDefault="539D7D65" w:rsidP="003414E0">
            <w:pPr>
              <w:spacing w:after="0" w:line="240" w:lineRule="auto"/>
              <w:rPr>
                <w:rFonts w:ascii="Calibri" w:eastAsia="Calibri" w:hAnsi="Calibri" w:cs="Times New Roman"/>
                <w:b/>
                <w:bCs/>
                <w:sz w:val="18"/>
                <w:szCs w:val="18"/>
              </w:rPr>
            </w:pPr>
            <w:r w:rsidRPr="004E70CE">
              <w:rPr>
                <w:rFonts w:ascii="Calibri" w:eastAsia="Calibri" w:hAnsi="Calibri" w:cs="Times New Roman"/>
                <w:b/>
                <w:bCs/>
                <w:sz w:val="18"/>
                <w:szCs w:val="18"/>
              </w:rPr>
              <w:t>Assessed t</w:t>
            </w:r>
            <w:r w:rsidR="00A245DF" w:rsidRPr="004E70CE">
              <w:rPr>
                <w:rFonts w:ascii="Calibri" w:eastAsia="Calibri" w:hAnsi="Calibri" w:cs="Times New Roman"/>
                <w:b/>
                <w:bCs/>
                <w:sz w:val="18"/>
                <w:szCs w:val="18"/>
              </w:rPr>
              <w:t xml:space="preserve">rade and investment leakage </w:t>
            </w:r>
            <w:r w:rsidR="0223A79D" w:rsidRPr="004E70CE">
              <w:rPr>
                <w:rFonts w:ascii="Calibri" w:eastAsia="Calibri" w:hAnsi="Calibri" w:cs="Times New Roman"/>
                <w:b/>
                <w:bCs/>
                <w:sz w:val="18"/>
                <w:szCs w:val="18"/>
              </w:rPr>
              <w:t>risk</w:t>
            </w:r>
          </w:p>
        </w:tc>
        <w:tc>
          <w:tcPr>
            <w:tcW w:w="2597" w:type="dxa"/>
            <w:shd w:val="clear" w:color="auto" w:fill="CCECFF"/>
            <w:tcMar>
              <w:top w:w="57" w:type="dxa"/>
              <w:bottom w:w="57" w:type="dxa"/>
            </w:tcMar>
          </w:tcPr>
          <w:p w14:paraId="543291CB" w14:textId="77777777" w:rsidR="003414E0" w:rsidRPr="004E70CE" w:rsidRDefault="006F510A" w:rsidP="003414E0">
            <w:pPr>
              <w:spacing w:after="0" w:line="240" w:lineRule="auto"/>
              <w:rPr>
                <w:rFonts w:ascii="Calibri" w:eastAsia="Calibri" w:hAnsi="Calibri" w:cs="Times New Roman"/>
                <w:b/>
                <w:bCs/>
                <w:sz w:val="18"/>
                <w:szCs w:val="18"/>
              </w:rPr>
            </w:pPr>
            <w:r w:rsidRPr="004E70CE">
              <w:rPr>
                <w:rFonts w:ascii="Calibri" w:eastAsia="Calibri" w:hAnsi="Calibri" w:cs="Times New Roman"/>
                <w:b/>
                <w:bCs/>
                <w:sz w:val="18"/>
                <w:szCs w:val="18"/>
              </w:rPr>
              <w:t>O</w:t>
            </w:r>
            <w:r w:rsidR="00B826AF" w:rsidRPr="004E70CE">
              <w:rPr>
                <w:rFonts w:ascii="Calibri" w:eastAsia="Calibri" w:hAnsi="Calibri" w:cs="Times New Roman"/>
                <w:b/>
                <w:bCs/>
                <w:sz w:val="18"/>
                <w:szCs w:val="18"/>
              </w:rPr>
              <w:t xml:space="preserve">ther </w:t>
            </w:r>
            <w:r w:rsidRPr="004E70CE">
              <w:rPr>
                <w:rFonts w:ascii="Calibri" w:eastAsia="Calibri" w:hAnsi="Calibri" w:cs="Times New Roman"/>
                <w:b/>
                <w:bCs/>
                <w:sz w:val="18"/>
                <w:szCs w:val="18"/>
              </w:rPr>
              <w:t xml:space="preserve">factors, including </w:t>
            </w:r>
            <w:r w:rsidR="420F7402" w:rsidRPr="004E70CE">
              <w:rPr>
                <w:rFonts w:ascii="Calibri" w:eastAsia="Calibri" w:hAnsi="Calibri" w:cs="Times New Roman"/>
                <w:b/>
                <w:bCs/>
                <w:sz w:val="18"/>
                <w:szCs w:val="18"/>
              </w:rPr>
              <w:t xml:space="preserve">from </w:t>
            </w:r>
            <w:r w:rsidRPr="004E70CE">
              <w:rPr>
                <w:rFonts w:ascii="Calibri" w:eastAsia="Calibri" w:hAnsi="Calibri" w:cs="Times New Roman"/>
                <w:b/>
                <w:bCs/>
                <w:sz w:val="18"/>
                <w:szCs w:val="18"/>
              </w:rPr>
              <w:t>stakeholder feedback</w:t>
            </w:r>
          </w:p>
        </w:tc>
      </w:tr>
      <w:tr w:rsidR="003414E0" w:rsidRPr="004E70CE" w14:paraId="6DFDC872" w14:textId="77777777" w:rsidTr="0095651D">
        <w:tc>
          <w:tcPr>
            <w:tcW w:w="9060" w:type="dxa"/>
            <w:gridSpan w:val="4"/>
            <w:shd w:val="clear" w:color="auto" w:fill="auto"/>
            <w:tcMar>
              <w:top w:w="57" w:type="dxa"/>
              <w:bottom w:w="57" w:type="dxa"/>
            </w:tcMar>
          </w:tcPr>
          <w:p w14:paraId="06B1CC78" w14:textId="77777777" w:rsidR="003414E0" w:rsidRPr="004E70CE" w:rsidRDefault="003414E0" w:rsidP="003414E0">
            <w:pPr>
              <w:spacing w:after="0" w:line="240" w:lineRule="auto"/>
              <w:rPr>
                <w:rFonts w:ascii="Calibri" w:eastAsia="Calibri" w:hAnsi="Calibri" w:cs="Times New Roman"/>
                <w:b/>
                <w:bCs/>
                <w:sz w:val="18"/>
                <w:szCs w:val="18"/>
              </w:rPr>
            </w:pPr>
            <w:r w:rsidRPr="004E70CE">
              <w:rPr>
                <w:rFonts w:ascii="Calibri" w:eastAsia="Calibri" w:hAnsi="Calibri" w:cs="Times New Roman"/>
                <w:b/>
                <w:bCs/>
                <w:sz w:val="18"/>
                <w:szCs w:val="18"/>
              </w:rPr>
              <w:t xml:space="preserve">Additional </w:t>
            </w:r>
            <w:r w:rsidR="00287007" w:rsidRPr="004E70CE">
              <w:rPr>
                <w:rFonts w:ascii="Calibri" w:eastAsia="Calibri" w:hAnsi="Calibri" w:cs="Times New Roman"/>
                <w:b/>
                <w:bCs/>
                <w:sz w:val="18"/>
                <w:szCs w:val="18"/>
              </w:rPr>
              <w:t xml:space="preserve">leakage </w:t>
            </w:r>
            <w:r w:rsidRPr="004E70CE">
              <w:rPr>
                <w:rFonts w:ascii="Calibri" w:eastAsia="Calibri" w:hAnsi="Calibri" w:cs="Times New Roman"/>
                <w:b/>
                <w:bCs/>
                <w:sz w:val="18"/>
                <w:szCs w:val="18"/>
              </w:rPr>
              <w:t xml:space="preserve">policies </w:t>
            </w:r>
            <w:r w:rsidR="00287007" w:rsidRPr="004E70CE">
              <w:rPr>
                <w:rFonts w:ascii="Calibri" w:eastAsia="Calibri" w:hAnsi="Calibri" w:cs="Times New Roman"/>
                <w:b/>
                <w:bCs/>
                <w:sz w:val="18"/>
                <w:szCs w:val="18"/>
              </w:rPr>
              <w:t>warranted</w:t>
            </w:r>
            <w:r w:rsidRPr="004E70CE">
              <w:rPr>
                <w:rFonts w:ascii="Calibri" w:eastAsia="Calibri" w:hAnsi="Calibri" w:cs="Times New Roman"/>
                <w:b/>
                <w:bCs/>
                <w:sz w:val="18"/>
                <w:szCs w:val="18"/>
              </w:rPr>
              <w:t xml:space="preserve">, with earlier </w:t>
            </w:r>
            <w:r w:rsidR="001D2589" w:rsidRPr="004E70CE">
              <w:rPr>
                <w:rFonts w:ascii="Calibri" w:eastAsia="Calibri" w:hAnsi="Calibri" w:cs="Times New Roman"/>
                <w:b/>
                <w:bCs/>
                <w:sz w:val="18"/>
                <w:szCs w:val="18"/>
              </w:rPr>
              <w:t xml:space="preserve">implementation pursued </w:t>
            </w:r>
          </w:p>
        </w:tc>
      </w:tr>
      <w:tr w:rsidR="003414E0" w:rsidRPr="004E70CE" w14:paraId="47FF5725" w14:textId="77777777" w:rsidTr="0095651D">
        <w:tc>
          <w:tcPr>
            <w:tcW w:w="1271" w:type="dxa"/>
            <w:tcMar>
              <w:top w:w="57" w:type="dxa"/>
              <w:bottom w:w="57" w:type="dxa"/>
            </w:tcMar>
          </w:tcPr>
          <w:p w14:paraId="3BFFA7BD" w14:textId="77777777" w:rsidR="003414E0" w:rsidRPr="004E70CE" w:rsidRDefault="003414E0" w:rsidP="003414E0">
            <w:pPr>
              <w:spacing w:after="0" w:line="240" w:lineRule="auto"/>
              <w:rPr>
                <w:rFonts w:ascii="Calibri" w:eastAsia="Calibri" w:hAnsi="Calibri" w:cs="Times New Roman"/>
                <w:sz w:val="18"/>
                <w:szCs w:val="18"/>
              </w:rPr>
            </w:pPr>
            <w:r w:rsidRPr="004E70CE">
              <w:rPr>
                <w:rFonts w:ascii="Calibri" w:eastAsia="Calibri" w:hAnsi="Calibri" w:cs="Times New Roman"/>
                <w:sz w:val="18"/>
                <w:szCs w:val="18"/>
              </w:rPr>
              <w:t>Clinker</w:t>
            </w:r>
          </w:p>
        </w:tc>
        <w:tc>
          <w:tcPr>
            <w:tcW w:w="2596" w:type="dxa"/>
            <w:shd w:val="clear" w:color="auto" w:fill="FFCCCC"/>
            <w:tcMar>
              <w:top w:w="57" w:type="dxa"/>
              <w:bottom w:w="57" w:type="dxa"/>
            </w:tcMar>
          </w:tcPr>
          <w:p w14:paraId="59D2CDE8" w14:textId="668A0893" w:rsidR="003414E0" w:rsidRPr="004E70CE" w:rsidRDefault="00074EF8" w:rsidP="000746A3">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 xml:space="preserve">High </w:t>
            </w:r>
            <w:r w:rsidR="00157E4B" w:rsidRPr="004E70CE">
              <w:rPr>
                <w:rFonts w:ascii="Calibri" w:eastAsia="Calibri" w:hAnsi="Calibri" w:cs="Times New Roman"/>
                <w:sz w:val="18"/>
                <w:szCs w:val="18"/>
              </w:rPr>
              <w:t xml:space="preserve">risk levels </w:t>
            </w:r>
            <w:r w:rsidR="00C750AC" w:rsidRPr="004E70CE">
              <w:rPr>
                <w:rFonts w:ascii="Calibri" w:eastAsia="Calibri" w:hAnsi="Calibri" w:cs="Times New Roman"/>
                <w:sz w:val="18"/>
                <w:szCs w:val="18"/>
              </w:rPr>
              <w:t xml:space="preserve">evident </w:t>
            </w:r>
            <w:r w:rsidRPr="004E70CE">
              <w:rPr>
                <w:rFonts w:ascii="Calibri" w:eastAsia="Calibri" w:hAnsi="Calibri" w:cs="Times New Roman"/>
                <w:sz w:val="18"/>
                <w:szCs w:val="18"/>
              </w:rPr>
              <w:t xml:space="preserve">for both carbon </w:t>
            </w:r>
            <w:r w:rsidR="00157E4B" w:rsidRPr="004E70CE">
              <w:rPr>
                <w:rFonts w:ascii="Calibri" w:eastAsia="Calibri" w:hAnsi="Calibri" w:cs="Times New Roman"/>
                <w:sz w:val="18"/>
                <w:szCs w:val="18"/>
              </w:rPr>
              <w:t xml:space="preserve">costs </w:t>
            </w:r>
            <w:r w:rsidR="003563C6" w:rsidRPr="004E70CE">
              <w:rPr>
                <w:rFonts w:ascii="Calibri" w:eastAsia="Calibri" w:hAnsi="Calibri" w:cs="Times New Roman"/>
                <w:sz w:val="18"/>
                <w:szCs w:val="18"/>
              </w:rPr>
              <w:t xml:space="preserve">as a share of </w:t>
            </w:r>
            <w:r w:rsidR="6F826C73" w:rsidRPr="004E70CE">
              <w:rPr>
                <w:rFonts w:ascii="Calibri" w:eastAsia="Calibri" w:hAnsi="Calibri" w:cs="Times New Roman"/>
                <w:sz w:val="18"/>
                <w:szCs w:val="18"/>
              </w:rPr>
              <w:t xml:space="preserve">product </w:t>
            </w:r>
            <w:r w:rsidR="00157E4B" w:rsidRPr="004E70CE">
              <w:rPr>
                <w:rFonts w:ascii="Calibri" w:eastAsia="Calibri" w:hAnsi="Calibri" w:cs="Times New Roman"/>
                <w:sz w:val="18"/>
                <w:szCs w:val="18"/>
              </w:rPr>
              <w:t xml:space="preserve">price and </w:t>
            </w:r>
            <w:r w:rsidR="000A441D" w:rsidRPr="004E70CE">
              <w:rPr>
                <w:rFonts w:ascii="Calibri" w:eastAsia="Calibri" w:hAnsi="Calibri" w:cs="Times New Roman"/>
                <w:sz w:val="18"/>
                <w:szCs w:val="18"/>
              </w:rPr>
              <w:t>import exposure</w:t>
            </w:r>
            <w:r w:rsidR="00736D90" w:rsidRPr="004E70CE">
              <w:rPr>
                <w:rFonts w:ascii="Calibri" w:eastAsia="Calibri" w:hAnsi="Calibri" w:cs="Times New Roman"/>
                <w:sz w:val="18"/>
                <w:szCs w:val="18"/>
              </w:rPr>
              <w:t>.</w:t>
            </w:r>
          </w:p>
        </w:tc>
        <w:tc>
          <w:tcPr>
            <w:tcW w:w="2596" w:type="dxa"/>
            <w:shd w:val="clear" w:color="auto" w:fill="FFCCCC"/>
            <w:tcMar>
              <w:top w:w="57" w:type="dxa"/>
              <w:bottom w:w="57" w:type="dxa"/>
            </w:tcMar>
          </w:tcPr>
          <w:p w14:paraId="07322BBB" w14:textId="77777777" w:rsidR="003414E0" w:rsidRPr="004E70CE" w:rsidRDefault="0004423C" w:rsidP="000746A3">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T</w:t>
            </w:r>
            <w:r w:rsidR="006A74A1" w:rsidRPr="004E70CE">
              <w:rPr>
                <w:rFonts w:ascii="Calibri" w:eastAsia="Calibri" w:hAnsi="Calibri" w:cs="Times New Roman"/>
                <w:sz w:val="18"/>
                <w:szCs w:val="18"/>
              </w:rPr>
              <w:t xml:space="preserve">rade </w:t>
            </w:r>
            <w:r w:rsidR="00916D0F" w:rsidRPr="004E70CE">
              <w:rPr>
                <w:rFonts w:ascii="Calibri" w:eastAsia="Calibri" w:hAnsi="Calibri" w:cs="Times New Roman"/>
                <w:sz w:val="18"/>
                <w:szCs w:val="18"/>
              </w:rPr>
              <w:t>leakage</w:t>
            </w:r>
            <w:r w:rsidRPr="004E70CE">
              <w:rPr>
                <w:rFonts w:ascii="Calibri" w:eastAsia="Calibri" w:hAnsi="Calibri" w:cs="Times New Roman"/>
                <w:sz w:val="18"/>
                <w:szCs w:val="18"/>
              </w:rPr>
              <w:t xml:space="preserve"> </w:t>
            </w:r>
            <w:r w:rsidR="004009E9" w:rsidRPr="004E70CE">
              <w:rPr>
                <w:rFonts w:ascii="Calibri" w:eastAsia="Calibri" w:hAnsi="Calibri" w:cs="Times New Roman"/>
                <w:sz w:val="18"/>
                <w:szCs w:val="18"/>
              </w:rPr>
              <w:t>estimate</w:t>
            </w:r>
            <w:r w:rsidR="004009E9" w:rsidRPr="004E70CE" w:rsidDel="00E84BD0">
              <w:rPr>
                <w:rFonts w:ascii="Calibri" w:eastAsia="Calibri" w:hAnsi="Calibri" w:cs="Times New Roman"/>
                <w:sz w:val="18"/>
                <w:szCs w:val="18"/>
              </w:rPr>
              <w:t xml:space="preserve"> </w:t>
            </w:r>
            <w:r w:rsidR="00E84BD0" w:rsidRPr="004E70CE">
              <w:rPr>
                <w:rFonts w:ascii="Calibri" w:eastAsia="Calibri" w:hAnsi="Calibri" w:cs="Times New Roman"/>
                <w:sz w:val="18"/>
                <w:szCs w:val="18"/>
              </w:rPr>
              <w:t xml:space="preserve">is the </w:t>
            </w:r>
            <w:r w:rsidR="004C09EE" w:rsidRPr="004E70CE">
              <w:rPr>
                <w:rFonts w:ascii="Calibri" w:eastAsia="Calibri" w:hAnsi="Calibri" w:cs="Times New Roman"/>
                <w:sz w:val="18"/>
                <w:szCs w:val="18"/>
              </w:rPr>
              <w:t>high</w:t>
            </w:r>
            <w:r w:rsidR="00E84BD0" w:rsidRPr="004E70CE">
              <w:rPr>
                <w:rFonts w:ascii="Calibri" w:eastAsia="Calibri" w:hAnsi="Calibri" w:cs="Times New Roman"/>
                <w:sz w:val="18"/>
                <w:szCs w:val="18"/>
              </w:rPr>
              <w:t xml:space="preserve">est of all </w:t>
            </w:r>
            <w:r w:rsidR="002C16CC" w:rsidRPr="004E70CE">
              <w:rPr>
                <w:rFonts w:ascii="Calibri" w:eastAsia="Calibri" w:hAnsi="Calibri" w:cs="Times New Roman"/>
                <w:sz w:val="18"/>
                <w:szCs w:val="18"/>
              </w:rPr>
              <w:t>commoditie</w:t>
            </w:r>
            <w:r w:rsidR="00E84BD0" w:rsidRPr="004E70CE">
              <w:rPr>
                <w:rFonts w:ascii="Calibri" w:eastAsia="Calibri" w:hAnsi="Calibri" w:cs="Times New Roman"/>
                <w:sz w:val="18"/>
                <w:szCs w:val="18"/>
              </w:rPr>
              <w:t>s</w:t>
            </w:r>
            <w:r w:rsidR="006A74A1" w:rsidRPr="004E70CE">
              <w:rPr>
                <w:rFonts w:ascii="Calibri" w:eastAsia="Calibri" w:hAnsi="Calibri" w:cs="Times New Roman"/>
                <w:sz w:val="18"/>
                <w:szCs w:val="18"/>
              </w:rPr>
              <w:t xml:space="preserve">.  </w:t>
            </w:r>
            <w:r w:rsidR="0075571A" w:rsidRPr="004E70CE">
              <w:rPr>
                <w:rFonts w:ascii="Calibri" w:eastAsia="Calibri" w:hAnsi="Calibri" w:cs="Times New Roman"/>
                <w:sz w:val="18"/>
                <w:szCs w:val="18"/>
              </w:rPr>
              <w:t>Profit</w:t>
            </w:r>
            <w:r w:rsidRPr="004E70CE">
              <w:rPr>
                <w:rFonts w:ascii="Calibri" w:eastAsia="Calibri" w:hAnsi="Calibri" w:cs="Times New Roman"/>
                <w:sz w:val="18"/>
                <w:szCs w:val="18"/>
              </w:rPr>
              <w:t xml:space="preserve"> analysis </w:t>
            </w:r>
            <w:r w:rsidR="004009E9" w:rsidRPr="004E70CE">
              <w:rPr>
                <w:rFonts w:ascii="Calibri" w:eastAsia="Calibri" w:hAnsi="Calibri" w:cs="Times New Roman"/>
                <w:sz w:val="18"/>
                <w:szCs w:val="18"/>
              </w:rPr>
              <w:t xml:space="preserve">also </w:t>
            </w:r>
            <w:r w:rsidRPr="004E70CE">
              <w:rPr>
                <w:rFonts w:ascii="Calibri" w:eastAsia="Calibri" w:hAnsi="Calibri" w:cs="Times New Roman"/>
                <w:sz w:val="18"/>
                <w:szCs w:val="18"/>
              </w:rPr>
              <w:t xml:space="preserve">suggests </w:t>
            </w:r>
            <w:r w:rsidR="003714ED" w:rsidRPr="004E70CE">
              <w:rPr>
                <w:rFonts w:ascii="Calibri" w:eastAsia="Calibri" w:hAnsi="Calibri" w:cs="Times New Roman"/>
                <w:sz w:val="18"/>
                <w:szCs w:val="18"/>
              </w:rPr>
              <w:t>clinker</w:t>
            </w:r>
            <w:r w:rsidRPr="004E70CE">
              <w:rPr>
                <w:rFonts w:ascii="Calibri" w:eastAsia="Calibri" w:hAnsi="Calibri" w:cs="Times New Roman"/>
                <w:sz w:val="18"/>
                <w:szCs w:val="18"/>
              </w:rPr>
              <w:t xml:space="preserve"> is </w:t>
            </w:r>
            <w:r w:rsidR="006A74A1" w:rsidRPr="004E70CE">
              <w:rPr>
                <w:rFonts w:ascii="Calibri" w:eastAsia="Calibri" w:hAnsi="Calibri" w:cs="Times New Roman"/>
                <w:sz w:val="18"/>
                <w:szCs w:val="18"/>
              </w:rPr>
              <w:t xml:space="preserve">among </w:t>
            </w:r>
            <w:r w:rsidRPr="004E70CE">
              <w:rPr>
                <w:rFonts w:ascii="Calibri" w:eastAsia="Calibri" w:hAnsi="Calibri" w:cs="Times New Roman"/>
                <w:sz w:val="18"/>
                <w:szCs w:val="18"/>
              </w:rPr>
              <w:t>th</w:t>
            </w:r>
            <w:r w:rsidR="002670F4" w:rsidRPr="004E70CE">
              <w:rPr>
                <w:rFonts w:ascii="Calibri" w:eastAsia="Calibri" w:hAnsi="Calibri" w:cs="Times New Roman"/>
                <w:sz w:val="18"/>
                <w:szCs w:val="18"/>
              </w:rPr>
              <w:t>e sectors</w:t>
            </w:r>
            <w:r w:rsidRPr="004E70CE">
              <w:rPr>
                <w:rFonts w:ascii="Calibri" w:eastAsia="Calibri" w:hAnsi="Calibri" w:cs="Times New Roman"/>
                <w:sz w:val="18"/>
                <w:szCs w:val="18"/>
              </w:rPr>
              <w:t xml:space="preserve"> </w:t>
            </w:r>
            <w:r w:rsidR="006A74A1" w:rsidRPr="004E70CE">
              <w:rPr>
                <w:rFonts w:ascii="Calibri" w:eastAsia="Calibri" w:hAnsi="Calibri" w:cs="Times New Roman"/>
                <w:sz w:val="18"/>
                <w:szCs w:val="18"/>
              </w:rPr>
              <w:t>most vulnerable to investment leakage.</w:t>
            </w:r>
          </w:p>
        </w:tc>
        <w:tc>
          <w:tcPr>
            <w:tcW w:w="2597" w:type="dxa"/>
            <w:shd w:val="clear" w:color="auto" w:fill="FFCCCC"/>
            <w:tcMar>
              <w:top w:w="57" w:type="dxa"/>
              <w:bottom w:w="57" w:type="dxa"/>
            </w:tcMar>
          </w:tcPr>
          <w:p w14:paraId="2AC44E5F" w14:textId="6CD99423" w:rsidR="003414E0" w:rsidRPr="004E70CE" w:rsidRDefault="00ED1DD8" w:rsidP="000746A3">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 xml:space="preserve">Industry stakeholders </w:t>
            </w:r>
            <w:r w:rsidR="00B03393" w:rsidRPr="004E70CE">
              <w:rPr>
                <w:rFonts w:ascii="Calibri" w:eastAsia="Calibri" w:hAnsi="Calibri" w:cs="Times New Roman"/>
                <w:sz w:val="18"/>
                <w:szCs w:val="18"/>
              </w:rPr>
              <w:t xml:space="preserve">note </w:t>
            </w:r>
            <w:r w:rsidR="00AF70D5" w:rsidRPr="004E70CE">
              <w:rPr>
                <w:rFonts w:ascii="Calibri" w:eastAsia="Calibri" w:hAnsi="Calibri" w:cs="Times New Roman"/>
                <w:sz w:val="18"/>
                <w:szCs w:val="18"/>
              </w:rPr>
              <w:t xml:space="preserve">high levels of </w:t>
            </w:r>
            <w:r w:rsidR="00B03393" w:rsidRPr="004E70CE">
              <w:rPr>
                <w:rFonts w:ascii="Calibri" w:eastAsia="Calibri" w:hAnsi="Calibri" w:cs="Times New Roman"/>
                <w:sz w:val="18"/>
                <w:szCs w:val="18"/>
              </w:rPr>
              <w:t xml:space="preserve">risks of </w:t>
            </w:r>
            <w:r w:rsidR="00521771" w:rsidRPr="004E70CE">
              <w:rPr>
                <w:rFonts w:ascii="Calibri" w:eastAsia="Calibri" w:hAnsi="Calibri" w:cs="Times New Roman"/>
                <w:sz w:val="18"/>
                <w:szCs w:val="18"/>
              </w:rPr>
              <w:t>leakage in absence of longer-term solution</w:t>
            </w:r>
            <w:r w:rsidR="003E3B31" w:rsidRPr="004E70CE">
              <w:rPr>
                <w:rFonts w:ascii="Calibri" w:eastAsia="Calibri" w:hAnsi="Calibri" w:cs="Times New Roman"/>
                <w:sz w:val="18"/>
                <w:szCs w:val="18"/>
              </w:rPr>
              <w:t>s</w:t>
            </w:r>
            <w:r w:rsidR="00521771" w:rsidRPr="004E70CE">
              <w:rPr>
                <w:rFonts w:ascii="Calibri" w:eastAsia="Calibri" w:hAnsi="Calibri" w:cs="Times New Roman"/>
                <w:sz w:val="18"/>
                <w:szCs w:val="18"/>
              </w:rPr>
              <w:t xml:space="preserve"> such as a </w:t>
            </w:r>
            <w:r w:rsidR="00F32089" w:rsidRPr="004E70CE">
              <w:rPr>
                <w:rFonts w:ascii="Calibri" w:eastAsia="Calibri" w:hAnsi="Calibri" w:cs="Times New Roman"/>
                <w:sz w:val="18"/>
                <w:szCs w:val="18"/>
              </w:rPr>
              <w:t>border carbon adjustment.</w:t>
            </w:r>
            <w:r w:rsidR="00F23498" w:rsidRPr="004E70CE">
              <w:rPr>
                <w:rFonts w:ascii="Calibri" w:eastAsia="Calibri" w:hAnsi="Calibri" w:cs="Times New Roman"/>
                <w:sz w:val="18"/>
                <w:szCs w:val="18"/>
              </w:rPr>
              <w:t xml:space="preserve"> </w:t>
            </w:r>
          </w:p>
        </w:tc>
      </w:tr>
      <w:tr w:rsidR="00AF7AAA" w:rsidRPr="004E70CE" w14:paraId="0E8565CE" w14:textId="77777777" w:rsidTr="0095651D">
        <w:tc>
          <w:tcPr>
            <w:tcW w:w="1271" w:type="dxa"/>
            <w:tcMar>
              <w:top w:w="57" w:type="dxa"/>
              <w:bottom w:w="57" w:type="dxa"/>
            </w:tcMar>
          </w:tcPr>
          <w:p w14:paraId="29BF0EF8" w14:textId="77777777" w:rsidR="00AF7AAA" w:rsidRPr="004E70CE" w:rsidRDefault="00AF7AAA" w:rsidP="003414E0">
            <w:pPr>
              <w:spacing w:after="0" w:line="240" w:lineRule="auto"/>
              <w:rPr>
                <w:rFonts w:ascii="Calibri" w:eastAsia="Calibri" w:hAnsi="Calibri" w:cs="Times New Roman"/>
                <w:sz w:val="18"/>
                <w:szCs w:val="18"/>
              </w:rPr>
            </w:pPr>
            <w:r w:rsidRPr="004E70CE">
              <w:rPr>
                <w:rFonts w:ascii="Calibri" w:eastAsia="Calibri" w:hAnsi="Calibri" w:cs="Times New Roman"/>
                <w:sz w:val="18"/>
                <w:szCs w:val="18"/>
              </w:rPr>
              <w:t>Cement</w:t>
            </w:r>
          </w:p>
        </w:tc>
        <w:tc>
          <w:tcPr>
            <w:tcW w:w="2596" w:type="dxa"/>
            <w:shd w:val="clear" w:color="auto" w:fill="FFCCCC"/>
            <w:tcMar>
              <w:top w:w="57" w:type="dxa"/>
              <w:bottom w:w="57" w:type="dxa"/>
            </w:tcMar>
          </w:tcPr>
          <w:p w14:paraId="21AE027B" w14:textId="77777777" w:rsidR="00AF7AAA" w:rsidRPr="004E70CE" w:rsidRDefault="00AF70D5" w:rsidP="000746A3">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High</w:t>
            </w:r>
            <w:r w:rsidR="00144BCE" w:rsidRPr="004E70CE">
              <w:rPr>
                <w:rFonts w:ascii="Calibri" w:eastAsia="Calibri" w:hAnsi="Calibri" w:cs="Times New Roman"/>
                <w:sz w:val="18"/>
                <w:szCs w:val="18"/>
              </w:rPr>
              <w:t xml:space="preserve"> levels of risk </w:t>
            </w:r>
            <w:r w:rsidR="009601DD" w:rsidRPr="004E70CE">
              <w:rPr>
                <w:rFonts w:ascii="Calibri" w:eastAsia="Calibri" w:hAnsi="Calibri" w:cs="Times New Roman"/>
                <w:sz w:val="18"/>
                <w:szCs w:val="18"/>
              </w:rPr>
              <w:t xml:space="preserve">for multiple indicators, including carbon costs as a share of </w:t>
            </w:r>
            <w:r w:rsidR="50741686" w:rsidRPr="004E70CE">
              <w:rPr>
                <w:rFonts w:ascii="Calibri" w:eastAsia="Calibri" w:hAnsi="Calibri" w:cs="Times New Roman"/>
                <w:sz w:val="18"/>
                <w:szCs w:val="18"/>
              </w:rPr>
              <w:t xml:space="preserve">product </w:t>
            </w:r>
            <w:r w:rsidR="009601DD" w:rsidRPr="004E70CE">
              <w:rPr>
                <w:rFonts w:ascii="Calibri" w:eastAsia="Calibri" w:hAnsi="Calibri" w:cs="Times New Roman"/>
                <w:sz w:val="18"/>
                <w:szCs w:val="18"/>
              </w:rPr>
              <w:t xml:space="preserve">price and </w:t>
            </w:r>
            <w:r w:rsidR="00A11EB6" w:rsidRPr="004E70CE">
              <w:rPr>
                <w:rFonts w:ascii="Calibri" w:eastAsia="Calibri" w:hAnsi="Calibri" w:cs="Times New Roman"/>
                <w:sz w:val="18"/>
                <w:szCs w:val="18"/>
              </w:rPr>
              <w:t>import sensitivity to price changes.</w:t>
            </w:r>
          </w:p>
        </w:tc>
        <w:tc>
          <w:tcPr>
            <w:tcW w:w="2596" w:type="dxa"/>
            <w:shd w:val="clear" w:color="auto" w:fill="FFEB9C"/>
            <w:tcMar>
              <w:top w:w="57" w:type="dxa"/>
              <w:bottom w:w="57" w:type="dxa"/>
            </w:tcMar>
          </w:tcPr>
          <w:p w14:paraId="2BA1FFFA" w14:textId="77777777" w:rsidR="00AF7AAA" w:rsidRPr="004E70CE" w:rsidRDefault="002C16CC" w:rsidP="000746A3">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Estimate</w:t>
            </w:r>
            <w:r w:rsidR="00BD1938" w:rsidRPr="004E70CE">
              <w:rPr>
                <w:rFonts w:ascii="Calibri" w:eastAsia="Calibri" w:hAnsi="Calibri" w:cs="Times New Roman"/>
                <w:sz w:val="18"/>
                <w:szCs w:val="18"/>
              </w:rPr>
              <w:t>s</w:t>
            </w:r>
            <w:r w:rsidRPr="004E70CE">
              <w:rPr>
                <w:rFonts w:ascii="Calibri" w:eastAsia="Calibri" w:hAnsi="Calibri" w:cs="Times New Roman"/>
                <w:sz w:val="18"/>
                <w:szCs w:val="18"/>
              </w:rPr>
              <w:t xml:space="preserve"> </w:t>
            </w:r>
            <w:r w:rsidR="00BD1938" w:rsidRPr="004E70CE">
              <w:rPr>
                <w:rFonts w:ascii="Calibri" w:eastAsia="Calibri" w:hAnsi="Calibri" w:cs="Times New Roman"/>
                <w:sz w:val="18"/>
                <w:szCs w:val="18"/>
              </w:rPr>
              <w:t xml:space="preserve">of </w:t>
            </w:r>
            <w:r w:rsidRPr="004E70CE">
              <w:rPr>
                <w:rFonts w:ascii="Calibri" w:eastAsia="Calibri" w:hAnsi="Calibri" w:cs="Times New Roman"/>
                <w:sz w:val="18"/>
                <w:szCs w:val="18"/>
              </w:rPr>
              <w:t>t</w:t>
            </w:r>
            <w:r w:rsidR="00ED153D" w:rsidRPr="004E70CE">
              <w:rPr>
                <w:rFonts w:ascii="Calibri" w:eastAsia="Calibri" w:hAnsi="Calibri" w:cs="Times New Roman"/>
                <w:sz w:val="18"/>
                <w:szCs w:val="18"/>
              </w:rPr>
              <w:t>r</w:t>
            </w:r>
            <w:r w:rsidRPr="004E70CE">
              <w:rPr>
                <w:rFonts w:ascii="Calibri" w:eastAsia="Calibri" w:hAnsi="Calibri" w:cs="Times New Roman"/>
                <w:sz w:val="18"/>
                <w:szCs w:val="18"/>
              </w:rPr>
              <w:t xml:space="preserve">ade leakage </w:t>
            </w:r>
            <w:r w:rsidR="00CA42C8" w:rsidRPr="004E70CE">
              <w:rPr>
                <w:rFonts w:ascii="Calibri" w:eastAsia="Calibri" w:hAnsi="Calibri" w:cs="Times New Roman"/>
                <w:sz w:val="18"/>
                <w:szCs w:val="18"/>
              </w:rPr>
              <w:t xml:space="preserve">are </w:t>
            </w:r>
            <w:r w:rsidR="00AA4273" w:rsidRPr="004E70CE">
              <w:rPr>
                <w:rFonts w:ascii="Calibri" w:eastAsia="Calibri" w:hAnsi="Calibri" w:cs="Times New Roman"/>
                <w:sz w:val="18"/>
                <w:szCs w:val="18"/>
              </w:rPr>
              <w:t xml:space="preserve">approaching </w:t>
            </w:r>
            <w:r w:rsidR="006B771F" w:rsidRPr="004E70CE">
              <w:rPr>
                <w:rFonts w:ascii="Calibri" w:eastAsia="Calibri" w:hAnsi="Calibri" w:cs="Times New Roman"/>
                <w:sz w:val="18"/>
                <w:szCs w:val="18"/>
              </w:rPr>
              <w:t>material</w:t>
            </w:r>
            <w:r w:rsidR="00AA4273" w:rsidRPr="004E70CE">
              <w:rPr>
                <w:rFonts w:ascii="Calibri" w:eastAsia="Calibri" w:hAnsi="Calibri" w:cs="Times New Roman"/>
                <w:sz w:val="18"/>
                <w:szCs w:val="18"/>
              </w:rPr>
              <w:t xml:space="preserve"> levels</w:t>
            </w:r>
            <w:r w:rsidR="00FA21D3" w:rsidRPr="004E70CE">
              <w:rPr>
                <w:rFonts w:ascii="Calibri" w:eastAsia="Calibri" w:hAnsi="Calibri" w:cs="Times New Roman"/>
                <w:sz w:val="18"/>
                <w:szCs w:val="18"/>
              </w:rPr>
              <w:t xml:space="preserve">. </w:t>
            </w:r>
            <w:r w:rsidR="006B771F" w:rsidRPr="004E70CE">
              <w:rPr>
                <w:rFonts w:ascii="Calibri" w:eastAsia="Calibri" w:hAnsi="Calibri" w:cs="Times New Roman"/>
                <w:sz w:val="18"/>
                <w:szCs w:val="18"/>
              </w:rPr>
              <w:t xml:space="preserve">Investment leakage </w:t>
            </w:r>
            <w:r w:rsidR="00FA21D3" w:rsidRPr="004E70CE">
              <w:rPr>
                <w:rFonts w:ascii="Calibri" w:eastAsia="Calibri" w:hAnsi="Calibri" w:cs="Times New Roman"/>
                <w:sz w:val="18"/>
                <w:szCs w:val="18"/>
              </w:rPr>
              <w:t xml:space="preserve">analysis suggests cement is among the </w:t>
            </w:r>
            <w:r w:rsidR="006B771F" w:rsidRPr="004E70CE">
              <w:rPr>
                <w:rFonts w:ascii="Calibri" w:eastAsia="Calibri" w:hAnsi="Calibri" w:cs="Times New Roman"/>
                <w:sz w:val="18"/>
                <w:szCs w:val="18"/>
              </w:rPr>
              <w:t xml:space="preserve">highest </w:t>
            </w:r>
            <w:r w:rsidR="001F6EBD" w:rsidRPr="004E70CE">
              <w:rPr>
                <w:rFonts w:ascii="Calibri" w:eastAsia="Calibri" w:hAnsi="Calibri" w:cs="Times New Roman"/>
                <w:sz w:val="18"/>
                <w:szCs w:val="18"/>
              </w:rPr>
              <w:t xml:space="preserve">risk </w:t>
            </w:r>
            <w:r w:rsidR="00FA21D3" w:rsidRPr="004E70CE">
              <w:rPr>
                <w:rFonts w:ascii="Calibri" w:eastAsia="Calibri" w:hAnsi="Calibri" w:cs="Times New Roman"/>
                <w:sz w:val="18"/>
                <w:szCs w:val="18"/>
              </w:rPr>
              <w:t>sectors</w:t>
            </w:r>
            <w:r w:rsidR="00B81A71" w:rsidRPr="004E70CE">
              <w:rPr>
                <w:rFonts w:ascii="Calibri" w:eastAsia="Calibri" w:hAnsi="Calibri" w:cs="Times New Roman"/>
                <w:sz w:val="18"/>
                <w:szCs w:val="18"/>
              </w:rPr>
              <w:t>.</w:t>
            </w:r>
          </w:p>
        </w:tc>
        <w:tc>
          <w:tcPr>
            <w:tcW w:w="2597" w:type="dxa"/>
            <w:shd w:val="clear" w:color="auto" w:fill="FFCCCC"/>
            <w:tcMar>
              <w:top w:w="57" w:type="dxa"/>
              <w:bottom w:w="57" w:type="dxa"/>
            </w:tcMar>
          </w:tcPr>
          <w:p w14:paraId="00E5E4C1" w14:textId="06FCFADD" w:rsidR="00AF7AAA" w:rsidRPr="004E70CE" w:rsidRDefault="00ED1DD8" w:rsidP="000746A3">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Industry stakeholders</w:t>
            </w:r>
            <w:r w:rsidR="00B81A71" w:rsidRPr="004E70CE">
              <w:rPr>
                <w:rFonts w:ascii="Calibri" w:eastAsia="Calibri" w:hAnsi="Calibri" w:cs="Times New Roman"/>
                <w:sz w:val="18"/>
                <w:szCs w:val="18"/>
              </w:rPr>
              <w:t xml:space="preserve"> note </w:t>
            </w:r>
            <w:r w:rsidR="00AF70D5" w:rsidRPr="004E70CE">
              <w:rPr>
                <w:rFonts w:ascii="Calibri" w:eastAsia="Calibri" w:hAnsi="Calibri" w:cs="Times New Roman"/>
                <w:sz w:val="18"/>
                <w:szCs w:val="18"/>
              </w:rPr>
              <w:t xml:space="preserve">high </w:t>
            </w:r>
            <w:r w:rsidR="00B81A71" w:rsidRPr="004E70CE">
              <w:rPr>
                <w:rFonts w:ascii="Calibri" w:eastAsia="Calibri" w:hAnsi="Calibri" w:cs="Times New Roman"/>
                <w:sz w:val="18"/>
                <w:szCs w:val="18"/>
              </w:rPr>
              <w:t xml:space="preserve">risks of leakage in absence of longer-term solutions such as a </w:t>
            </w:r>
            <w:r w:rsidR="00F32089" w:rsidRPr="004E70CE">
              <w:rPr>
                <w:rFonts w:ascii="Calibri" w:eastAsia="Calibri" w:hAnsi="Calibri" w:cs="Times New Roman"/>
                <w:sz w:val="18"/>
                <w:szCs w:val="18"/>
              </w:rPr>
              <w:t>border carbon adjustment</w:t>
            </w:r>
            <w:r w:rsidR="00B81A71" w:rsidRPr="004E70CE">
              <w:rPr>
                <w:rFonts w:ascii="Calibri" w:eastAsia="Calibri" w:hAnsi="Calibri" w:cs="Times New Roman"/>
                <w:sz w:val="18"/>
                <w:szCs w:val="18"/>
              </w:rPr>
              <w:t>.</w:t>
            </w:r>
          </w:p>
        </w:tc>
      </w:tr>
      <w:tr w:rsidR="003414E0" w:rsidRPr="004E70CE" w14:paraId="682EDC2C" w14:textId="77777777" w:rsidTr="0095651D">
        <w:tc>
          <w:tcPr>
            <w:tcW w:w="1271" w:type="dxa"/>
            <w:tcMar>
              <w:top w:w="57" w:type="dxa"/>
              <w:bottom w:w="57" w:type="dxa"/>
            </w:tcMar>
          </w:tcPr>
          <w:p w14:paraId="2E9F5153" w14:textId="77777777" w:rsidR="003414E0" w:rsidRPr="004E70CE" w:rsidRDefault="003414E0" w:rsidP="003414E0">
            <w:pPr>
              <w:spacing w:after="0" w:line="240" w:lineRule="auto"/>
              <w:rPr>
                <w:rFonts w:ascii="Calibri" w:eastAsia="Calibri" w:hAnsi="Calibri" w:cs="Times New Roman"/>
                <w:sz w:val="18"/>
                <w:szCs w:val="18"/>
              </w:rPr>
            </w:pPr>
            <w:r w:rsidRPr="004E70CE">
              <w:rPr>
                <w:rFonts w:ascii="Calibri" w:eastAsia="Calibri" w:hAnsi="Calibri" w:cs="Times New Roman"/>
                <w:sz w:val="18"/>
                <w:szCs w:val="18"/>
              </w:rPr>
              <w:t>Lime</w:t>
            </w:r>
          </w:p>
        </w:tc>
        <w:tc>
          <w:tcPr>
            <w:tcW w:w="2596" w:type="dxa"/>
            <w:shd w:val="clear" w:color="auto" w:fill="FFCCCC"/>
            <w:tcMar>
              <w:top w:w="57" w:type="dxa"/>
              <w:bottom w:w="57" w:type="dxa"/>
            </w:tcMar>
          </w:tcPr>
          <w:p w14:paraId="30FFB90E" w14:textId="77777777" w:rsidR="003414E0" w:rsidRPr="004E70CE" w:rsidRDefault="000A36CE" w:rsidP="000746A3">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 xml:space="preserve">Lime </w:t>
            </w:r>
            <w:r w:rsidR="00890035" w:rsidRPr="004E70CE">
              <w:rPr>
                <w:rFonts w:ascii="Calibri" w:eastAsia="Calibri" w:hAnsi="Calibri" w:cs="Times New Roman"/>
                <w:sz w:val="18"/>
                <w:szCs w:val="18"/>
              </w:rPr>
              <w:t>displays</w:t>
            </w:r>
            <w:r w:rsidRPr="004E70CE">
              <w:rPr>
                <w:rFonts w:ascii="Calibri" w:eastAsia="Calibri" w:hAnsi="Calibri" w:cs="Times New Roman"/>
                <w:sz w:val="18"/>
                <w:szCs w:val="18"/>
              </w:rPr>
              <w:t xml:space="preserve"> high risk levels on </w:t>
            </w:r>
            <w:r w:rsidR="002A5979" w:rsidRPr="004E70CE">
              <w:rPr>
                <w:rFonts w:ascii="Calibri" w:eastAsia="Calibri" w:hAnsi="Calibri" w:cs="Times New Roman"/>
                <w:sz w:val="18"/>
                <w:szCs w:val="18"/>
              </w:rPr>
              <w:t xml:space="preserve">all </w:t>
            </w:r>
            <w:r w:rsidRPr="004E70CE">
              <w:rPr>
                <w:rFonts w:ascii="Calibri" w:eastAsia="Calibri" w:hAnsi="Calibri" w:cs="Times New Roman"/>
                <w:sz w:val="18"/>
                <w:szCs w:val="18"/>
              </w:rPr>
              <w:t xml:space="preserve">risk factors. </w:t>
            </w:r>
          </w:p>
        </w:tc>
        <w:tc>
          <w:tcPr>
            <w:tcW w:w="2596" w:type="dxa"/>
            <w:shd w:val="clear" w:color="auto" w:fill="FFCCCC"/>
            <w:tcMar>
              <w:top w:w="57" w:type="dxa"/>
              <w:bottom w:w="57" w:type="dxa"/>
            </w:tcMar>
          </w:tcPr>
          <w:p w14:paraId="5D6B0C63" w14:textId="77777777" w:rsidR="003414E0" w:rsidRPr="004E70CE" w:rsidRDefault="00A77FDE" w:rsidP="000746A3">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T</w:t>
            </w:r>
            <w:r w:rsidR="00D92A8E" w:rsidRPr="004E70CE">
              <w:rPr>
                <w:rFonts w:ascii="Calibri" w:eastAsia="Calibri" w:hAnsi="Calibri" w:cs="Times New Roman"/>
                <w:sz w:val="18"/>
                <w:szCs w:val="18"/>
              </w:rPr>
              <w:t>rade leakage</w:t>
            </w:r>
            <w:r w:rsidRPr="004E70CE">
              <w:rPr>
                <w:rFonts w:ascii="Calibri" w:eastAsia="Calibri" w:hAnsi="Calibri" w:cs="Times New Roman"/>
                <w:sz w:val="18"/>
                <w:szCs w:val="18"/>
              </w:rPr>
              <w:t xml:space="preserve"> estimates </w:t>
            </w:r>
            <w:r w:rsidR="00890035" w:rsidRPr="004E70CE">
              <w:rPr>
                <w:rFonts w:ascii="Calibri" w:eastAsia="Calibri" w:hAnsi="Calibri" w:cs="Times New Roman"/>
                <w:sz w:val="18"/>
                <w:szCs w:val="18"/>
              </w:rPr>
              <w:t xml:space="preserve">are </w:t>
            </w:r>
            <w:r w:rsidRPr="004E70CE">
              <w:rPr>
                <w:rFonts w:ascii="Calibri" w:eastAsia="Calibri" w:hAnsi="Calibri" w:cs="Times New Roman"/>
                <w:sz w:val="18"/>
                <w:szCs w:val="18"/>
              </w:rPr>
              <w:t>high</w:t>
            </w:r>
            <w:r w:rsidR="00D92A8E" w:rsidRPr="004E70CE">
              <w:rPr>
                <w:rFonts w:ascii="Calibri" w:eastAsia="Calibri" w:hAnsi="Calibri" w:cs="Times New Roman"/>
                <w:sz w:val="18"/>
                <w:szCs w:val="18"/>
              </w:rPr>
              <w:t xml:space="preserve">. </w:t>
            </w:r>
            <w:r w:rsidR="006B771F" w:rsidRPr="004E70CE">
              <w:rPr>
                <w:rFonts w:ascii="Calibri" w:eastAsia="Calibri" w:hAnsi="Calibri" w:cs="Times New Roman"/>
                <w:sz w:val="18"/>
                <w:szCs w:val="18"/>
              </w:rPr>
              <w:t>Investment leakage</w:t>
            </w:r>
            <w:r w:rsidR="0075571A" w:rsidRPr="004E70CE">
              <w:rPr>
                <w:rFonts w:ascii="Calibri" w:eastAsia="Calibri" w:hAnsi="Calibri" w:cs="Times New Roman"/>
                <w:sz w:val="18"/>
                <w:szCs w:val="18"/>
              </w:rPr>
              <w:t xml:space="preserve"> </w:t>
            </w:r>
            <w:r w:rsidR="00E41E3A" w:rsidRPr="004E70CE">
              <w:rPr>
                <w:rFonts w:ascii="Calibri" w:eastAsia="Calibri" w:hAnsi="Calibri" w:cs="Times New Roman"/>
                <w:sz w:val="18"/>
                <w:szCs w:val="18"/>
              </w:rPr>
              <w:t>analysis suggests l</w:t>
            </w:r>
            <w:r w:rsidR="00D92A8E" w:rsidRPr="004E70CE">
              <w:rPr>
                <w:rFonts w:ascii="Calibri" w:eastAsia="Calibri" w:hAnsi="Calibri" w:cs="Times New Roman"/>
                <w:sz w:val="18"/>
                <w:szCs w:val="18"/>
              </w:rPr>
              <w:t>ime is among the sectors most vulnerable to investment leakage.</w:t>
            </w:r>
          </w:p>
        </w:tc>
        <w:tc>
          <w:tcPr>
            <w:tcW w:w="2597" w:type="dxa"/>
            <w:shd w:val="clear" w:color="auto" w:fill="FFCCCC"/>
            <w:tcMar>
              <w:top w:w="57" w:type="dxa"/>
              <w:bottom w:w="57" w:type="dxa"/>
            </w:tcMar>
          </w:tcPr>
          <w:p w14:paraId="6EC7204B" w14:textId="32309932" w:rsidR="003414E0" w:rsidRPr="004E70CE" w:rsidRDefault="00ED1DD8" w:rsidP="000746A3">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 xml:space="preserve">Industry stakeholders </w:t>
            </w:r>
            <w:r w:rsidR="00E41E3A" w:rsidRPr="004E70CE">
              <w:rPr>
                <w:rFonts w:ascii="Calibri" w:eastAsia="Calibri" w:hAnsi="Calibri" w:cs="Times New Roman"/>
                <w:sz w:val="18"/>
                <w:szCs w:val="18"/>
              </w:rPr>
              <w:t xml:space="preserve">note risks of leakage in absence of a longer-term solution such as a </w:t>
            </w:r>
            <w:r w:rsidR="00F32089" w:rsidRPr="004E70CE">
              <w:rPr>
                <w:rFonts w:ascii="Calibri" w:eastAsia="Calibri" w:hAnsi="Calibri" w:cs="Times New Roman"/>
                <w:sz w:val="18"/>
                <w:szCs w:val="18"/>
              </w:rPr>
              <w:t>border carbon adjustment</w:t>
            </w:r>
            <w:r w:rsidR="00E41E3A" w:rsidRPr="004E70CE">
              <w:rPr>
                <w:rFonts w:ascii="Calibri" w:eastAsia="Calibri" w:hAnsi="Calibri" w:cs="Times New Roman"/>
                <w:sz w:val="18"/>
                <w:szCs w:val="18"/>
              </w:rPr>
              <w:t>.</w:t>
            </w:r>
            <w:r w:rsidR="004C09EE" w:rsidRPr="004E70CE">
              <w:rPr>
                <w:rFonts w:ascii="Calibri" w:eastAsia="Calibri" w:hAnsi="Calibri" w:cs="Times New Roman"/>
                <w:sz w:val="18"/>
                <w:szCs w:val="18"/>
              </w:rPr>
              <w:t xml:space="preserve"> Uneven coverage of lime production by Safeguard creates domestic leakage risks.</w:t>
            </w:r>
          </w:p>
        </w:tc>
      </w:tr>
      <w:tr w:rsidR="003414E0" w:rsidRPr="004E70CE" w14:paraId="61440AC4" w14:textId="77777777" w:rsidTr="0095651D">
        <w:tc>
          <w:tcPr>
            <w:tcW w:w="9060" w:type="dxa"/>
            <w:gridSpan w:val="4"/>
            <w:shd w:val="clear" w:color="auto" w:fill="auto"/>
            <w:tcMar>
              <w:top w:w="57" w:type="dxa"/>
              <w:bottom w:w="57" w:type="dxa"/>
            </w:tcMar>
          </w:tcPr>
          <w:p w14:paraId="68C178CC" w14:textId="77777777" w:rsidR="003414E0" w:rsidRPr="004E70CE" w:rsidRDefault="003414E0" w:rsidP="003414E0">
            <w:pPr>
              <w:spacing w:after="0" w:line="240" w:lineRule="auto"/>
              <w:rPr>
                <w:rFonts w:ascii="Calibri" w:eastAsia="Calibri" w:hAnsi="Calibri" w:cs="Times New Roman"/>
                <w:b/>
                <w:bCs/>
                <w:sz w:val="18"/>
                <w:szCs w:val="18"/>
              </w:rPr>
            </w:pPr>
            <w:r w:rsidRPr="004E70CE">
              <w:rPr>
                <w:rFonts w:ascii="Calibri" w:eastAsia="Calibri" w:hAnsi="Calibri" w:cs="Times New Roman"/>
                <w:b/>
                <w:bCs/>
                <w:sz w:val="18"/>
                <w:szCs w:val="18"/>
              </w:rPr>
              <w:t xml:space="preserve">Additional </w:t>
            </w:r>
            <w:r w:rsidR="00287007" w:rsidRPr="004E70CE">
              <w:rPr>
                <w:rFonts w:ascii="Calibri" w:eastAsia="Calibri" w:hAnsi="Calibri" w:cs="Times New Roman"/>
                <w:b/>
                <w:bCs/>
                <w:sz w:val="18"/>
                <w:szCs w:val="18"/>
              </w:rPr>
              <w:t xml:space="preserve">leakage </w:t>
            </w:r>
            <w:r w:rsidRPr="004E70CE">
              <w:rPr>
                <w:rFonts w:ascii="Calibri" w:eastAsia="Calibri" w:hAnsi="Calibri" w:cs="Times New Roman"/>
                <w:b/>
                <w:bCs/>
                <w:sz w:val="18"/>
                <w:szCs w:val="18"/>
              </w:rPr>
              <w:t xml:space="preserve">policies </w:t>
            </w:r>
            <w:r w:rsidR="687B9EC7" w:rsidRPr="004E70CE">
              <w:rPr>
                <w:rFonts w:ascii="Calibri" w:eastAsia="Calibri" w:hAnsi="Calibri" w:cs="Times New Roman"/>
                <w:b/>
                <w:bCs/>
                <w:sz w:val="18"/>
                <w:szCs w:val="18"/>
              </w:rPr>
              <w:t xml:space="preserve">potentially </w:t>
            </w:r>
            <w:r w:rsidR="00287007" w:rsidRPr="004E70CE">
              <w:rPr>
                <w:rFonts w:ascii="Calibri" w:eastAsia="Calibri" w:hAnsi="Calibri" w:cs="Times New Roman"/>
                <w:b/>
                <w:bCs/>
                <w:sz w:val="18"/>
                <w:szCs w:val="18"/>
              </w:rPr>
              <w:t>warranted</w:t>
            </w:r>
          </w:p>
        </w:tc>
      </w:tr>
      <w:tr w:rsidR="008C6E57" w:rsidRPr="004E70CE" w14:paraId="7ABDD974" w14:textId="77777777" w:rsidTr="0095651D">
        <w:tc>
          <w:tcPr>
            <w:tcW w:w="1271" w:type="dxa"/>
            <w:tcMar>
              <w:top w:w="57" w:type="dxa"/>
              <w:bottom w:w="57" w:type="dxa"/>
            </w:tcMar>
          </w:tcPr>
          <w:p w14:paraId="0A5DE72F" w14:textId="77777777" w:rsidR="008C6E57" w:rsidRPr="004E70CE" w:rsidRDefault="008C6E57" w:rsidP="008C6E57">
            <w:pPr>
              <w:spacing w:after="0" w:line="240" w:lineRule="auto"/>
              <w:rPr>
                <w:rFonts w:ascii="Calibri" w:eastAsia="Calibri" w:hAnsi="Calibri" w:cs="Times New Roman"/>
                <w:sz w:val="18"/>
                <w:szCs w:val="18"/>
              </w:rPr>
            </w:pPr>
            <w:r w:rsidRPr="004E70CE">
              <w:rPr>
                <w:rFonts w:ascii="Calibri" w:eastAsia="Calibri" w:hAnsi="Calibri" w:cs="Times New Roman"/>
                <w:sz w:val="18"/>
                <w:szCs w:val="18"/>
              </w:rPr>
              <w:t>Ammonia</w:t>
            </w:r>
            <w:r w:rsidR="00287007" w:rsidRPr="004E70CE">
              <w:rPr>
                <w:rFonts w:ascii="Calibri" w:eastAsia="Calibri" w:hAnsi="Calibri" w:cs="Times New Roman"/>
                <w:sz w:val="18"/>
                <w:szCs w:val="18"/>
              </w:rPr>
              <w:t xml:space="preserve"> and derivatives</w:t>
            </w:r>
          </w:p>
        </w:tc>
        <w:tc>
          <w:tcPr>
            <w:tcW w:w="2596" w:type="dxa"/>
            <w:shd w:val="clear" w:color="auto" w:fill="FFEB9C"/>
            <w:tcMar>
              <w:top w:w="57" w:type="dxa"/>
              <w:bottom w:w="57" w:type="dxa"/>
            </w:tcMar>
          </w:tcPr>
          <w:p w14:paraId="4F7AB1B7" w14:textId="77777777" w:rsidR="008C6E57" w:rsidRPr="004E70CE" w:rsidRDefault="006E138F" w:rsidP="006E138F">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 xml:space="preserve">Risks of leakage </w:t>
            </w:r>
            <w:r w:rsidR="00890035" w:rsidRPr="004E70CE">
              <w:rPr>
                <w:rFonts w:ascii="Calibri" w:eastAsia="Calibri" w:hAnsi="Calibri" w:cs="Times New Roman"/>
                <w:sz w:val="18"/>
                <w:szCs w:val="18"/>
              </w:rPr>
              <w:t xml:space="preserve">are </w:t>
            </w:r>
            <w:r w:rsidR="00AA6C3F" w:rsidRPr="004E70CE">
              <w:rPr>
                <w:rFonts w:ascii="Calibri" w:eastAsia="Calibri" w:hAnsi="Calibri" w:cs="Times New Roman"/>
                <w:sz w:val="18"/>
                <w:szCs w:val="18"/>
              </w:rPr>
              <w:t xml:space="preserve">material </w:t>
            </w:r>
            <w:r w:rsidR="00FC136F" w:rsidRPr="004E70CE">
              <w:rPr>
                <w:rFonts w:ascii="Calibri" w:eastAsia="Calibri" w:hAnsi="Calibri" w:cs="Times New Roman"/>
                <w:sz w:val="18"/>
                <w:szCs w:val="18"/>
              </w:rPr>
              <w:t xml:space="preserve">overall </w:t>
            </w:r>
            <w:r w:rsidR="00AA6C3F" w:rsidRPr="004E70CE">
              <w:rPr>
                <w:rFonts w:ascii="Calibri" w:eastAsia="Calibri" w:hAnsi="Calibri" w:cs="Times New Roman"/>
                <w:sz w:val="18"/>
                <w:szCs w:val="18"/>
              </w:rPr>
              <w:t xml:space="preserve">for </w:t>
            </w:r>
            <w:r w:rsidR="005C06C9" w:rsidRPr="004E70CE">
              <w:rPr>
                <w:rFonts w:ascii="Calibri" w:eastAsia="Calibri" w:hAnsi="Calibri" w:cs="Times New Roman"/>
                <w:sz w:val="18"/>
                <w:szCs w:val="18"/>
              </w:rPr>
              <w:t xml:space="preserve">import-facing </w:t>
            </w:r>
            <w:r w:rsidR="00AA6C3F" w:rsidRPr="004E70CE">
              <w:rPr>
                <w:rFonts w:ascii="Calibri" w:eastAsia="Calibri" w:hAnsi="Calibri" w:cs="Times New Roman"/>
                <w:sz w:val="18"/>
                <w:szCs w:val="18"/>
              </w:rPr>
              <w:t>urea</w:t>
            </w:r>
            <w:r w:rsidR="009B5141" w:rsidRPr="004E70CE">
              <w:rPr>
                <w:rFonts w:ascii="Calibri" w:eastAsia="Calibri" w:hAnsi="Calibri" w:cs="Times New Roman"/>
                <w:sz w:val="18"/>
                <w:szCs w:val="18"/>
              </w:rPr>
              <w:t xml:space="preserve"> </w:t>
            </w:r>
            <w:r w:rsidR="003E5E2A" w:rsidRPr="004E70CE">
              <w:rPr>
                <w:rFonts w:ascii="Calibri" w:eastAsia="Calibri" w:hAnsi="Calibri" w:cs="Times New Roman"/>
                <w:sz w:val="18"/>
                <w:szCs w:val="18"/>
              </w:rPr>
              <w:t>production</w:t>
            </w:r>
            <w:r w:rsidR="00CA5028" w:rsidRPr="004E70CE">
              <w:rPr>
                <w:rFonts w:ascii="Calibri" w:eastAsia="Calibri" w:hAnsi="Calibri" w:cs="Times New Roman"/>
                <w:sz w:val="18"/>
                <w:szCs w:val="18"/>
              </w:rPr>
              <w:t>, and</w:t>
            </w:r>
            <w:r w:rsidR="003E5E2A" w:rsidRPr="004E70CE">
              <w:rPr>
                <w:rFonts w:ascii="Calibri" w:eastAsia="Calibri" w:hAnsi="Calibri" w:cs="Times New Roman"/>
                <w:sz w:val="18"/>
                <w:szCs w:val="18"/>
              </w:rPr>
              <w:t xml:space="preserve"> </w:t>
            </w:r>
            <w:r w:rsidR="00523B93" w:rsidRPr="004E70CE">
              <w:rPr>
                <w:rFonts w:ascii="Calibri" w:eastAsia="Calibri" w:hAnsi="Calibri" w:cs="Times New Roman"/>
                <w:sz w:val="18"/>
                <w:szCs w:val="18"/>
              </w:rPr>
              <w:t>approach</w:t>
            </w:r>
            <w:r w:rsidRPr="004E70CE">
              <w:rPr>
                <w:rFonts w:ascii="Calibri" w:eastAsia="Calibri" w:hAnsi="Calibri" w:cs="Times New Roman"/>
                <w:sz w:val="18"/>
                <w:szCs w:val="18"/>
              </w:rPr>
              <w:t xml:space="preserve"> material</w:t>
            </w:r>
            <w:r w:rsidR="00FC545A" w:rsidRPr="004E70CE">
              <w:rPr>
                <w:rFonts w:ascii="Calibri" w:eastAsia="Calibri" w:hAnsi="Calibri" w:cs="Times New Roman"/>
                <w:sz w:val="18"/>
                <w:szCs w:val="18"/>
              </w:rPr>
              <w:t xml:space="preserve"> </w:t>
            </w:r>
            <w:r w:rsidR="005F6325" w:rsidRPr="004E70CE">
              <w:rPr>
                <w:rFonts w:ascii="Calibri" w:eastAsia="Calibri" w:hAnsi="Calibri" w:cs="Times New Roman"/>
                <w:sz w:val="18"/>
                <w:szCs w:val="18"/>
              </w:rPr>
              <w:t xml:space="preserve">levels </w:t>
            </w:r>
            <w:r w:rsidR="00FC545A" w:rsidRPr="004E70CE">
              <w:rPr>
                <w:rFonts w:ascii="Calibri" w:eastAsia="Calibri" w:hAnsi="Calibri" w:cs="Times New Roman"/>
                <w:sz w:val="18"/>
                <w:szCs w:val="18"/>
              </w:rPr>
              <w:t>for ammonia</w:t>
            </w:r>
            <w:r w:rsidR="00DC43DA" w:rsidRPr="004E70CE">
              <w:rPr>
                <w:rFonts w:ascii="Calibri" w:eastAsia="Calibri" w:hAnsi="Calibri" w:cs="Times New Roman"/>
                <w:sz w:val="18"/>
                <w:szCs w:val="18"/>
              </w:rPr>
              <w:t xml:space="preserve"> in export markets</w:t>
            </w:r>
            <w:r w:rsidRPr="004E70CE">
              <w:rPr>
                <w:rFonts w:ascii="Calibri" w:eastAsia="Calibri" w:hAnsi="Calibri" w:cs="Times New Roman"/>
                <w:sz w:val="18"/>
                <w:szCs w:val="18"/>
              </w:rPr>
              <w:t xml:space="preserve">. </w:t>
            </w:r>
          </w:p>
        </w:tc>
        <w:tc>
          <w:tcPr>
            <w:tcW w:w="2596" w:type="dxa"/>
            <w:shd w:val="clear" w:color="auto" w:fill="FFEB9C"/>
            <w:tcMar>
              <w:top w:w="57" w:type="dxa"/>
              <w:bottom w:w="57" w:type="dxa"/>
            </w:tcMar>
          </w:tcPr>
          <w:p w14:paraId="3100A9CD" w14:textId="0D71F3C0" w:rsidR="008C6E57" w:rsidRPr="004E70CE" w:rsidRDefault="36F0F3FF" w:rsidP="006072E9">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P</w:t>
            </w:r>
            <w:r w:rsidR="4CC66660" w:rsidRPr="004E70CE">
              <w:rPr>
                <w:rFonts w:ascii="Calibri" w:eastAsia="Calibri" w:hAnsi="Calibri" w:cs="Times New Roman"/>
                <w:sz w:val="18"/>
                <w:szCs w:val="18"/>
              </w:rPr>
              <w:t>rofit analysis</w:t>
            </w:r>
            <w:r w:rsidRPr="004E70CE">
              <w:rPr>
                <w:rFonts w:ascii="Calibri" w:eastAsia="Calibri" w:hAnsi="Calibri" w:cs="Times New Roman"/>
                <w:sz w:val="18"/>
                <w:szCs w:val="18"/>
              </w:rPr>
              <w:t xml:space="preserve"> places</w:t>
            </w:r>
            <w:r w:rsidR="4CC66660" w:rsidRPr="004E70CE">
              <w:rPr>
                <w:rFonts w:ascii="Calibri" w:eastAsia="Calibri" w:hAnsi="Calibri" w:cs="Times New Roman"/>
                <w:sz w:val="18"/>
                <w:szCs w:val="18"/>
              </w:rPr>
              <w:t xml:space="preserve"> ammonia and derivatives </w:t>
            </w:r>
            <w:r w:rsidRPr="004E70CE">
              <w:rPr>
                <w:rFonts w:ascii="Calibri" w:eastAsia="Calibri" w:hAnsi="Calibri" w:cs="Times New Roman"/>
                <w:sz w:val="18"/>
                <w:szCs w:val="18"/>
              </w:rPr>
              <w:t xml:space="preserve">in the </w:t>
            </w:r>
            <w:r w:rsidR="00C27202" w:rsidRPr="004E70CE">
              <w:rPr>
                <w:rFonts w:ascii="Calibri" w:eastAsia="Calibri" w:hAnsi="Calibri" w:cs="Times New Roman"/>
                <w:sz w:val="18"/>
                <w:szCs w:val="18"/>
              </w:rPr>
              <w:t>industry</w:t>
            </w:r>
            <w:r w:rsidRPr="004E70CE">
              <w:rPr>
                <w:rFonts w:ascii="Calibri" w:eastAsia="Calibri" w:hAnsi="Calibri" w:cs="Times New Roman"/>
                <w:sz w:val="18"/>
                <w:szCs w:val="18"/>
              </w:rPr>
              <w:t xml:space="preserve"> group </w:t>
            </w:r>
            <w:r w:rsidR="4CC66660" w:rsidRPr="004E70CE">
              <w:rPr>
                <w:rFonts w:ascii="Calibri" w:eastAsia="Calibri" w:hAnsi="Calibri" w:cs="Times New Roman"/>
                <w:sz w:val="18"/>
                <w:szCs w:val="18"/>
              </w:rPr>
              <w:t xml:space="preserve">ranked second </w:t>
            </w:r>
            <w:r w:rsidR="6C13E4C8" w:rsidRPr="004E70CE">
              <w:rPr>
                <w:rFonts w:ascii="Calibri" w:eastAsia="Calibri" w:hAnsi="Calibri" w:cs="Times New Roman"/>
                <w:sz w:val="18"/>
                <w:szCs w:val="18"/>
              </w:rPr>
              <w:t xml:space="preserve">most </w:t>
            </w:r>
            <w:r w:rsidR="4CC66660" w:rsidRPr="004E70CE">
              <w:rPr>
                <w:rFonts w:ascii="Calibri" w:eastAsia="Calibri" w:hAnsi="Calibri" w:cs="Times New Roman"/>
                <w:sz w:val="18"/>
                <w:szCs w:val="18"/>
              </w:rPr>
              <w:t>vulnerab</w:t>
            </w:r>
            <w:r w:rsidR="6C13E4C8" w:rsidRPr="004E70CE">
              <w:rPr>
                <w:rFonts w:ascii="Calibri" w:eastAsia="Calibri" w:hAnsi="Calibri" w:cs="Times New Roman"/>
                <w:sz w:val="18"/>
                <w:szCs w:val="18"/>
              </w:rPr>
              <w:t>le</w:t>
            </w:r>
            <w:r w:rsidR="4CC66660" w:rsidRPr="004E70CE">
              <w:rPr>
                <w:rFonts w:ascii="Calibri" w:eastAsia="Calibri" w:hAnsi="Calibri" w:cs="Times New Roman"/>
                <w:sz w:val="18"/>
                <w:szCs w:val="18"/>
              </w:rPr>
              <w:t xml:space="preserve"> to investment leakage. </w:t>
            </w:r>
            <w:r w:rsidR="1AD87696" w:rsidRPr="004E70CE">
              <w:rPr>
                <w:rFonts w:ascii="Calibri" w:eastAsia="Calibri" w:hAnsi="Calibri" w:cs="Times New Roman"/>
                <w:sz w:val="18"/>
                <w:szCs w:val="18"/>
              </w:rPr>
              <w:t>Trade leakage risk is high for urea.</w:t>
            </w:r>
          </w:p>
        </w:tc>
        <w:tc>
          <w:tcPr>
            <w:tcW w:w="2597" w:type="dxa"/>
            <w:shd w:val="clear" w:color="auto" w:fill="FFCCCC"/>
            <w:tcMar>
              <w:top w:w="57" w:type="dxa"/>
              <w:bottom w:w="57" w:type="dxa"/>
            </w:tcMar>
          </w:tcPr>
          <w:p w14:paraId="017EDBAB" w14:textId="279DF80A" w:rsidR="008C6E57" w:rsidRPr="004E70CE" w:rsidRDefault="00AC1BE6" w:rsidP="000746A3">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 xml:space="preserve">Industry stakeholders </w:t>
            </w:r>
            <w:r w:rsidR="003E3B31" w:rsidRPr="004E70CE">
              <w:rPr>
                <w:rFonts w:ascii="Calibri" w:eastAsia="Calibri" w:hAnsi="Calibri" w:cs="Times New Roman"/>
                <w:sz w:val="18"/>
                <w:szCs w:val="18"/>
              </w:rPr>
              <w:t xml:space="preserve">note risks of leakage in absence of longer-term solutions such as a </w:t>
            </w:r>
            <w:r w:rsidR="00F32089" w:rsidRPr="004E70CE">
              <w:rPr>
                <w:rFonts w:ascii="Calibri" w:eastAsia="Calibri" w:hAnsi="Calibri" w:cs="Times New Roman"/>
                <w:sz w:val="18"/>
                <w:szCs w:val="18"/>
              </w:rPr>
              <w:t>border carbon adjustment</w:t>
            </w:r>
            <w:r w:rsidR="003E3B31" w:rsidRPr="004E70CE">
              <w:rPr>
                <w:rFonts w:ascii="Calibri" w:eastAsia="Calibri" w:hAnsi="Calibri" w:cs="Times New Roman"/>
                <w:sz w:val="18"/>
                <w:szCs w:val="18"/>
              </w:rPr>
              <w:t xml:space="preserve">. </w:t>
            </w:r>
          </w:p>
        </w:tc>
      </w:tr>
      <w:tr w:rsidR="008C6E57" w:rsidRPr="004E70CE" w14:paraId="49B9755D" w14:textId="77777777" w:rsidTr="0095651D">
        <w:tc>
          <w:tcPr>
            <w:tcW w:w="1271" w:type="dxa"/>
            <w:tcMar>
              <w:top w:w="57" w:type="dxa"/>
              <w:bottom w:w="57" w:type="dxa"/>
            </w:tcMar>
          </w:tcPr>
          <w:p w14:paraId="604C2908" w14:textId="77777777" w:rsidR="008C6E57" w:rsidRPr="004E70CE" w:rsidRDefault="008C6E57" w:rsidP="008C6E57">
            <w:pPr>
              <w:spacing w:after="0" w:line="240" w:lineRule="auto"/>
              <w:rPr>
                <w:rFonts w:ascii="Calibri" w:eastAsia="Calibri" w:hAnsi="Calibri" w:cs="Times New Roman"/>
                <w:sz w:val="18"/>
                <w:szCs w:val="18"/>
              </w:rPr>
            </w:pPr>
            <w:r w:rsidRPr="004E70CE">
              <w:rPr>
                <w:rFonts w:ascii="Calibri" w:eastAsia="Calibri" w:hAnsi="Calibri" w:cs="Times New Roman"/>
                <w:sz w:val="18"/>
                <w:szCs w:val="18"/>
              </w:rPr>
              <w:t>Steel</w:t>
            </w:r>
          </w:p>
        </w:tc>
        <w:tc>
          <w:tcPr>
            <w:tcW w:w="2596" w:type="dxa"/>
            <w:shd w:val="clear" w:color="auto" w:fill="FFEB9C"/>
            <w:tcMar>
              <w:top w:w="57" w:type="dxa"/>
              <w:bottom w:w="57" w:type="dxa"/>
            </w:tcMar>
          </w:tcPr>
          <w:p w14:paraId="64CF00E1" w14:textId="77777777" w:rsidR="00572333" w:rsidRPr="004E70CE" w:rsidRDefault="008E7CE7" w:rsidP="006072E9">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O</w:t>
            </w:r>
            <w:r w:rsidR="00141D86" w:rsidRPr="004E70CE">
              <w:rPr>
                <w:rFonts w:ascii="Calibri" w:eastAsia="Calibri" w:hAnsi="Calibri" w:cs="Times New Roman"/>
                <w:sz w:val="18"/>
                <w:szCs w:val="18"/>
              </w:rPr>
              <w:t>verall</w:t>
            </w:r>
            <w:r w:rsidRPr="004E70CE">
              <w:rPr>
                <w:rFonts w:ascii="Calibri" w:eastAsia="Calibri" w:hAnsi="Calibri" w:cs="Times New Roman"/>
                <w:sz w:val="18"/>
                <w:szCs w:val="18"/>
              </w:rPr>
              <w:t>, r</w:t>
            </w:r>
            <w:r w:rsidR="00895037" w:rsidRPr="004E70CE">
              <w:rPr>
                <w:rFonts w:ascii="Calibri" w:eastAsia="Calibri" w:hAnsi="Calibri" w:cs="Times New Roman"/>
                <w:sz w:val="18"/>
                <w:szCs w:val="18"/>
              </w:rPr>
              <w:t xml:space="preserve">isks of leakage are </w:t>
            </w:r>
            <w:r w:rsidR="00817843" w:rsidRPr="004E70CE">
              <w:rPr>
                <w:rFonts w:ascii="Calibri" w:eastAsia="Calibri" w:hAnsi="Calibri" w:cs="Times New Roman"/>
                <w:sz w:val="18"/>
                <w:szCs w:val="18"/>
              </w:rPr>
              <w:t xml:space="preserve">material </w:t>
            </w:r>
            <w:r w:rsidR="00CD7D4F" w:rsidRPr="004E70CE">
              <w:rPr>
                <w:rFonts w:ascii="Calibri" w:eastAsia="Calibri" w:hAnsi="Calibri" w:cs="Times New Roman"/>
                <w:sz w:val="18"/>
                <w:szCs w:val="18"/>
              </w:rPr>
              <w:t xml:space="preserve">for crude and treated flat steel </w:t>
            </w:r>
            <w:r w:rsidRPr="004E70CE">
              <w:rPr>
                <w:rFonts w:ascii="Calibri" w:eastAsia="Calibri" w:hAnsi="Calibri" w:cs="Times New Roman"/>
                <w:sz w:val="18"/>
                <w:szCs w:val="18"/>
              </w:rPr>
              <w:t xml:space="preserve">especially </w:t>
            </w:r>
            <w:r w:rsidR="00CD7D4F" w:rsidRPr="004E70CE">
              <w:rPr>
                <w:rFonts w:ascii="Calibri" w:eastAsia="Calibri" w:hAnsi="Calibri" w:cs="Times New Roman"/>
                <w:sz w:val="18"/>
                <w:szCs w:val="18"/>
              </w:rPr>
              <w:t xml:space="preserve">in export markets, and </w:t>
            </w:r>
            <w:r w:rsidR="005A38B0" w:rsidRPr="004E70CE">
              <w:rPr>
                <w:rFonts w:ascii="Calibri" w:eastAsia="Calibri" w:hAnsi="Calibri" w:cs="Times New Roman"/>
                <w:sz w:val="18"/>
                <w:szCs w:val="18"/>
              </w:rPr>
              <w:t xml:space="preserve">approaching </w:t>
            </w:r>
            <w:r w:rsidR="00895037" w:rsidRPr="004E70CE">
              <w:rPr>
                <w:rFonts w:ascii="Calibri" w:eastAsia="Calibri" w:hAnsi="Calibri" w:cs="Times New Roman"/>
                <w:sz w:val="18"/>
                <w:szCs w:val="18"/>
              </w:rPr>
              <w:t>material</w:t>
            </w:r>
            <w:r w:rsidRPr="004E70CE">
              <w:rPr>
                <w:rFonts w:ascii="Calibri" w:eastAsia="Calibri" w:hAnsi="Calibri" w:cs="Times New Roman"/>
                <w:sz w:val="18"/>
                <w:szCs w:val="18"/>
              </w:rPr>
              <w:t xml:space="preserve"> </w:t>
            </w:r>
            <w:r w:rsidR="005A38B0" w:rsidRPr="004E70CE">
              <w:rPr>
                <w:rFonts w:ascii="Calibri" w:eastAsia="Calibri" w:hAnsi="Calibri" w:cs="Times New Roman"/>
                <w:sz w:val="18"/>
                <w:szCs w:val="18"/>
              </w:rPr>
              <w:t xml:space="preserve">levels </w:t>
            </w:r>
            <w:r w:rsidRPr="004E70CE">
              <w:rPr>
                <w:rFonts w:ascii="Calibri" w:eastAsia="Calibri" w:hAnsi="Calibri" w:cs="Times New Roman"/>
                <w:sz w:val="18"/>
                <w:szCs w:val="18"/>
              </w:rPr>
              <w:t xml:space="preserve">for </w:t>
            </w:r>
            <w:r w:rsidR="00141D86" w:rsidRPr="004E70CE">
              <w:rPr>
                <w:rFonts w:ascii="Calibri" w:eastAsia="Calibri" w:hAnsi="Calibri" w:cs="Times New Roman"/>
                <w:sz w:val="18"/>
                <w:szCs w:val="18"/>
              </w:rPr>
              <w:t xml:space="preserve">flat and long </w:t>
            </w:r>
            <w:r w:rsidRPr="004E70CE">
              <w:rPr>
                <w:rFonts w:ascii="Calibri" w:eastAsia="Calibri" w:hAnsi="Calibri" w:cs="Times New Roman"/>
                <w:sz w:val="18"/>
                <w:szCs w:val="18"/>
              </w:rPr>
              <w:t xml:space="preserve">steel in </w:t>
            </w:r>
            <w:r w:rsidR="00141D86" w:rsidRPr="004E70CE">
              <w:rPr>
                <w:rFonts w:ascii="Calibri" w:eastAsia="Calibri" w:hAnsi="Calibri" w:cs="Times New Roman"/>
                <w:sz w:val="18"/>
                <w:szCs w:val="18"/>
              </w:rPr>
              <w:t xml:space="preserve">domestic and export </w:t>
            </w:r>
            <w:r w:rsidRPr="004E70CE">
              <w:rPr>
                <w:rFonts w:ascii="Calibri" w:eastAsia="Calibri" w:hAnsi="Calibri" w:cs="Times New Roman"/>
                <w:sz w:val="18"/>
                <w:szCs w:val="18"/>
              </w:rPr>
              <w:t>markets</w:t>
            </w:r>
            <w:r w:rsidR="00895037" w:rsidRPr="004E70CE">
              <w:rPr>
                <w:rFonts w:ascii="Calibri" w:eastAsia="Calibri" w:hAnsi="Calibri" w:cs="Times New Roman"/>
                <w:sz w:val="18"/>
                <w:szCs w:val="18"/>
              </w:rPr>
              <w:t xml:space="preserve">. </w:t>
            </w:r>
          </w:p>
        </w:tc>
        <w:tc>
          <w:tcPr>
            <w:tcW w:w="2596" w:type="dxa"/>
            <w:shd w:val="clear" w:color="auto" w:fill="FFEB9C"/>
            <w:tcMar>
              <w:top w:w="57" w:type="dxa"/>
              <w:bottom w:w="57" w:type="dxa"/>
            </w:tcMar>
          </w:tcPr>
          <w:p w14:paraId="7461A3EF" w14:textId="77777777" w:rsidR="008C6E57" w:rsidRPr="004E70CE" w:rsidRDefault="00F15F35" w:rsidP="006072E9">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 xml:space="preserve">Trade leakage </w:t>
            </w:r>
            <w:r w:rsidR="56AC36BD" w:rsidRPr="004E70CE">
              <w:rPr>
                <w:rFonts w:ascii="Calibri" w:eastAsia="Calibri" w:hAnsi="Calibri" w:cs="Times New Roman"/>
                <w:sz w:val="18"/>
                <w:szCs w:val="18"/>
              </w:rPr>
              <w:t>risks</w:t>
            </w:r>
            <w:r w:rsidR="5ABD65D1" w:rsidRPr="004E70CE">
              <w:rPr>
                <w:rFonts w:ascii="Calibri" w:eastAsia="Calibri" w:hAnsi="Calibri" w:cs="Times New Roman"/>
                <w:sz w:val="18"/>
                <w:szCs w:val="18"/>
              </w:rPr>
              <w:t xml:space="preserve"> </w:t>
            </w:r>
            <w:r w:rsidR="394372DA" w:rsidRPr="004E70CE">
              <w:rPr>
                <w:rFonts w:ascii="Calibri" w:eastAsia="Calibri" w:hAnsi="Calibri" w:cs="Times New Roman"/>
                <w:sz w:val="18"/>
                <w:szCs w:val="18"/>
              </w:rPr>
              <w:t>are</w:t>
            </w:r>
            <w:r w:rsidRPr="004E70CE">
              <w:rPr>
                <w:rFonts w:ascii="Calibri" w:eastAsia="Calibri" w:hAnsi="Calibri" w:cs="Times New Roman"/>
                <w:sz w:val="18"/>
                <w:szCs w:val="18"/>
              </w:rPr>
              <w:t xml:space="preserve"> generally modest </w:t>
            </w:r>
            <w:r w:rsidR="008B1B62" w:rsidRPr="004E70CE">
              <w:rPr>
                <w:rFonts w:ascii="Calibri" w:eastAsia="Calibri" w:hAnsi="Calibri" w:cs="Times New Roman"/>
                <w:sz w:val="18"/>
                <w:szCs w:val="18"/>
              </w:rPr>
              <w:t xml:space="preserve">for most commodities </w:t>
            </w:r>
            <w:r w:rsidRPr="004E70CE">
              <w:rPr>
                <w:rFonts w:ascii="Calibri" w:eastAsia="Calibri" w:hAnsi="Calibri" w:cs="Times New Roman"/>
                <w:sz w:val="18"/>
                <w:szCs w:val="18"/>
              </w:rPr>
              <w:t xml:space="preserve">but </w:t>
            </w:r>
            <w:r w:rsidR="00956D89" w:rsidRPr="004E70CE">
              <w:rPr>
                <w:rFonts w:ascii="Calibri" w:eastAsia="Calibri" w:hAnsi="Calibri" w:cs="Times New Roman"/>
                <w:sz w:val="18"/>
                <w:szCs w:val="18"/>
              </w:rPr>
              <w:t xml:space="preserve">could reach </w:t>
            </w:r>
            <w:r w:rsidRPr="004E70CE">
              <w:rPr>
                <w:rFonts w:ascii="Calibri" w:eastAsia="Calibri" w:hAnsi="Calibri" w:cs="Times New Roman"/>
                <w:sz w:val="18"/>
                <w:szCs w:val="18"/>
              </w:rPr>
              <w:t xml:space="preserve">material </w:t>
            </w:r>
            <w:r w:rsidR="00956D89" w:rsidRPr="004E70CE">
              <w:rPr>
                <w:rFonts w:ascii="Calibri" w:eastAsia="Calibri" w:hAnsi="Calibri" w:cs="Times New Roman"/>
                <w:sz w:val="18"/>
                <w:szCs w:val="18"/>
              </w:rPr>
              <w:t xml:space="preserve">levels </w:t>
            </w:r>
            <w:r w:rsidRPr="004E70CE">
              <w:rPr>
                <w:rFonts w:ascii="Calibri" w:eastAsia="Calibri" w:hAnsi="Calibri" w:cs="Times New Roman"/>
                <w:sz w:val="18"/>
                <w:szCs w:val="18"/>
              </w:rPr>
              <w:t xml:space="preserve">for </w:t>
            </w:r>
            <w:r w:rsidR="00895037" w:rsidRPr="004E70CE">
              <w:rPr>
                <w:rFonts w:ascii="Calibri" w:eastAsia="Calibri" w:hAnsi="Calibri" w:cs="Times New Roman"/>
                <w:sz w:val="18"/>
                <w:szCs w:val="18"/>
              </w:rPr>
              <w:t xml:space="preserve">crude and treated flat </w:t>
            </w:r>
            <w:r w:rsidRPr="004E70CE">
              <w:rPr>
                <w:rFonts w:ascii="Calibri" w:eastAsia="Calibri" w:hAnsi="Calibri" w:cs="Times New Roman"/>
                <w:sz w:val="18"/>
                <w:szCs w:val="18"/>
              </w:rPr>
              <w:t xml:space="preserve">steel in export markets. Steel is </w:t>
            </w:r>
            <w:r w:rsidR="004C4590" w:rsidRPr="004E70CE">
              <w:rPr>
                <w:rFonts w:ascii="Calibri" w:eastAsia="Calibri" w:hAnsi="Calibri" w:cs="Times New Roman"/>
                <w:sz w:val="18"/>
                <w:szCs w:val="18"/>
              </w:rPr>
              <w:t xml:space="preserve">in the sectoral group </w:t>
            </w:r>
            <w:r w:rsidRPr="004E70CE">
              <w:rPr>
                <w:rFonts w:ascii="Calibri" w:eastAsia="Calibri" w:hAnsi="Calibri" w:cs="Times New Roman"/>
                <w:sz w:val="18"/>
                <w:szCs w:val="18"/>
              </w:rPr>
              <w:t xml:space="preserve">ranked </w:t>
            </w:r>
            <w:r w:rsidR="004C4590" w:rsidRPr="004E70CE">
              <w:rPr>
                <w:rFonts w:ascii="Calibri" w:eastAsia="Calibri" w:hAnsi="Calibri" w:cs="Times New Roman"/>
                <w:sz w:val="18"/>
                <w:szCs w:val="18"/>
              </w:rPr>
              <w:t xml:space="preserve">third most vulnerable to </w:t>
            </w:r>
            <w:r w:rsidRPr="004E70CE">
              <w:rPr>
                <w:rFonts w:ascii="Calibri" w:eastAsia="Calibri" w:hAnsi="Calibri" w:cs="Times New Roman"/>
                <w:sz w:val="18"/>
                <w:szCs w:val="18"/>
              </w:rPr>
              <w:t>investment leakage, based on profit analysis.</w:t>
            </w:r>
            <w:r w:rsidR="00A32CE3" w:rsidRPr="004E70CE">
              <w:rPr>
                <w:rFonts w:ascii="Calibri" w:eastAsia="Calibri" w:hAnsi="Calibri" w:cs="Times New Roman"/>
                <w:sz w:val="18"/>
                <w:szCs w:val="18"/>
              </w:rPr>
              <w:t xml:space="preserve"> </w:t>
            </w:r>
          </w:p>
        </w:tc>
        <w:tc>
          <w:tcPr>
            <w:tcW w:w="2597" w:type="dxa"/>
            <w:shd w:val="clear" w:color="auto" w:fill="FFCCCC"/>
            <w:tcMar>
              <w:top w:w="57" w:type="dxa"/>
              <w:bottom w:w="57" w:type="dxa"/>
            </w:tcMar>
          </w:tcPr>
          <w:p w14:paraId="60DAECC0" w14:textId="72417045" w:rsidR="008C6E57" w:rsidRPr="004E70CE" w:rsidRDefault="00AC1BE6" w:rsidP="00C41D57">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 xml:space="preserve">Industry stakeholders </w:t>
            </w:r>
            <w:r w:rsidR="00C41D57" w:rsidRPr="004E70CE">
              <w:rPr>
                <w:rFonts w:ascii="Calibri" w:eastAsia="Calibri" w:hAnsi="Calibri" w:cs="Times New Roman"/>
                <w:sz w:val="18"/>
                <w:szCs w:val="18"/>
              </w:rPr>
              <w:t xml:space="preserve">note risks of leakage in absence of longer-term solutions such as a </w:t>
            </w:r>
            <w:r w:rsidR="00F32089" w:rsidRPr="004E70CE">
              <w:rPr>
                <w:rFonts w:ascii="Calibri" w:eastAsia="Calibri" w:hAnsi="Calibri" w:cs="Times New Roman"/>
                <w:sz w:val="18"/>
                <w:szCs w:val="18"/>
              </w:rPr>
              <w:t>border carbon adjustment</w:t>
            </w:r>
            <w:r w:rsidR="00C41D57" w:rsidRPr="004E70CE">
              <w:rPr>
                <w:rFonts w:ascii="Calibri" w:eastAsia="Calibri" w:hAnsi="Calibri" w:cs="Times New Roman"/>
                <w:sz w:val="18"/>
                <w:szCs w:val="18"/>
              </w:rPr>
              <w:t xml:space="preserve">, </w:t>
            </w:r>
            <w:r w:rsidR="00180671" w:rsidRPr="004E70CE">
              <w:rPr>
                <w:rFonts w:ascii="Calibri" w:eastAsia="Calibri" w:hAnsi="Calibri" w:cs="Times New Roman"/>
                <w:sz w:val="18"/>
                <w:szCs w:val="18"/>
              </w:rPr>
              <w:t xml:space="preserve">but also stress the </w:t>
            </w:r>
            <w:r w:rsidR="00C41D57" w:rsidRPr="004E70CE">
              <w:rPr>
                <w:rFonts w:ascii="Calibri" w:eastAsia="Calibri" w:hAnsi="Calibri" w:cs="Times New Roman"/>
                <w:sz w:val="18"/>
                <w:szCs w:val="18"/>
              </w:rPr>
              <w:t>need for careful design due to complexities of the sector. Green metals</w:t>
            </w:r>
            <w:r w:rsidR="003B19AF" w:rsidRPr="004E70CE">
              <w:rPr>
                <w:rFonts w:ascii="Calibri" w:eastAsia="Calibri" w:hAnsi="Calibri" w:cs="Times New Roman"/>
                <w:sz w:val="18"/>
                <w:szCs w:val="18"/>
              </w:rPr>
              <w:t xml:space="preserve"> </w:t>
            </w:r>
            <w:r w:rsidR="00C41D57" w:rsidRPr="004E70CE">
              <w:rPr>
                <w:rFonts w:ascii="Calibri" w:eastAsia="Calibri" w:hAnsi="Calibri" w:cs="Times New Roman"/>
                <w:sz w:val="18"/>
                <w:szCs w:val="18"/>
              </w:rPr>
              <w:t xml:space="preserve">are a </w:t>
            </w:r>
            <w:r w:rsidR="00180671" w:rsidRPr="004E70CE">
              <w:rPr>
                <w:rFonts w:ascii="Calibri" w:eastAsia="Calibri" w:hAnsi="Calibri" w:cs="Times New Roman"/>
                <w:sz w:val="18"/>
                <w:szCs w:val="18"/>
              </w:rPr>
              <w:t xml:space="preserve">strategic </w:t>
            </w:r>
            <w:r w:rsidR="00C41D57" w:rsidRPr="004E70CE">
              <w:rPr>
                <w:rFonts w:ascii="Calibri" w:eastAsia="Calibri" w:hAnsi="Calibri" w:cs="Times New Roman"/>
                <w:sz w:val="18"/>
                <w:szCs w:val="18"/>
              </w:rPr>
              <w:t xml:space="preserve">priority </w:t>
            </w:r>
            <w:r w:rsidR="003B19AF" w:rsidRPr="004E70CE">
              <w:rPr>
                <w:rFonts w:ascii="Calibri" w:eastAsia="Calibri" w:hAnsi="Calibri" w:cs="Times New Roman"/>
                <w:sz w:val="18"/>
                <w:szCs w:val="18"/>
              </w:rPr>
              <w:t xml:space="preserve">under </w:t>
            </w:r>
            <w:r w:rsidR="47310E21" w:rsidRPr="004E70CE">
              <w:rPr>
                <w:rFonts w:ascii="Calibri" w:eastAsia="Calibri" w:hAnsi="Calibri" w:cs="Times New Roman"/>
                <w:sz w:val="18"/>
                <w:szCs w:val="18"/>
              </w:rPr>
              <w:t xml:space="preserve">Australia’s </w:t>
            </w:r>
            <w:r w:rsidR="000B386D" w:rsidRPr="004E70CE">
              <w:rPr>
                <w:rFonts w:ascii="Calibri" w:eastAsia="Calibri" w:hAnsi="Calibri" w:cs="Times New Roman"/>
                <w:sz w:val="18"/>
                <w:szCs w:val="18"/>
              </w:rPr>
              <w:t>r</w:t>
            </w:r>
            <w:r w:rsidR="47310E21" w:rsidRPr="004E70CE">
              <w:rPr>
                <w:rFonts w:ascii="Calibri" w:eastAsia="Calibri" w:hAnsi="Calibri" w:cs="Times New Roman"/>
                <w:sz w:val="18"/>
                <w:szCs w:val="18"/>
              </w:rPr>
              <w:t xml:space="preserve">enewable </w:t>
            </w:r>
            <w:r w:rsidR="000B386D" w:rsidRPr="004E70CE">
              <w:rPr>
                <w:rFonts w:ascii="Calibri" w:eastAsia="Calibri" w:hAnsi="Calibri" w:cs="Times New Roman"/>
                <w:sz w:val="18"/>
                <w:szCs w:val="18"/>
              </w:rPr>
              <w:t>e</w:t>
            </w:r>
            <w:r w:rsidR="47310E21" w:rsidRPr="004E70CE">
              <w:rPr>
                <w:rFonts w:ascii="Calibri" w:eastAsia="Calibri" w:hAnsi="Calibri" w:cs="Times New Roman"/>
                <w:sz w:val="18"/>
                <w:szCs w:val="18"/>
              </w:rPr>
              <w:t xml:space="preserve">nergy </w:t>
            </w:r>
            <w:r w:rsidR="000B386D" w:rsidRPr="004E70CE">
              <w:rPr>
                <w:rFonts w:ascii="Calibri" w:eastAsia="Calibri" w:hAnsi="Calibri" w:cs="Times New Roman"/>
                <w:sz w:val="18"/>
                <w:szCs w:val="18"/>
              </w:rPr>
              <w:t>s</w:t>
            </w:r>
            <w:r w:rsidR="47310E21" w:rsidRPr="004E70CE">
              <w:rPr>
                <w:rFonts w:ascii="Calibri" w:eastAsia="Calibri" w:hAnsi="Calibri" w:cs="Times New Roman"/>
                <w:sz w:val="18"/>
                <w:szCs w:val="18"/>
              </w:rPr>
              <w:t>uperpower objectives</w:t>
            </w:r>
            <w:r w:rsidR="00C41D57" w:rsidRPr="004E70CE">
              <w:rPr>
                <w:rFonts w:ascii="Calibri" w:eastAsia="Calibri" w:hAnsi="Calibri" w:cs="Times New Roman"/>
                <w:sz w:val="18"/>
                <w:szCs w:val="18"/>
              </w:rPr>
              <w:t>.</w:t>
            </w:r>
          </w:p>
        </w:tc>
      </w:tr>
      <w:tr w:rsidR="008C6E57" w:rsidRPr="004E70CE" w14:paraId="0C8AF582" w14:textId="77777777" w:rsidTr="00056530">
        <w:tc>
          <w:tcPr>
            <w:tcW w:w="1271" w:type="dxa"/>
            <w:tcMar>
              <w:top w:w="57" w:type="dxa"/>
              <w:bottom w:w="57" w:type="dxa"/>
            </w:tcMar>
          </w:tcPr>
          <w:p w14:paraId="6AD85509" w14:textId="77777777" w:rsidR="008C6E57" w:rsidRPr="004E70CE" w:rsidRDefault="008C6E57" w:rsidP="008C6E57">
            <w:pPr>
              <w:spacing w:after="0" w:line="240" w:lineRule="auto"/>
              <w:rPr>
                <w:rFonts w:ascii="Calibri" w:eastAsia="Calibri" w:hAnsi="Calibri" w:cs="Times New Roman"/>
                <w:sz w:val="18"/>
                <w:szCs w:val="18"/>
              </w:rPr>
            </w:pPr>
            <w:r w:rsidRPr="004E70CE">
              <w:rPr>
                <w:rFonts w:ascii="Calibri" w:eastAsia="Calibri" w:hAnsi="Calibri" w:cs="Times New Roman"/>
                <w:sz w:val="18"/>
                <w:szCs w:val="18"/>
              </w:rPr>
              <w:t>Glass</w:t>
            </w:r>
          </w:p>
        </w:tc>
        <w:tc>
          <w:tcPr>
            <w:tcW w:w="2596" w:type="dxa"/>
            <w:shd w:val="clear" w:color="auto" w:fill="FFEB9C"/>
            <w:tcMar>
              <w:top w:w="57" w:type="dxa"/>
              <w:bottom w:w="57" w:type="dxa"/>
            </w:tcMar>
          </w:tcPr>
          <w:p w14:paraId="08433BD3" w14:textId="77777777" w:rsidR="008C6E57" w:rsidRPr="004E70CE" w:rsidRDefault="00502847" w:rsidP="006072E9">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Risks of leakage are material</w:t>
            </w:r>
            <w:r w:rsidR="00A50A02" w:rsidRPr="004E70CE">
              <w:rPr>
                <w:rFonts w:ascii="Calibri" w:eastAsia="Calibri" w:hAnsi="Calibri" w:cs="Times New Roman"/>
                <w:sz w:val="18"/>
                <w:szCs w:val="18"/>
              </w:rPr>
              <w:t xml:space="preserve"> for import-facing production</w:t>
            </w:r>
            <w:r w:rsidR="00E1316C" w:rsidRPr="004E70CE">
              <w:rPr>
                <w:rFonts w:ascii="Calibri" w:eastAsia="Calibri" w:hAnsi="Calibri" w:cs="Times New Roman"/>
                <w:sz w:val="18"/>
                <w:szCs w:val="18"/>
              </w:rPr>
              <w:t xml:space="preserve"> for glass containers and </w:t>
            </w:r>
            <w:r w:rsidR="0063681C" w:rsidRPr="004E70CE">
              <w:rPr>
                <w:rFonts w:ascii="Calibri" w:eastAsia="Calibri" w:hAnsi="Calibri" w:cs="Times New Roman"/>
                <w:sz w:val="18"/>
                <w:szCs w:val="18"/>
              </w:rPr>
              <w:t xml:space="preserve">potentially material for </w:t>
            </w:r>
            <w:r w:rsidR="00E1316C" w:rsidRPr="004E70CE">
              <w:rPr>
                <w:rFonts w:ascii="Calibri" w:eastAsia="Calibri" w:hAnsi="Calibri" w:cs="Times New Roman"/>
                <w:sz w:val="18"/>
                <w:szCs w:val="18"/>
              </w:rPr>
              <w:t>flat glass</w:t>
            </w:r>
            <w:r w:rsidRPr="004E70CE">
              <w:rPr>
                <w:rFonts w:ascii="Calibri" w:eastAsia="Calibri" w:hAnsi="Calibri" w:cs="Times New Roman"/>
                <w:sz w:val="18"/>
                <w:szCs w:val="18"/>
              </w:rPr>
              <w:t xml:space="preserve">. </w:t>
            </w:r>
          </w:p>
        </w:tc>
        <w:tc>
          <w:tcPr>
            <w:tcW w:w="2596" w:type="dxa"/>
            <w:shd w:val="clear" w:color="auto" w:fill="FFEB9C"/>
            <w:tcMar>
              <w:top w:w="57" w:type="dxa"/>
              <w:bottom w:w="57" w:type="dxa"/>
            </w:tcMar>
          </w:tcPr>
          <w:p w14:paraId="165AC361" w14:textId="537D02B2" w:rsidR="008C6E57" w:rsidRPr="004E70CE" w:rsidRDefault="00E074BB" w:rsidP="006072E9">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Estimated t</w:t>
            </w:r>
            <w:r w:rsidR="00DD35A8" w:rsidRPr="004E70CE">
              <w:rPr>
                <w:rFonts w:ascii="Calibri" w:eastAsia="Calibri" w:hAnsi="Calibri" w:cs="Times New Roman"/>
                <w:sz w:val="18"/>
                <w:szCs w:val="18"/>
              </w:rPr>
              <w:t xml:space="preserve">rade leakage </w:t>
            </w:r>
            <w:r w:rsidR="00523604" w:rsidRPr="004E70CE">
              <w:rPr>
                <w:rFonts w:ascii="Calibri" w:eastAsia="Calibri" w:hAnsi="Calibri" w:cs="Times New Roman"/>
                <w:sz w:val="18"/>
                <w:szCs w:val="18"/>
              </w:rPr>
              <w:t xml:space="preserve">is </w:t>
            </w:r>
            <w:r w:rsidR="00F20C2D" w:rsidRPr="004E70CE">
              <w:rPr>
                <w:rFonts w:ascii="Calibri" w:eastAsia="Calibri" w:hAnsi="Calibri" w:cs="Times New Roman"/>
                <w:sz w:val="18"/>
                <w:szCs w:val="18"/>
              </w:rPr>
              <w:t xml:space="preserve">low for </w:t>
            </w:r>
            <w:r w:rsidR="0063681C" w:rsidRPr="004E70CE">
              <w:rPr>
                <w:rFonts w:ascii="Calibri" w:eastAsia="Calibri" w:hAnsi="Calibri" w:cs="Times New Roman"/>
                <w:sz w:val="18"/>
                <w:szCs w:val="18"/>
              </w:rPr>
              <w:t xml:space="preserve">both types of </w:t>
            </w:r>
            <w:r w:rsidR="00F20C2D" w:rsidRPr="004E70CE">
              <w:rPr>
                <w:rFonts w:ascii="Calibri" w:eastAsia="Calibri" w:hAnsi="Calibri" w:cs="Times New Roman"/>
                <w:sz w:val="18"/>
                <w:szCs w:val="18"/>
              </w:rPr>
              <w:t>glass</w:t>
            </w:r>
            <w:r w:rsidR="00DD35A8" w:rsidRPr="004E70CE">
              <w:rPr>
                <w:rFonts w:ascii="Calibri" w:eastAsia="Calibri" w:hAnsi="Calibri" w:cs="Times New Roman"/>
                <w:sz w:val="18"/>
                <w:szCs w:val="18"/>
              </w:rPr>
              <w:t xml:space="preserve">. </w:t>
            </w:r>
            <w:r w:rsidR="00523604" w:rsidRPr="004E70CE">
              <w:rPr>
                <w:rFonts w:ascii="Calibri" w:eastAsia="Calibri" w:hAnsi="Calibri" w:cs="Times New Roman"/>
                <w:sz w:val="18"/>
                <w:szCs w:val="18"/>
              </w:rPr>
              <w:t>However, b</w:t>
            </w:r>
            <w:r w:rsidR="00DD35A8" w:rsidRPr="004E70CE">
              <w:rPr>
                <w:rFonts w:ascii="Calibri" w:eastAsia="Calibri" w:hAnsi="Calibri" w:cs="Times New Roman"/>
                <w:sz w:val="18"/>
                <w:szCs w:val="18"/>
              </w:rPr>
              <w:t>ased on profit analysis, glass is among the sectors most vulnerable to investment leakage.</w:t>
            </w:r>
          </w:p>
        </w:tc>
        <w:tc>
          <w:tcPr>
            <w:tcW w:w="2597" w:type="dxa"/>
            <w:shd w:val="clear" w:color="auto" w:fill="FFEB9C"/>
            <w:tcMar>
              <w:top w:w="57" w:type="dxa"/>
              <w:bottom w:w="57" w:type="dxa"/>
            </w:tcMar>
          </w:tcPr>
          <w:p w14:paraId="33061CC8" w14:textId="7DDD5BC6" w:rsidR="008C6E57" w:rsidRPr="004E70CE" w:rsidRDefault="00AC1BE6" w:rsidP="006072E9">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 xml:space="preserve">Industry stakeholders </w:t>
            </w:r>
            <w:r w:rsidR="00C709AA" w:rsidRPr="004E70CE">
              <w:rPr>
                <w:rFonts w:ascii="Calibri" w:eastAsia="Calibri" w:hAnsi="Calibri" w:cs="Times New Roman"/>
                <w:sz w:val="18"/>
                <w:szCs w:val="18"/>
              </w:rPr>
              <w:t xml:space="preserve">note the risks of investment leakage, in absence of longer-term solutions such as a </w:t>
            </w:r>
            <w:r w:rsidR="00F32089" w:rsidRPr="004E70CE">
              <w:rPr>
                <w:rFonts w:ascii="Calibri" w:eastAsia="Calibri" w:hAnsi="Calibri" w:cs="Times New Roman"/>
                <w:sz w:val="18"/>
                <w:szCs w:val="18"/>
              </w:rPr>
              <w:t>border carbon adjustment</w:t>
            </w:r>
            <w:r w:rsidR="00C709AA" w:rsidRPr="004E70CE">
              <w:rPr>
                <w:rFonts w:ascii="Calibri" w:eastAsia="Calibri" w:hAnsi="Calibri" w:cs="Times New Roman"/>
                <w:sz w:val="18"/>
                <w:szCs w:val="18"/>
              </w:rPr>
              <w:t xml:space="preserve">. </w:t>
            </w:r>
            <w:r w:rsidR="001E6C34" w:rsidRPr="004E70CE">
              <w:rPr>
                <w:rFonts w:ascii="Calibri" w:eastAsia="Calibri" w:hAnsi="Calibri" w:cs="Times New Roman"/>
                <w:sz w:val="18"/>
                <w:szCs w:val="18"/>
              </w:rPr>
              <w:t>Uneven coverage of the sector by Safeguard also creates domestic leakage risks.</w:t>
            </w:r>
          </w:p>
        </w:tc>
      </w:tr>
      <w:tr w:rsidR="00287007" w:rsidRPr="004E70CE" w14:paraId="77997EB5" w14:textId="77777777" w:rsidTr="0095651D">
        <w:tc>
          <w:tcPr>
            <w:tcW w:w="9060" w:type="dxa"/>
            <w:gridSpan w:val="4"/>
            <w:tcMar>
              <w:top w:w="57" w:type="dxa"/>
              <w:bottom w:w="57" w:type="dxa"/>
            </w:tcMar>
          </w:tcPr>
          <w:p w14:paraId="49F92F54" w14:textId="77777777" w:rsidR="00287007" w:rsidRPr="004E70CE" w:rsidRDefault="00A245DF" w:rsidP="00287007">
            <w:pPr>
              <w:spacing w:after="0" w:line="240" w:lineRule="auto"/>
              <w:contextualSpacing/>
              <w:rPr>
                <w:rFonts w:ascii="Calibri" w:eastAsia="Calibri" w:hAnsi="Calibri" w:cs="Times New Roman"/>
                <w:b/>
                <w:bCs/>
                <w:sz w:val="18"/>
                <w:szCs w:val="18"/>
              </w:rPr>
            </w:pPr>
            <w:r w:rsidRPr="004E70CE">
              <w:rPr>
                <w:rFonts w:ascii="Calibri" w:eastAsia="Calibri" w:hAnsi="Calibri" w:cs="Times New Roman"/>
                <w:b/>
                <w:bCs/>
                <w:sz w:val="18"/>
                <w:szCs w:val="18"/>
              </w:rPr>
              <w:t>C</w:t>
            </w:r>
            <w:r w:rsidR="00287007" w:rsidRPr="004E70CE">
              <w:rPr>
                <w:rFonts w:ascii="Calibri" w:eastAsia="Calibri" w:hAnsi="Calibri" w:cs="Times New Roman"/>
                <w:b/>
                <w:bCs/>
                <w:sz w:val="18"/>
                <w:szCs w:val="18"/>
              </w:rPr>
              <w:t>onsider</w:t>
            </w:r>
            <w:r w:rsidRPr="004E70CE">
              <w:rPr>
                <w:rFonts w:ascii="Calibri" w:eastAsia="Calibri" w:hAnsi="Calibri" w:cs="Times New Roman"/>
                <w:b/>
                <w:bCs/>
                <w:sz w:val="18"/>
                <w:szCs w:val="18"/>
              </w:rPr>
              <w:t xml:space="preserve"> need for additional policies again </w:t>
            </w:r>
            <w:r w:rsidR="00287007" w:rsidRPr="004E70CE">
              <w:rPr>
                <w:rFonts w:ascii="Calibri" w:eastAsia="Calibri" w:hAnsi="Calibri" w:cs="Times New Roman"/>
                <w:b/>
                <w:bCs/>
                <w:sz w:val="18"/>
                <w:szCs w:val="18"/>
              </w:rPr>
              <w:t xml:space="preserve">in 2026-27 Safeguard Review </w:t>
            </w:r>
          </w:p>
        </w:tc>
      </w:tr>
      <w:tr w:rsidR="00287007" w:rsidRPr="004E70CE" w14:paraId="2D07300E" w14:textId="77777777" w:rsidTr="0095651D">
        <w:tc>
          <w:tcPr>
            <w:tcW w:w="1271" w:type="dxa"/>
            <w:tcMar>
              <w:top w:w="57" w:type="dxa"/>
              <w:bottom w:w="57" w:type="dxa"/>
            </w:tcMar>
          </w:tcPr>
          <w:p w14:paraId="569ED3BF" w14:textId="77777777" w:rsidR="00287007" w:rsidRPr="004E70CE" w:rsidRDefault="006072E9" w:rsidP="008C6E57">
            <w:pPr>
              <w:spacing w:after="0" w:line="240" w:lineRule="auto"/>
              <w:rPr>
                <w:rFonts w:ascii="Calibri" w:eastAsia="Calibri" w:hAnsi="Calibri" w:cs="Times New Roman"/>
                <w:sz w:val="18"/>
                <w:szCs w:val="18"/>
              </w:rPr>
            </w:pPr>
            <w:r w:rsidRPr="004E70CE">
              <w:rPr>
                <w:rFonts w:ascii="Calibri" w:eastAsia="Calibri" w:hAnsi="Calibri" w:cs="Times New Roman"/>
                <w:sz w:val="18"/>
                <w:szCs w:val="18"/>
              </w:rPr>
              <w:t>Alumina and aluminium</w:t>
            </w:r>
          </w:p>
        </w:tc>
        <w:tc>
          <w:tcPr>
            <w:tcW w:w="2596" w:type="dxa"/>
            <w:shd w:val="clear" w:color="auto" w:fill="C6EFCE"/>
            <w:tcMar>
              <w:top w:w="57" w:type="dxa"/>
              <w:bottom w:w="57" w:type="dxa"/>
            </w:tcMar>
          </w:tcPr>
          <w:p w14:paraId="262E391B" w14:textId="77777777" w:rsidR="00287007" w:rsidRPr="004E70CE" w:rsidRDefault="00F248BD" w:rsidP="006072E9">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 xml:space="preserve">Risk levels across risk factors are mixed. </w:t>
            </w:r>
            <w:r w:rsidR="00100C3D" w:rsidRPr="004E70CE">
              <w:rPr>
                <w:rFonts w:ascii="Calibri" w:eastAsia="Calibri" w:hAnsi="Calibri" w:cs="Times New Roman"/>
                <w:sz w:val="18"/>
                <w:szCs w:val="18"/>
              </w:rPr>
              <w:t xml:space="preserve">For both </w:t>
            </w:r>
            <w:r w:rsidR="00DB137D" w:rsidRPr="004E70CE">
              <w:rPr>
                <w:rFonts w:ascii="Calibri" w:eastAsia="Calibri" w:hAnsi="Calibri" w:cs="Times New Roman"/>
                <w:sz w:val="18"/>
                <w:szCs w:val="18"/>
              </w:rPr>
              <w:t>commodities</w:t>
            </w:r>
            <w:r w:rsidR="00100C3D" w:rsidRPr="004E70CE">
              <w:rPr>
                <w:rFonts w:ascii="Calibri" w:eastAsia="Calibri" w:hAnsi="Calibri" w:cs="Times New Roman"/>
                <w:sz w:val="18"/>
                <w:szCs w:val="18"/>
              </w:rPr>
              <w:t>, c</w:t>
            </w:r>
            <w:r w:rsidRPr="004E70CE">
              <w:rPr>
                <w:rFonts w:ascii="Calibri" w:eastAsia="Calibri" w:hAnsi="Calibri" w:cs="Times New Roman"/>
                <w:sz w:val="18"/>
                <w:szCs w:val="18"/>
              </w:rPr>
              <w:t xml:space="preserve">arbon costs </w:t>
            </w:r>
            <w:r w:rsidR="7E460300" w:rsidRPr="004E70CE">
              <w:rPr>
                <w:rFonts w:ascii="Calibri" w:eastAsia="Calibri" w:hAnsi="Calibri" w:cs="Times New Roman"/>
                <w:sz w:val="18"/>
                <w:szCs w:val="18"/>
              </w:rPr>
              <w:t>as a share of product prices</w:t>
            </w:r>
            <w:r w:rsidR="70AA5144" w:rsidRPr="004E70CE">
              <w:rPr>
                <w:rFonts w:ascii="Calibri" w:eastAsia="Calibri" w:hAnsi="Calibri" w:cs="Times New Roman"/>
                <w:sz w:val="18"/>
                <w:szCs w:val="18"/>
              </w:rPr>
              <w:t xml:space="preserve"> </w:t>
            </w:r>
            <w:r w:rsidR="3BD8DE15" w:rsidRPr="004E70CE">
              <w:rPr>
                <w:rFonts w:ascii="Calibri" w:eastAsia="Calibri" w:hAnsi="Calibri" w:cs="Times New Roman"/>
                <w:sz w:val="18"/>
                <w:szCs w:val="18"/>
              </w:rPr>
              <w:t>are</w:t>
            </w:r>
            <w:r w:rsidRPr="004E70CE">
              <w:rPr>
                <w:rFonts w:ascii="Calibri" w:eastAsia="Calibri" w:hAnsi="Calibri" w:cs="Times New Roman"/>
                <w:sz w:val="18"/>
                <w:szCs w:val="18"/>
              </w:rPr>
              <w:t xml:space="preserve"> modest</w:t>
            </w:r>
            <w:r w:rsidR="00DC1E96" w:rsidRPr="004E70CE">
              <w:rPr>
                <w:rFonts w:ascii="Calibri" w:eastAsia="Calibri" w:hAnsi="Calibri" w:cs="Times New Roman"/>
                <w:sz w:val="18"/>
                <w:szCs w:val="18"/>
              </w:rPr>
              <w:t>, export exposure is high</w:t>
            </w:r>
            <w:r w:rsidR="00D06780" w:rsidRPr="004E70CE">
              <w:rPr>
                <w:rFonts w:ascii="Calibri" w:eastAsia="Calibri" w:hAnsi="Calibri" w:cs="Times New Roman"/>
                <w:sz w:val="18"/>
                <w:szCs w:val="18"/>
              </w:rPr>
              <w:t xml:space="preserve"> and </w:t>
            </w:r>
            <w:r w:rsidRPr="004E70CE">
              <w:rPr>
                <w:rFonts w:ascii="Calibri" w:eastAsia="Calibri" w:hAnsi="Calibri" w:cs="Times New Roman"/>
                <w:sz w:val="18"/>
                <w:szCs w:val="18"/>
              </w:rPr>
              <w:t xml:space="preserve">price sensitivities are uncertain. </w:t>
            </w:r>
          </w:p>
        </w:tc>
        <w:tc>
          <w:tcPr>
            <w:tcW w:w="2596" w:type="dxa"/>
            <w:shd w:val="clear" w:color="auto" w:fill="FFEB9C"/>
            <w:tcMar>
              <w:top w:w="57" w:type="dxa"/>
              <w:bottom w:w="57" w:type="dxa"/>
            </w:tcMar>
          </w:tcPr>
          <w:p w14:paraId="565177CE" w14:textId="77777777" w:rsidR="00287007" w:rsidRPr="004E70CE" w:rsidRDefault="00EA28E0" w:rsidP="006072E9">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 xml:space="preserve">Trade leakage </w:t>
            </w:r>
            <w:r w:rsidR="00131A5E" w:rsidRPr="004E70CE">
              <w:rPr>
                <w:rFonts w:ascii="Calibri" w:eastAsia="Calibri" w:hAnsi="Calibri" w:cs="Times New Roman"/>
                <w:sz w:val="18"/>
                <w:szCs w:val="18"/>
              </w:rPr>
              <w:t xml:space="preserve">risk in export markets is low for alumina and </w:t>
            </w:r>
            <w:r w:rsidRPr="004E70CE">
              <w:rPr>
                <w:rFonts w:ascii="Calibri" w:eastAsia="Calibri" w:hAnsi="Calibri" w:cs="Times New Roman"/>
                <w:sz w:val="18"/>
                <w:szCs w:val="18"/>
              </w:rPr>
              <w:t xml:space="preserve">could not be estimated </w:t>
            </w:r>
            <w:r w:rsidR="00FA7DF3" w:rsidRPr="004E70CE">
              <w:rPr>
                <w:rFonts w:ascii="Calibri" w:eastAsia="Calibri" w:hAnsi="Calibri" w:cs="Times New Roman"/>
                <w:sz w:val="18"/>
                <w:szCs w:val="18"/>
              </w:rPr>
              <w:t xml:space="preserve">for </w:t>
            </w:r>
            <w:r w:rsidR="00131A5E" w:rsidRPr="004E70CE">
              <w:rPr>
                <w:rFonts w:ascii="Calibri" w:eastAsia="Calibri" w:hAnsi="Calibri" w:cs="Times New Roman"/>
                <w:sz w:val="18"/>
                <w:szCs w:val="18"/>
              </w:rPr>
              <w:t>aluminium due to uncertain</w:t>
            </w:r>
            <w:r w:rsidR="00772719" w:rsidRPr="004E70CE">
              <w:rPr>
                <w:rFonts w:ascii="Calibri" w:eastAsia="Calibri" w:hAnsi="Calibri" w:cs="Times New Roman"/>
                <w:sz w:val="18"/>
                <w:szCs w:val="18"/>
              </w:rPr>
              <w:t xml:space="preserve"> </w:t>
            </w:r>
            <w:r w:rsidRPr="004E70CE">
              <w:rPr>
                <w:rFonts w:ascii="Calibri" w:eastAsia="Calibri" w:hAnsi="Calibri" w:cs="Times New Roman"/>
                <w:sz w:val="18"/>
                <w:szCs w:val="18"/>
              </w:rPr>
              <w:t xml:space="preserve">price sensitivity. Based on profit analysis, alumina and aluminium are in the sectoral group ranked third most </w:t>
            </w:r>
            <w:r w:rsidRPr="004E70CE">
              <w:rPr>
                <w:rFonts w:ascii="Calibri" w:eastAsia="Calibri" w:hAnsi="Calibri" w:cs="Times New Roman"/>
                <w:sz w:val="18"/>
                <w:szCs w:val="18"/>
              </w:rPr>
              <w:lastRenderedPageBreak/>
              <w:t>vulnerable to investment leakage.</w:t>
            </w:r>
          </w:p>
        </w:tc>
        <w:tc>
          <w:tcPr>
            <w:tcW w:w="2597" w:type="dxa"/>
            <w:shd w:val="clear" w:color="auto" w:fill="FFEB9C"/>
            <w:tcMar>
              <w:top w:w="57" w:type="dxa"/>
              <w:bottom w:w="57" w:type="dxa"/>
            </w:tcMar>
          </w:tcPr>
          <w:p w14:paraId="0E6E001E" w14:textId="77777777" w:rsidR="00287007" w:rsidRPr="004E70CE" w:rsidRDefault="001D074F" w:rsidP="006072E9">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lastRenderedPageBreak/>
              <w:t xml:space="preserve">Industry </w:t>
            </w:r>
            <w:r w:rsidR="00AC1BE6" w:rsidRPr="004E70CE">
              <w:rPr>
                <w:rFonts w:ascii="Calibri" w:eastAsia="Calibri" w:hAnsi="Calibri" w:cs="Times New Roman"/>
                <w:sz w:val="18"/>
                <w:szCs w:val="18"/>
              </w:rPr>
              <w:t xml:space="preserve">stakeholders </w:t>
            </w:r>
            <w:r w:rsidR="4BEFA798" w:rsidRPr="004E70CE">
              <w:rPr>
                <w:rFonts w:ascii="Calibri" w:eastAsia="Calibri" w:hAnsi="Calibri" w:cs="Times New Roman"/>
                <w:sz w:val="18"/>
                <w:szCs w:val="18"/>
              </w:rPr>
              <w:t>note</w:t>
            </w:r>
            <w:r w:rsidR="00CB47B2" w:rsidRPr="004E70CE">
              <w:rPr>
                <w:rFonts w:ascii="Calibri" w:eastAsia="Calibri" w:hAnsi="Calibri" w:cs="Times New Roman"/>
                <w:sz w:val="18"/>
                <w:szCs w:val="18"/>
              </w:rPr>
              <w:t xml:space="preserve"> existing </w:t>
            </w:r>
            <w:r w:rsidR="00EF0611" w:rsidRPr="004E70CE">
              <w:rPr>
                <w:rFonts w:ascii="Calibri" w:eastAsia="Calibri" w:hAnsi="Calibri" w:cs="Times New Roman"/>
                <w:sz w:val="18"/>
                <w:szCs w:val="18"/>
              </w:rPr>
              <w:t>TEBA measures</w:t>
            </w:r>
            <w:r w:rsidR="00CB47B2" w:rsidRPr="004E70CE">
              <w:rPr>
                <w:rFonts w:ascii="Calibri" w:eastAsia="Calibri" w:hAnsi="Calibri" w:cs="Times New Roman"/>
                <w:sz w:val="18"/>
                <w:szCs w:val="18"/>
              </w:rPr>
              <w:t xml:space="preserve"> are yet to be tested</w:t>
            </w:r>
            <w:r w:rsidR="239DB890" w:rsidRPr="004E70CE">
              <w:rPr>
                <w:rFonts w:ascii="Calibri" w:eastAsia="Calibri" w:hAnsi="Calibri" w:cs="Times New Roman"/>
                <w:sz w:val="18"/>
                <w:szCs w:val="18"/>
              </w:rPr>
              <w:t>,</w:t>
            </w:r>
            <w:r w:rsidR="00CB47B2" w:rsidRPr="004E70CE">
              <w:rPr>
                <w:rFonts w:ascii="Calibri" w:eastAsia="Calibri" w:hAnsi="Calibri" w:cs="Times New Roman"/>
                <w:sz w:val="18"/>
                <w:szCs w:val="18"/>
              </w:rPr>
              <w:t xml:space="preserve"> and highlighted other </w:t>
            </w:r>
            <w:r w:rsidR="4BEFA798" w:rsidRPr="004E70CE">
              <w:rPr>
                <w:rFonts w:ascii="Calibri" w:eastAsia="Calibri" w:hAnsi="Calibri" w:cs="Times New Roman"/>
                <w:sz w:val="18"/>
                <w:szCs w:val="18"/>
              </w:rPr>
              <w:t>polic</w:t>
            </w:r>
            <w:r w:rsidR="21C679CB" w:rsidRPr="004E70CE">
              <w:rPr>
                <w:rFonts w:ascii="Calibri" w:eastAsia="Calibri" w:hAnsi="Calibri" w:cs="Times New Roman"/>
                <w:sz w:val="18"/>
                <w:szCs w:val="18"/>
              </w:rPr>
              <w:t>y options</w:t>
            </w:r>
            <w:r w:rsidR="00BA12D2" w:rsidRPr="004E70CE">
              <w:rPr>
                <w:rFonts w:ascii="Calibri" w:eastAsia="Calibri" w:hAnsi="Calibri" w:cs="Times New Roman"/>
                <w:sz w:val="18"/>
                <w:szCs w:val="18"/>
              </w:rPr>
              <w:t xml:space="preserve"> </w:t>
            </w:r>
            <w:r w:rsidR="00CB47B2" w:rsidRPr="004E70CE">
              <w:rPr>
                <w:rFonts w:ascii="Calibri" w:eastAsia="Calibri" w:hAnsi="Calibri" w:cs="Times New Roman"/>
                <w:sz w:val="18"/>
                <w:szCs w:val="18"/>
              </w:rPr>
              <w:t>that matter for competitiveness.</w:t>
            </w:r>
            <w:r w:rsidRPr="004E70CE">
              <w:rPr>
                <w:rFonts w:ascii="Calibri" w:eastAsia="Calibri" w:hAnsi="Calibri" w:cs="Times New Roman"/>
                <w:sz w:val="18"/>
                <w:szCs w:val="18"/>
              </w:rPr>
              <w:t xml:space="preserve"> Green metals are a strategic priority for support </w:t>
            </w:r>
            <w:r w:rsidR="3F9C897A" w:rsidRPr="004E70CE">
              <w:rPr>
                <w:rFonts w:ascii="Calibri" w:eastAsia="Calibri" w:hAnsi="Calibri" w:cs="Times New Roman"/>
                <w:sz w:val="18"/>
                <w:szCs w:val="18"/>
              </w:rPr>
              <w:t>for</w:t>
            </w:r>
            <w:r w:rsidR="4887B56C" w:rsidRPr="004E70CE">
              <w:rPr>
                <w:rFonts w:ascii="Calibri" w:eastAsia="Calibri" w:hAnsi="Calibri" w:cs="Times New Roman"/>
                <w:sz w:val="18"/>
                <w:szCs w:val="18"/>
              </w:rPr>
              <w:t xml:space="preserve"> Australia’s </w:t>
            </w:r>
            <w:r w:rsidR="00DF4E1B" w:rsidRPr="004E70CE">
              <w:rPr>
                <w:rFonts w:ascii="Calibri" w:eastAsia="Calibri" w:hAnsi="Calibri" w:cs="Times New Roman"/>
                <w:sz w:val="18"/>
                <w:szCs w:val="18"/>
              </w:rPr>
              <w:lastRenderedPageBreak/>
              <w:t>r</w:t>
            </w:r>
            <w:r w:rsidR="4887B56C" w:rsidRPr="004E70CE">
              <w:rPr>
                <w:rFonts w:ascii="Calibri" w:eastAsia="Calibri" w:hAnsi="Calibri" w:cs="Times New Roman"/>
                <w:sz w:val="18"/>
                <w:szCs w:val="18"/>
              </w:rPr>
              <w:t xml:space="preserve">enewable </w:t>
            </w:r>
            <w:r w:rsidR="00DF4E1B" w:rsidRPr="004E70CE">
              <w:rPr>
                <w:rFonts w:ascii="Calibri" w:eastAsia="Calibri" w:hAnsi="Calibri" w:cs="Times New Roman"/>
                <w:sz w:val="18"/>
                <w:szCs w:val="18"/>
              </w:rPr>
              <w:t>e</w:t>
            </w:r>
            <w:r w:rsidR="4887B56C" w:rsidRPr="004E70CE">
              <w:rPr>
                <w:rFonts w:ascii="Calibri" w:eastAsia="Calibri" w:hAnsi="Calibri" w:cs="Times New Roman"/>
                <w:sz w:val="18"/>
                <w:szCs w:val="18"/>
              </w:rPr>
              <w:t xml:space="preserve">nergy </w:t>
            </w:r>
            <w:r w:rsidR="00DF4E1B" w:rsidRPr="004E70CE">
              <w:rPr>
                <w:rFonts w:ascii="Calibri" w:eastAsia="Calibri" w:hAnsi="Calibri" w:cs="Times New Roman"/>
                <w:sz w:val="18"/>
                <w:szCs w:val="18"/>
              </w:rPr>
              <w:t>s</w:t>
            </w:r>
            <w:r w:rsidR="4887B56C" w:rsidRPr="004E70CE">
              <w:rPr>
                <w:rFonts w:ascii="Calibri" w:eastAsia="Calibri" w:hAnsi="Calibri" w:cs="Times New Roman"/>
                <w:sz w:val="18"/>
                <w:szCs w:val="18"/>
              </w:rPr>
              <w:t>uperpower objectives</w:t>
            </w:r>
            <w:r w:rsidRPr="004E70CE">
              <w:rPr>
                <w:rFonts w:ascii="Calibri" w:eastAsia="Calibri" w:hAnsi="Calibri" w:cs="Times New Roman"/>
                <w:sz w:val="18"/>
                <w:szCs w:val="18"/>
              </w:rPr>
              <w:t>.</w:t>
            </w:r>
          </w:p>
        </w:tc>
      </w:tr>
      <w:tr w:rsidR="00287007" w:rsidRPr="004E70CE" w14:paraId="2EE1FDC8" w14:textId="77777777" w:rsidTr="0095651D">
        <w:tc>
          <w:tcPr>
            <w:tcW w:w="1271" w:type="dxa"/>
            <w:tcMar>
              <w:top w:w="57" w:type="dxa"/>
              <w:bottom w:w="57" w:type="dxa"/>
            </w:tcMar>
          </w:tcPr>
          <w:p w14:paraId="07CB428F" w14:textId="77777777" w:rsidR="00287007" w:rsidRPr="004E70CE" w:rsidRDefault="006072E9" w:rsidP="008C6E57">
            <w:pPr>
              <w:spacing w:after="0" w:line="240" w:lineRule="auto"/>
              <w:rPr>
                <w:rFonts w:ascii="Calibri" w:eastAsia="Calibri" w:hAnsi="Calibri" w:cs="Times New Roman"/>
                <w:sz w:val="18"/>
                <w:szCs w:val="18"/>
              </w:rPr>
            </w:pPr>
            <w:r w:rsidRPr="004E70CE">
              <w:rPr>
                <w:rFonts w:ascii="Calibri" w:eastAsia="Calibri" w:hAnsi="Calibri" w:cs="Times New Roman"/>
                <w:sz w:val="18"/>
                <w:szCs w:val="18"/>
              </w:rPr>
              <w:lastRenderedPageBreak/>
              <w:t>Refined petroleum</w:t>
            </w:r>
          </w:p>
        </w:tc>
        <w:tc>
          <w:tcPr>
            <w:tcW w:w="2596" w:type="dxa"/>
            <w:shd w:val="clear" w:color="auto" w:fill="C6EFCE"/>
            <w:tcMar>
              <w:top w:w="57" w:type="dxa"/>
              <w:bottom w:w="57" w:type="dxa"/>
            </w:tcMar>
          </w:tcPr>
          <w:p w14:paraId="1BC527A4" w14:textId="77777777" w:rsidR="009F62F1" w:rsidRPr="004E70CE" w:rsidRDefault="008F3E2D" w:rsidP="00F979E7">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 xml:space="preserve">Risk levels appear </w:t>
            </w:r>
            <w:r w:rsidR="00622479" w:rsidRPr="004E70CE">
              <w:rPr>
                <w:rFonts w:ascii="Calibri" w:eastAsia="Calibri" w:hAnsi="Calibri" w:cs="Times New Roman"/>
                <w:sz w:val="18"/>
                <w:szCs w:val="18"/>
              </w:rPr>
              <w:t>modest in domestic markets</w:t>
            </w:r>
            <w:r w:rsidR="39045307" w:rsidRPr="004E70CE">
              <w:rPr>
                <w:rFonts w:ascii="Calibri" w:eastAsia="Calibri" w:hAnsi="Calibri" w:cs="Times New Roman"/>
                <w:sz w:val="18"/>
                <w:szCs w:val="18"/>
              </w:rPr>
              <w:t>.</w:t>
            </w:r>
            <w:r w:rsidR="00E10B32" w:rsidRPr="004E70CE">
              <w:rPr>
                <w:rFonts w:ascii="Calibri" w:eastAsia="Calibri" w:hAnsi="Calibri" w:cs="Times New Roman"/>
                <w:sz w:val="18"/>
                <w:szCs w:val="18"/>
              </w:rPr>
              <w:t xml:space="preserve"> </w:t>
            </w:r>
            <w:r w:rsidR="00DE4396" w:rsidRPr="004E70CE">
              <w:rPr>
                <w:rFonts w:ascii="Calibri" w:eastAsia="Calibri" w:hAnsi="Calibri" w:cs="Times New Roman"/>
                <w:sz w:val="18"/>
                <w:szCs w:val="18"/>
              </w:rPr>
              <w:t xml:space="preserve">Carbon costs </w:t>
            </w:r>
            <w:r w:rsidR="009769FC" w:rsidRPr="004E70CE">
              <w:rPr>
                <w:rFonts w:ascii="Calibri" w:eastAsia="Calibri" w:hAnsi="Calibri" w:cs="Times New Roman"/>
                <w:sz w:val="18"/>
                <w:szCs w:val="18"/>
              </w:rPr>
              <w:t xml:space="preserve">form a relatively small </w:t>
            </w:r>
            <w:r w:rsidR="00DE4396" w:rsidRPr="004E70CE">
              <w:rPr>
                <w:rFonts w:ascii="Calibri" w:eastAsia="Calibri" w:hAnsi="Calibri" w:cs="Times New Roman"/>
                <w:sz w:val="18"/>
                <w:szCs w:val="18"/>
              </w:rPr>
              <w:t>share of product price</w:t>
            </w:r>
            <w:r w:rsidRPr="004E70CE">
              <w:rPr>
                <w:rFonts w:ascii="Calibri" w:eastAsia="Calibri" w:hAnsi="Calibri" w:cs="Times New Roman"/>
                <w:sz w:val="18"/>
                <w:szCs w:val="18"/>
              </w:rPr>
              <w:t>.</w:t>
            </w:r>
          </w:p>
        </w:tc>
        <w:tc>
          <w:tcPr>
            <w:tcW w:w="2596" w:type="dxa"/>
            <w:shd w:val="clear" w:color="auto" w:fill="FFEB9C"/>
            <w:tcMar>
              <w:top w:w="57" w:type="dxa"/>
              <w:bottom w:w="57" w:type="dxa"/>
            </w:tcMar>
          </w:tcPr>
          <w:p w14:paraId="758E8130" w14:textId="3016B776" w:rsidR="00287007" w:rsidRPr="004E70CE" w:rsidRDefault="009F62F1" w:rsidP="006072E9">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 xml:space="preserve">Estimates of trade leakage </w:t>
            </w:r>
            <w:r w:rsidR="2C16D8B6" w:rsidRPr="004E70CE">
              <w:rPr>
                <w:rFonts w:ascii="Calibri" w:eastAsia="Calibri" w:hAnsi="Calibri" w:cs="Times New Roman"/>
                <w:sz w:val="18"/>
                <w:szCs w:val="18"/>
              </w:rPr>
              <w:t>risk</w:t>
            </w:r>
            <w:r w:rsidR="2C574473" w:rsidRPr="004E70CE">
              <w:rPr>
                <w:rFonts w:ascii="Calibri" w:eastAsia="Calibri" w:hAnsi="Calibri" w:cs="Times New Roman"/>
                <w:sz w:val="18"/>
                <w:szCs w:val="18"/>
              </w:rPr>
              <w:t xml:space="preserve"> </w:t>
            </w:r>
            <w:r w:rsidRPr="004E70CE">
              <w:rPr>
                <w:rFonts w:ascii="Calibri" w:eastAsia="Calibri" w:hAnsi="Calibri" w:cs="Times New Roman"/>
                <w:sz w:val="18"/>
                <w:szCs w:val="18"/>
              </w:rPr>
              <w:t xml:space="preserve">are low. Based on profit analysis, refined petroleum is in the </w:t>
            </w:r>
            <w:r w:rsidR="0036557E" w:rsidRPr="004E70CE">
              <w:rPr>
                <w:rFonts w:ascii="Calibri" w:eastAsia="Calibri" w:hAnsi="Calibri" w:cs="Times New Roman"/>
                <w:sz w:val="18"/>
                <w:szCs w:val="18"/>
              </w:rPr>
              <w:t xml:space="preserve">industry </w:t>
            </w:r>
            <w:r w:rsidRPr="004E70CE">
              <w:rPr>
                <w:rFonts w:ascii="Calibri" w:eastAsia="Calibri" w:hAnsi="Calibri" w:cs="Times New Roman"/>
                <w:sz w:val="18"/>
                <w:szCs w:val="18"/>
              </w:rPr>
              <w:t xml:space="preserve">group with the second highest risk of investment leakage. </w:t>
            </w:r>
          </w:p>
        </w:tc>
        <w:tc>
          <w:tcPr>
            <w:tcW w:w="2597" w:type="dxa"/>
            <w:shd w:val="clear" w:color="auto" w:fill="FFEB9C"/>
            <w:tcMar>
              <w:top w:w="57" w:type="dxa"/>
              <w:bottom w:w="57" w:type="dxa"/>
            </w:tcMar>
          </w:tcPr>
          <w:p w14:paraId="76FEFAA2" w14:textId="77777777" w:rsidR="00287007" w:rsidRPr="004E70CE" w:rsidRDefault="006B62B5" w:rsidP="006072E9">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 xml:space="preserve">Addressing leakage could </w:t>
            </w:r>
            <w:r w:rsidR="00CD677D" w:rsidRPr="004E70CE">
              <w:rPr>
                <w:rFonts w:ascii="Calibri" w:eastAsia="Calibri" w:hAnsi="Calibri" w:cs="Times New Roman"/>
                <w:sz w:val="18"/>
                <w:szCs w:val="18"/>
              </w:rPr>
              <w:t xml:space="preserve">support a </w:t>
            </w:r>
            <w:r w:rsidR="00340FE3" w:rsidRPr="004E70CE">
              <w:rPr>
                <w:rFonts w:ascii="Calibri" w:eastAsia="Calibri" w:hAnsi="Calibri" w:cs="Times New Roman"/>
                <w:sz w:val="18"/>
                <w:szCs w:val="18"/>
              </w:rPr>
              <w:t>t</w:t>
            </w:r>
            <w:r w:rsidR="00B75818" w:rsidRPr="004E70CE">
              <w:rPr>
                <w:rFonts w:ascii="Calibri" w:eastAsia="Calibri" w:hAnsi="Calibri" w:cs="Times New Roman"/>
                <w:sz w:val="18"/>
                <w:szCs w:val="18"/>
              </w:rPr>
              <w:t>ransition</w:t>
            </w:r>
            <w:r w:rsidR="009F62F1" w:rsidRPr="004E70CE">
              <w:rPr>
                <w:rFonts w:ascii="Calibri" w:eastAsia="Calibri" w:hAnsi="Calibri" w:cs="Times New Roman"/>
                <w:sz w:val="18"/>
                <w:szCs w:val="18"/>
              </w:rPr>
              <w:t xml:space="preserve"> to low emissions fuel production</w:t>
            </w:r>
            <w:r w:rsidR="00E14791" w:rsidRPr="004E70CE">
              <w:rPr>
                <w:rFonts w:ascii="Calibri" w:eastAsia="Calibri" w:hAnsi="Calibri" w:cs="Times New Roman"/>
                <w:sz w:val="18"/>
                <w:szCs w:val="18"/>
              </w:rPr>
              <w:t>.</w:t>
            </w:r>
            <w:r w:rsidR="00A530DC" w:rsidRPr="004E70CE">
              <w:rPr>
                <w:rFonts w:ascii="Calibri" w:eastAsia="Calibri" w:hAnsi="Calibri" w:cs="Times New Roman"/>
                <w:sz w:val="18"/>
                <w:szCs w:val="18"/>
              </w:rPr>
              <w:t xml:space="preserve"> </w:t>
            </w:r>
            <w:r w:rsidR="00F405BD" w:rsidRPr="004E70CE">
              <w:rPr>
                <w:rFonts w:ascii="Calibri" w:eastAsia="Calibri" w:hAnsi="Calibri" w:cs="Times New Roman"/>
                <w:sz w:val="18"/>
                <w:szCs w:val="18"/>
              </w:rPr>
              <w:t xml:space="preserve">Any </w:t>
            </w:r>
            <w:r w:rsidR="001C2F26" w:rsidRPr="004E70CE">
              <w:rPr>
                <w:rFonts w:ascii="Calibri" w:eastAsia="Calibri" w:hAnsi="Calibri" w:cs="Times New Roman"/>
                <w:sz w:val="18"/>
                <w:szCs w:val="18"/>
              </w:rPr>
              <w:t xml:space="preserve">additional </w:t>
            </w:r>
            <w:r w:rsidR="00F405BD" w:rsidRPr="004E70CE">
              <w:rPr>
                <w:rFonts w:ascii="Calibri" w:eastAsia="Calibri" w:hAnsi="Calibri" w:cs="Times New Roman"/>
                <w:sz w:val="18"/>
                <w:szCs w:val="18"/>
              </w:rPr>
              <w:t xml:space="preserve">policies must consider </w:t>
            </w:r>
            <w:r w:rsidR="0083600E" w:rsidRPr="004E70CE">
              <w:rPr>
                <w:rFonts w:ascii="Calibri" w:eastAsia="Calibri" w:hAnsi="Calibri" w:cs="Times New Roman"/>
                <w:sz w:val="18"/>
                <w:szCs w:val="18"/>
              </w:rPr>
              <w:t xml:space="preserve">interactions with existing </w:t>
            </w:r>
            <w:r w:rsidR="00167C7E" w:rsidRPr="004E70CE">
              <w:rPr>
                <w:rFonts w:ascii="Calibri" w:eastAsia="Calibri" w:hAnsi="Calibri" w:cs="Times New Roman"/>
                <w:sz w:val="18"/>
                <w:szCs w:val="18"/>
              </w:rPr>
              <w:t xml:space="preserve">fuel security </w:t>
            </w:r>
            <w:r w:rsidR="0083600E" w:rsidRPr="004E70CE">
              <w:rPr>
                <w:rFonts w:ascii="Calibri" w:eastAsia="Calibri" w:hAnsi="Calibri" w:cs="Times New Roman"/>
                <w:sz w:val="18"/>
                <w:szCs w:val="18"/>
              </w:rPr>
              <w:t>policies</w:t>
            </w:r>
            <w:r w:rsidR="00A530DC" w:rsidRPr="004E70CE">
              <w:rPr>
                <w:rFonts w:ascii="Calibri" w:eastAsia="Calibri" w:hAnsi="Calibri" w:cs="Times New Roman"/>
                <w:sz w:val="18"/>
                <w:szCs w:val="18"/>
              </w:rPr>
              <w:t>.</w:t>
            </w:r>
            <w:r w:rsidR="009F62F1" w:rsidRPr="004E70CE">
              <w:rPr>
                <w:rFonts w:ascii="Calibri" w:eastAsia="Calibri" w:hAnsi="Calibri" w:cs="Times New Roman"/>
                <w:sz w:val="18"/>
                <w:szCs w:val="18"/>
              </w:rPr>
              <w:t xml:space="preserve"> </w:t>
            </w:r>
          </w:p>
        </w:tc>
      </w:tr>
      <w:tr w:rsidR="003B0B5B" w:rsidRPr="004E70CE" w14:paraId="79D12463" w14:textId="77777777" w:rsidTr="0095651D">
        <w:tc>
          <w:tcPr>
            <w:tcW w:w="1271" w:type="dxa"/>
            <w:tcMar>
              <w:top w:w="57" w:type="dxa"/>
              <w:bottom w:w="57" w:type="dxa"/>
            </w:tcMar>
          </w:tcPr>
          <w:p w14:paraId="2ED1AEE9" w14:textId="77777777" w:rsidR="003B0B5B" w:rsidRPr="004E70CE" w:rsidRDefault="003B0B5B" w:rsidP="008C6E57">
            <w:pPr>
              <w:spacing w:after="0" w:line="240" w:lineRule="auto"/>
              <w:rPr>
                <w:rFonts w:ascii="Calibri" w:eastAsia="Calibri" w:hAnsi="Calibri" w:cs="Times New Roman"/>
                <w:sz w:val="18"/>
                <w:szCs w:val="18"/>
              </w:rPr>
            </w:pPr>
            <w:r w:rsidRPr="004E70CE">
              <w:rPr>
                <w:rFonts w:ascii="Calibri" w:eastAsia="Calibri" w:hAnsi="Calibri" w:cs="Times New Roman"/>
                <w:sz w:val="18"/>
                <w:szCs w:val="18"/>
              </w:rPr>
              <w:t>Pulp and Paper</w:t>
            </w:r>
          </w:p>
        </w:tc>
        <w:tc>
          <w:tcPr>
            <w:tcW w:w="2596" w:type="dxa"/>
            <w:shd w:val="clear" w:color="auto" w:fill="FFEB9C"/>
            <w:tcMar>
              <w:top w:w="57" w:type="dxa"/>
              <w:bottom w:w="57" w:type="dxa"/>
            </w:tcMar>
          </w:tcPr>
          <w:p w14:paraId="3D2FDE89" w14:textId="77777777" w:rsidR="003B0B5B" w:rsidRPr="004E70CE" w:rsidRDefault="004C2452" w:rsidP="006072E9">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 xml:space="preserve">Overall, </w:t>
            </w:r>
            <w:r w:rsidR="4AB2544C" w:rsidRPr="004E70CE">
              <w:rPr>
                <w:rFonts w:ascii="Calibri" w:eastAsia="Calibri" w:hAnsi="Calibri" w:cs="Times New Roman"/>
                <w:sz w:val="18"/>
                <w:szCs w:val="18"/>
              </w:rPr>
              <w:t>carbon leakage</w:t>
            </w:r>
            <w:r w:rsidRPr="004E70CE">
              <w:rPr>
                <w:rFonts w:ascii="Calibri" w:eastAsia="Calibri" w:hAnsi="Calibri" w:cs="Times New Roman"/>
                <w:sz w:val="18"/>
                <w:szCs w:val="18"/>
              </w:rPr>
              <w:t xml:space="preserve"> risk levels </w:t>
            </w:r>
            <w:r w:rsidR="0024553D" w:rsidRPr="004E70CE">
              <w:rPr>
                <w:rFonts w:ascii="Calibri" w:eastAsia="Calibri" w:hAnsi="Calibri" w:cs="Times New Roman"/>
                <w:sz w:val="18"/>
                <w:szCs w:val="18"/>
              </w:rPr>
              <w:t xml:space="preserve">are material in export markets and approach material levels in </w:t>
            </w:r>
            <w:r w:rsidR="00F1490E" w:rsidRPr="004E70CE">
              <w:rPr>
                <w:rFonts w:ascii="Calibri" w:eastAsia="Calibri" w:hAnsi="Calibri" w:cs="Times New Roman"/>
                <w:sz w:val="18"/>
                <w:szCs w:val="18"/>
              </w:rPr>
              <w:t xml:space="preserve">domestic markets. </w:t>
            </w:r>
          </w:p>
        </w:tc>
        <w:tc>
          <w:tcPr>
            <w:tcW w:w="2596" w:type="dxa"/>
            <w:shd w:val="clear" w:color="auto" w:fill="FFEB9C"/>
            <w:tcMar>
              <w:top w:w="57" w:type="dxa"/>
              <w:bottom w:w="57" w:type="dxa"/>
            </w:tcMar>
          </w:tcPr>
          <w:p w14:paraId="707908F4" w14:textId="77777777" w:rsidR="003B0B5B" w:rsidRPr="004E70CE" w:rsidRDefault="006A2661" w:rsidP="006072E9">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Estimate</w:t>
            </w:r>
            <w:r w:rsidR="00DF4E1B" w:rsidRPr="004E70CE">
              <w:rPr>
                <w:rFonts w:ascii="Calibri" w:eastAsia="Calibri" w:hAnsi="Calibri" w:cs="Times New Roman"/>
                <w:sz w:val="18"/>
                <w:szCs w:val="18"/>
              </w:rPr>
              <w:t>d</w:t>
            </w:r>
            <w:r w:rsidRPr="004E70CE">
              <w:rPr>
                <w:rFonts w:ascii="Calibri" w:eastAsia="Calibri" w:hAnsi="Calibri" w:cs="Times New Roman"/>
                <w:sz w:val="18"/>
                <w:szCs w:val="18"/>
              </w:rPr>
              <w:t xml:space="preserve"> trade leakage </w:t>
            </w:r>
            <w:r w:rsidR="4CD17630" w:rsidRPr="004E70CE">
              <w:rPr>
                <w:rFonts w:ascii="Calibri" w:eastAsia="Calibri" w:hAnsi="Calibri" w:cs="Times New Roman"/>
                <w:sz w:val="18"/>
                <w:szCs w:val="18"/>
              </w:rPr>
              <w:t xml:space="preserve">risk is </w:t>
            </w:r>
            <w:r w:rsidRPr="004E70CE">
              <w:rPr>
                <w:rFonts w:ascii="Calibri" w:eastAsia="Calibri" w:hAnsi="Calibri" w:cs="Times New Roman"/>
                <w:sz w:val="18"/>
                <w:szCs w:val="18"/>
              </w:rPr>
              <w:t>low.</w:t>
            </w:r>
            <w:r w:rsidR="00781B36" w:rsidRPr="004E70CE">
              <w:rPr>
                <w:rFonts w:ascii="Calibri" w:eastAsia="Calibri" w:hAnsi="Calibri" w:cs="Times New Roman"/>
                <w:sz w:val="18"/>
                <w:szCs w:val="18"/>
              </w:rPr>
              <w:t xml:space="preserve"> Based on profit analysis, pulp and paper is among the sectors most susceptible to investment leakage.</w:t>
            </w:r>
          </w:p>
        </w:tc>
        <w:tc>
          <w:tcPr>
            <w:tcW w:w="2597" w:type="dxa"/>
            <w:shd w:val="clear" w:color="auto" w:fill="C6EFCE"/>
            <w:tcMar>
              <w:top w:w="57" w:type="dxa"/>
              <w:bottom w:w="57" w:type="dxa"/>
            </w:tcMar>
          </w:tcPr>
          <w:p w14:paraId="6E597B03" w14:textId="77777777" w:rsidR="003B0B5B" w:rsidRPr="004E70CE" w:rsidRDefault="008D5B54" w:rsidP="006072E9">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 xml:space="preserve">Industry </w:t>
            </w:r>
            <w:r w:rsidR="00F6471D" w:rsidRPr="004E70CE">
              <w:rPr>
                <w:rFonts w:ascii="Calibri" w:eastAsia="Calibri" w:hAnsi="Calibri" w:cs="Times New Roman"/>
                <w:sz w:val="18"/>
                <w:szCs w:val="18"/>
              </w:rPr>
              <w:t xml:space="preserve">stakeholders </w:t>
            </w:r>
            <w:r w:rsidR="05DB1B21" w:rsidRPr="004E70CE">
              <w:rPr>
                <w:rFonts w:ascii="Calibri" w:eastAsia="Calibri" w:hAnsi="Calibri" w:cs="Times New Roman"/>
                <w:sz w:val="18"/>
                <w:szCs w:val="18"/>
              </w:rPr>
              <w:t>pointed to</w:t>
            </w:r>
            <w:r w:rsidR="005C5E79" w:rsidRPr="004E70CE">
              <w:rPr>
                <w:rFonts w:ascii="Calibri" w:eastAsia="Calibri" w:hAnsi="Calibri" w:cs="Times New Roman"/>
                <w:sz w:val="18"/>
                <w:szCs w:val="18"/>
              </w:rPr>
              <w:t xml:space="preserve"> the merits</w:t>
            </w:r>
            <w:r w:rsidR="00280EA6" w:rsidRPr="004E70CE">
              <w:rPr>
                <w:rFonts w:ascii="Calibri" w:eastAsia="Calibri" w:hAnsi="Calibri" w:cs="Times New Roman"/>
                <w:sz w:val="18"/>
                <w:szCs w:val="18"/>
              </w:rPr>
              <w:t xml:space="preserve"> </w:t>
            </w:r>
            <w:r w:rsidR="005C5E79" w:rsidRPr="004E70CE">
              <w:rPr>
                <w:rFonts w:ascii="Calibri" w:eastAsia="Calibri" w:hAnsi="Calibri" w:cs="Times New Roman"/>
                <w:sz w:val="18"/>
                <w:szCs w:val="18"/>
              </w:rPr>
              <w:t xml:space="preserve">of </w:t>
            </w:r>
            <w:r w:rsidR="00280EA6" w:rsidRPr="004E70CE">
              <w:rPr>
                <w:rFonts w:ascii="Calibri" w:eastAsia="Calibri" w:hAnsi="Calibri" w:cs="Times New Roman"/>
                <w:sz w:val="18"/>
                <w:szCs w:val="18"/>
              </w:rPr>
              <w:t>additional policies to mitigate leakage</w:t>
            </w:r>
            <w:r w:rsidR="00C56C9D" w:rsidRPr="004E70CE">
              <w:rPr>
                <w:rFonts w:ascii="Calibri" w:eastAsia="Calibri" w:hAnsi="Calibri" w:cs="Times New Roman"/>
                <w:sz w:val="18"/>
                <w:szCs w:val="18"/>
              </w:rPr>
              <w:t xml:space="preserve">, and </w:t>
            </w:r>
            <w:r w:rsidR="00D5425F" w:rsidRPr="004E70CE">
              <w:rPr>
                <w:rFonts w:ascii="Calibri" w:eastAsia="Calibri" w:hAnsi="Calibri" w:cs="Times New Roman"/>
                <w:sz w:val="18"/>
                <w:szCs w:val="18"/>
              </w:rPr>
              <w:t>also noted other</w:t>
            </w:r>
            <w:r w:rsidR="00C56C9D" w:rsidRPr="004E70CE">
              <w:rPr>
                <w:rFonts w:ascii="Calibri" w:eastAsia="Calibri" w:hAnsi="Calibri" w:cs="Times New Roman"/>
                <w:sz w:val="18"/>
                <w:szCs w:val="18"/>
              </w:rPr>
              <w:t xml:space="preserve"> </w:t>
            </w:r>
            <w:r w:rsidR="00D5425F" w:rsidRPr="004E70CE">
              <w:rPr>
                <w:rFonts w:ascii="Calibri" w:eastAsia="Calibri" w:hAnsi="Calibri" w:cs="Times New Roman"/>
                <w:sz w:val="18"/>
                <w:szCs w:val="18"/>
              </w:rPr>
              <w:t>policy areas that affect production</w:t>
            </w:r>
            <w:r w:rsidR="00C56C9D" w:rsidRPr="004E70CE">
              <w:rPr>
                <w:rFonts w:ascii="Calibri" w:eastAsia="Calibri" w:hAnsi="Calibri" w:cs="Times New Roman"/>
                <w:sz w:val="18"/>
                <w:szCs w:val="18"/>
              </w:rPr>
              <w:t>.</w:t>
            </w:r>
          </w:p>
        </w:tc>
      </w:tr>
      <w:tr w:rsidR="008C6E57" w:rsidRPr="004E70CE" w14:paraId="7E054DA4" w14:textId="77777777" w:rsidTr="0095651D">
        <w:tc>
          <w:tcPr>
            <w:tcW w:w="9060" w:type="dxa"/>
            <w:gridSpan w:val="4"/>
            <w:shd w:val="clear" w:color="auto" w:fill="auto"/>
            <w:tcMar>
              <w:top w:w="57" w:type="dxa"/>
              <w:bottom w:w="57" w:type="dxa"/>
            </w:tcMar>
          </w:tcPr>
          <w:p w14:paraId="676DE55F" w14:textId="77777777" w:rsidR="008C6E57" w:rsidRPr="004E70CE" w:rsidRDefault="006072E9" w:rsidP="008C6E57">
            <w:pPr>
              <w:spacing w:after="0" w:line="240" w:lineRule="auto"/>
              <w:rPr>
                <w:rFonts w:ascii="Calibri" w:eastAsia="Calibri" w:hAnsi="Calibri" w:cs="Times New Roman"/>
                <w:b/>
                <w:bCs/>
                <w:sz w:val="18"/>
                <w:szCs w:val="18"/>
              </w:rPr>
            </w:pPr>
            <w:r w:rsidRPr="004E70CE">
              <w:rPr>
                <w:rFonts w:ascii="Calibri" w:eastAsia="Calibri" w:hAnsi="Calibri" w:cs="Times New Roman"/>
                <w:b/>
                <w:bCs/>
                <w:sz w:val="18"/>
                <w:szCs w:val="18"/>
              </w:rPr>
              <w:t>Retain e</w:t>
            </w:r>
            <w:r w:rsidR="008C6E57" w:rsidRPr="004E70CE">
              <w:rPr>
                <w:rFonts w:ascii="Calibri" w:eastAsia="Calibri" w:hAnsi="Calibri" w:cs="Times New Roman"/>
                <w:b/>
                <w:bCs/>
                <w:sz w:val="18"/>
                <w:szCs w:val="18"/>
              </w:rPr>
              <w:t xml:space="preserve">xisting policies at this stage </w:t>
            </w:r>
          </w:p>
        </w:tc>
      </w:tr>
      <w:tr w:rsidR="00095EAA" w:rsidRPr="004E70CE" w14:paraId="08440123" w14:textId="77777777" w:rsidTr="0095651D">
        <w:tc>
          <w:tcPr>
            <w:tcW w:w="1271" w:type="dxa"/>
            <w:tcMar>
              <w:top w:w="57" w:type="dxa"/>
              <w:bottom w:w="57" w:type="dxa"/>
            </w:tcMar>
          </w:tcPr>
          <w:p w14:paraId="2C808E81" w14:textId="77777777" w:rsidR="00095EAA" w:rsidRPr="004E70CE" w:rsidRDefault="00095EAA" w:rsidP="00A245DF">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 xml:space="preserve">All other commodities  </w:t>
            </w:r>
          </w:p>
        </w:tc>
        <w:tc>
          <w:tcPr>
            <w:tcW w:w="7789" w:type="dxa"/>
            <w:gridSpan w:val="3"/>
            <w:shd w:val="clear" w:color="auto" w:fill="C6EFCE"/>
            <w:tcMar>
              <w:top w:w="57" w:type="dxa"/>
              <w:bottom w:w="57" w:type="dxa"/>
            </w:tcMar>
          </w:tcPr>
          <w:p w14:paraId="5AE7C381" w14:textId="77777777" w:rsidR="00095EAA" w:rsidRPr="004E70CE" w:rsidRDefault="00E67A90" w:rsidP="00A245DF">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 xml:space="preserve">In general, most other commodities exhibit modest levels of leakage risk factors, and/or low estimates of trade leakage risk. Profit analysis suggests resource sector commodities face </w:t>
            </w:r>
            <w:r w:rsidR="46D0BC7D" w:rsidRPr="004E70CE">
              <w:rPr>
                <w:rFonts w:ascii="Calibri" w:eastAsia="Calibri" w:hAnsi="Calibri" w:cs="Times New Roman"/>
                <w:sz w:val="18"/>
                <w:szCs w:val="18"/>
              </w:rPr>
              <w:t xml:space="preserve">much </w:t>
            </w:r>
            <w:r w:rsidRPr="004E70CE">
              <w:rPr>
                <w:rFonts w:ascii="Calibri" w:eastAsia="Calibri" w:hAnsi="Calibri" w:cs="Times New Roman"/>
                <w:sz w:val="18"/>
                <w:szCs w:val="18"/>
              </w:rPr>
              <w:t xml:space="preserve">lower risks of investment leakage compared to commodities in manufacturing sectors. </w:t>
            </w:r>
          </w:p>
        </w:tc>
      </w:tr>
    </w:tbl>
    <w:p w14:paraId="33EC43F4" w14:textId="77777777" w:rsidR="0095651D" w:rsidRPr="004E70CE" w:rsidRDefault="0095651D" w:rsidP="0095651D">
      <w:pPr>
        <w:rPr>
          <w:b/>
          <w:bCs/>
        </w:rPr>
      </w:pPr>
    </w:p>
    <w:p w14:paraId="09F7AFE0" w14:textId="3F95E9A1" w:rsidR="00DE72C2" w:rsidRPr="004E70CE" w:rsidRDefault="00DE72C2" w:rsidP="0095651D">
      <w:pPr>
        <w:rPr>
          <w:b/>
          <w:bCs/>
        </w:rPr>
      </w:pPr>
      <w:r w:rsidRPr="004E70CE">
        <w:rPr>
          <w:b/>
          <w:bCs/>
        </w:rPr>
        <w:t>CEMENT AND CLINKER</w:t>
      </w:r>
    </w:p>
    <w:p w14:paraId="7E22DBBE" w14:textId="77777777" w:rsidR="00A65AFC" w:rsidRPr="004E70CE" w:rsidRDefault="673F6483" w:rsidP="0095651D">
      <w:r w:rsidRPr="004E70CE">
        <w:t xml:space="preserve">In 2020-21, </w:t>
      </w:r>
      <w:r w:rsidR="4E4B69B7" w:rsidRPr="004E70CE">
        <w:t xml:space="preserve">Australia </w:t>
      </w:r>
      <w:r w:rsidR="6DA80EDB" w:rsidRPr="004E70CE">
        <w:t>produce</w:t>
      </w:r>
      <w:r w:rsidRPr="004E70CE">
        <w:t>d</w:t>
      </w:r>
      <w:r w:rsidR="6DA80EDB" w:rsidRPr="004E70CE">
        <w:t xml:space="preserve"> </w:t>
      </w:r>
      <w:r w:rsidR="755EA6D1" w:rsidRPr="004E70CE">
        <w:t xml:space="preserve">around </w:t>
      </w:r>
      <w:r w:rsidR="155A11FB" w:rsidRPr="004E70CE">
        <w:t>10</w:t>
      </w:r>
      <w:r w:rsidR="6DA80EDB" w:rsidRPr="004E70CE">
        <w:t xml:space="preserve"> million tonnes of cement</w:t>
      </w:r>
      <w:r w:rsidR="755EA6D1" w:rsidRPr="004E70CE">
        <w:t xml:space="preserve"> and</w:t>
      </w:r>
      <w:r w:rsidR="6DA80EDB" w:rsidRPr="004E70CE">
        <w:t xml:space="preserve"> </w:t>
      </w:r>
      <w:r w:rsidR="155A11FB" w:rsidRPr="004E70CE">
        <w:t>5 million tonnes of clinker</w:t>
      </w:r>
      <w:r w:rsidR="755EA6D1" w:rsidRPr="004E70CE">
        <w:t>.</w:t>
      </w:r>
      <w:r w:rsidR="00A72745" w:rsidRPr="004E70CE">
        <w:rPr>
          <w:rStyle w:val="FootnoteReference"/>
        </w:rPr>
        <w:footnoteReference w:id="35"/>
      </w:r>
      <w:r w:rsidR="155A11FB" w:rsidRPr="004E70CE">
        <w:t xml:space="preserve"> </w:t>
      </w:r>
    </w:p>
    <w:p w14:paraId="1A551125" w14:textId="3D04F0D0" w:rsidR="00B73CA8" w:rsidRPr="004E70CE" w:rsidRDefault="00222ED6" w:rsidP="0095651D">
      <w:r w:rsidRPr="004E70CE">
        <w:t xml:space="preserve">Domestic producers </w:t>
      </w:r>
      <w:r w:rsidR="00C373EF" w:rsidRPr="004E70CE">
        <w:t xml:space="preserve">primarily compete with </w:t>
      </w:r>
      <w:r w:rsidRPr="004E70CE">
        <w:t>imports</w:t>
      </w:r>
      <w:r w:rsidR="009A2779" w:rsidRPr="004E70CE">
        <w:t xml:space="preserve"> from South</w:t>
      </w:r>
      <w:r w:rsidR="00DD1BAD">
        <w:t>e</w:t>
      </w:r>
      <w:r w:rsidR="009A2779" w:rsidRPr="004E70CE">
        <w:t>ast and East Asia</w:t>
      </w:r>
      <w:r w:rsidRPr="004E70CE">
        <w:t xml:space="preserve">. </w:t>
      </w:r>
      <w:r w:rsidR="005E6867" w:rsidRPr="004E70CE">
        <w:t>I</w:t>
      </w:r>
      <w:r w:rsidR="001C4DE4" w:rsidRPr="004E70CE">
        <w:t xml:space="preserve">mports </w:t>
      </w:r>
      <w:r w:rsidR="009A3707" w:rsidRPr="004E70CE">
        <w:t>relative to</w:t>
      </w:r>
      <w:r w:rsidR="005B5F06" w:rsidRPr="004E70CE">
        <w:t xml:space="preserve"> Safeguard </w:t>
      </w:r>
      <w:r w:rsidR="000774CA" w:rsidRPr="004E70CE">
        <w:t xml:space="preserve">production </w:t>
      </w:r>
      <w:r w:rsidR="008C56E0">
        <w:t>are</w:t>
      </w:r>
      <w:r w:rsidR="008C56E0" w:rsidRPr="004E70CE">
        <w:t xml:space="preserve"> </w:t>
      </w:r>
      <w:r w:rsidR="00C51EB4" w:rsidRPr="004E70CE">
        <w:t xml:space="preserve">currently </w:t>
      </w:r>
      <w:r w:rsidR="005C2D8B" w:rsidRPr="004E70CE">
        <w:t xml:space="preserve">between </w:t>
      </w:r>
      <w:r w:rsidR="00D7082C">
        <w:t>0.8-1.0</w:t>
      </w:r>
      <w:r w:rsidR="001C4DE4" w:rsidRPr="004E70CE">
        <w:t xml:space="preserve"> </w:t>
      </w:r>
      <w:r w:rsidR="00D80193" w:rsidRPr="004E70CE">
        <w:t xml:space="preserve">for clinker and </w:t>
      </w:r>
      <w:r w:rsidR="00D7082C">
        <w:t>0-0.2</w:t>
      </w:r>
      <w:r w:rsidR="00D80193" w:rsidRPr="004E70CE">
        <w:t xml:space="preserve"> for cement. </w:t>
      </w:r>
      <w:r w:rsidR="00AC0CA3" w:rsidRPr="004E70CE">
        <w:t>Ce</w:t>
      </w:r>
      <w:r w:rsidR="00426E35" w:rsidRPr="004E70CE">
        <w:t xml:space="preserve">ment imports appear </w:t>
      </w:r>
      <w:r w:rsidR="00F834EE" w:rsidRPr="004E70CE">
        <w:t xml:space="preserve">price </w:t>
      </w:r>
      <w:r w:rsidR="00426E35" w:rsidRPr="004E70CE">
        <w:t>sensitive</w:t>
      </w:r>
      <w:r w:rsidR="00AC0CA3" w:rsidRPr="004E70CE">
        <w:t xml:space="preserve"> </w:t>
      </w:r>
      <w:r w:rsidR="009937D7" w:rsidRPr="004E70CE">
        <w:t>(</w:t>
      </w:r>
      <w:r w:rsidR="00F834EE" w:rsidRPr="004E70CE">
        <w:t>elasticity of -2</w:t>
      </w:r>
      <w:r w:rsidR="00613E19" w:rsidRPr="004E70CE">
        <w:t>.</w:t>
      </w:r>
      <w:r w:rsidR="00F23A88" w:rsidRPr="004E70CE">
        <w:t>5</w:t>
      </w:r>
      <w:r w:rsidR="009937D7" w:rsidRPr="004E70CE">
        <w:t>)</w:t>
      </w:r>
      <w:r w:rsidR="00426E35" w:rsidRPr="004E70CE">
        <w:t>.</w:t>
      </w:r>
      <w:r w:rsidR="00423FF2" w:rsidRPr="004E70CE">
        <w:t xml:space="preserve"> Clinker imports are </w:t>
      </w:r>
      <w:r w:rsidR="00F76059" w:rsidRPr="004E70CE">
        <w:t xml:space="preserve">presented as </w:t>
      </w:r>
      <w:r w:rsidR="001D0EA2" w:rsidRPr="004E70CE">
        <w:t xml:space="preserve">less </w:t>
      </w:r>
      <w:r w:rsidR="00423FF2" w:rsidRPr="004E70CE">
        <w:t xml:space="preserve">sensitive </w:t>
      </w:r>
      <w:r w:rsidR="001D0EA2" w:rsidRPr="004E70CE">
        <w:t>(elasticity of -0.</w:t>
      </w:r>
      <w:r w:rsidR="00613E19" w:rsidRPr="004E70CE">
        <w:t>8</w:t>
      </w:r>
      <w:r w:rsidR="001D0EA2" w:rsidRPr="004E70CE">
        <w:t>)</w:t>
      </w:r>
      <w:r w:rsidR="00613E19" w:rsidRPr="004E70CE">
        <w:t>.</w:t>
      </w:r>
      <w:r w:rsidR="001D0EA2" w:rsidRPr="004E70CE">
        <w:t xml:space="preserve"> </w:t>
      </w:r>
      <w:r w:rsidR="00613E19" w:rsidRPr="004E70CE">
        <w:t xml:space="preserve">This </w:t>
      </w:r>
      <w:r w:rsidR="001D0EA2" w:rsidRPr="004E70CE">
        <w:t>is likely to be an underestimate</w:t>
      </w:r>
      <w:r w:rsidR="00AB469F" w:rsidRPr="004E70CE">
        <w:t>,</w:t>
      </w:r>
      <w:r w:rsidR="001D0EA2" w:rsidRPr="004E70CE">
        <w:t xml:space="preserve"> </w:t>
      </w:r>
      <w:r w:rsidR="00E36F68" w:rsidRPr="004E70CE">
        <w:t xml:space="preserve">based on </w:t>
      </w:r>
      <w:r w:rsidR="005E5B88" w:rsidRPr="004E70CE">
        <w:t xml:space="preserve">industry </w:t>
      </w:r>
      <w:r w:rsidR="001D0EA2" w:rsidRPr="004E70CE">
        <w:t xml:space="preserve">feedback </w:t>
      </w:r>
      <w:r w:rsidR="005E5B88" w:rsidRPr="004E70CE">
        <w:t xml:space="preserve">and </w:t>
      </w:r>
      <w:r w:rsidR="00AB469F" w:rsidRPr="004E70CE">
        <w:t xml:space="preserve">because </w:t>
      </w:r>
      <w:r w:rsidR="00A8670E" w:rsidRPr="004E70CE">
        <w:t xml:space="preserve">estimates are </w:t>
      </w:r>
      <w:r w:rsidR="00613E19" w:rsidRPr="004E70CE">
        <w:t xml:space="preserve">based on </w:t>
      </w:r>
      <w:r w:rsidR="003E2AEF" w:rsidRPr="004E70CE">
        <w:t xml:space="preserve">the </w:t>
      </w:r>
      <w:r w:rsidR="00613E19" w:rsidRPr="004E70CE">
        <w:t xml:space="preserve">time period </w:t>
      </w:r>
      <w:r w:rsidR="00A8670E" w:rsidRPr="004E70CE">
        <w:t>before the C</w:t>
      </w:r>
      <w:r w:rsidR="00C708DB" w:rsidRPr="004E70CE">
        <w:t xml:space="preserve">OVID </w:t>
      </w:r>
      <w:r w:rsidR="00A8670E" w:rsidRPr="004E70CE">
        <w:t>pandemic</w:t>
      </w:r>
      <w:r w:rsidR="00423FF2" w:rsidRPr="004E70CE">
        <w:t xml:space="preserve">. </w:t>
      </w:r>
      <w:r w:rsidR="00C81415" w:rsidRPr="004E70CE">
        <w:t xml:space="preserve">Exports of cement and clinker are negligible.  </w:t>
      </w:r>
    </w:p>
    <w:p w14:paraId="4C7F7B80" w14:textId="77777777" w:rsidR="00DF7D9F" w:rsidRPr="004E70CE" w:rsidRDefault="6CAE6461" w:rsidP="0095651D">
      <w:r w:rsidRPr="004E70CE">
        <w:t xml:space="preserve">Clinker and cement production </w:t>
      </w:r>
      <w:r w:rsidR="00A55B11" w:rsidRPr="004E70CE">
        <w:t xml:space="preserve">are </w:t>
      </w:r>
      <w:r w:rsidRPr="004E70CE">
        <w:t xml:space="preserve">emissions intensive. </w:t>
      </w:r>
      <w:r w:rsidR="1C65AFDD" w:rsidRPr="004E70CE">
        <w:t>Average Australian emissions intensities are 0.71 t</w:t>
      </w:r>
      <w:r w:rsidR="54A7D364" w:rsidRPr="004E70CE">
        <w:t xml:space="preserve">onnes </w:t>
      </w:r>
      <w:r w:rsidR="1C65AFDD" w:rsidRPr="004E70CE">
        <w:t>CO</w:t>
      </w:r>
      <w:r w:rsidR="1C65AFDD" w:rsidRPr="004E70CE">
        <w:rPr>
          <w:vertAlign w:val="subscript"/>
        </w:rPr>
        <w:t>2</w:t>
      </w:r>
      <w:r w:rsidR="54A7D364" w:rsidRPr="004E70CE">
        <w:t>-</w:t>
      </w:r>
      <w:r w:rsidR="1C65AFDD" w:rsidRPr="004E70CE">
        <w:t>e/t</w:t>
      </w:r>
      <w:r w:rsidR="54A7D364" w:rsidRPr="004E70CE">
        <w:t>onne</w:t>
      </w:r>
      <w:r w:rsidR="1C65AFDD" w:rsidRPr="004E70CE">
        <w:t xml:space="preserve"> </w:t>
      </w:r>
      <w:r w:rsidR="00AB469F" w:rsidRPr="004E70CE">
        <w:t xml:space="preserve">of </w:t>
      </w:r>
      <w:r w:rsidR="1C65AFDD" w:rsidRPr="004E70CE">
        <w:t>cement</w:t>
      </w:r>
      <w:r w:rsidR="00AB469F" w:rsidRPr="004E70CE">
        <w:t xml:space="preserve"> and</w:t>
      </w:r>
      <w:r w:rsidR="1C65AFDD" w:rsidRPr="004E70CE">
        <w:t xml:space="preserve"> 0.84 </w:t>
      </w:r>
      <w:r w:rsidR="54A7D364" w:rsidRPr="004E70CE">
        <w:t>tonnes CO</w:t>
      </w:r>
      <w:r w:rsidR="54A7D364" w:rsidRPr="004E70CE">
        <w:rPr>
          <w:vertAlign w:val="subscript"/>
        </w:rPr>
        <w:t>2</w:t>
      </w:r>
      <w:r w:rsidR="54A7D364" w:rsidRPr="004E70CE">
        <w:t>-e/tonne</w:t>
      </w:r>
      <w:r w:rsidR="1C65AFDD" w:rsidRPr="004E70CE">
        <w:t xml:space="preserve"> </w:t>
      </w:r>
      <w:r w:rsidR="00AB469F" w:rsidRPr="004E70CE">
        <w:t xml:space="preserve">of </w:t>
      </w:r>
      <w:r w:rsidR="1C65AFDD" w:rsidRPr="004E70CE">
        <w:t>clinker.</w:t>
      </w:r>
      <w:r w:rsidR="00291C8E" w:rsidRPr="004E70CE">
        <w:rPr>
          <w:rStyle w:val="FootnoteReference"/>
        </w:rPr>
        <w:footnoteReference w:id="36"/>
      </w:r>
      <w:r w:rsidR="1C65AFDD" w:rsidRPr="004E70CE">
        <w:t xml:space="preserve"> </w:t>
      </w:r>
      <w:r w:rsidR="3288AF76" w:rsidRPr="004E70CE">
        <w:t xml:space="preserve">Around 60% </w:t>
      </w:r>
      <w:r w:rsidR="02C8E033" w:rsidRPr="004E70CE">
        <w:t xml:space="preserve">of total emissions (scope 1 and 2) from integrated clinker and cement production are </w:t>
      </w:r>
      <w:r w:rsidR="3288AF76" w:rsidRPr="004E70CE">
        <w:t xml:space="preserve">process emissions from the conversion of limestone and other inputs into clinker, </w:t>
      </w:r>
      <w:r w:rsidR="02C8E033" w:rsidRPr="004E70CE">
        <w:t xml:space="preserve">while </w:t>
      </w:r>
      <w:r w:rsidR="3288AF76" w:rsidRPr="004E70CE">
        <w:t>30% is from</w:t>
      </w:r>
      <w:r w:rsidR="352786FC" w:rsidRPr="004E70CE">
        <w:t xml:space="preserve"> </w:t>
      </w:r>
      <w:r w:rsidR="1D061116" w:rsidRPr="004E70CE">
        <w:t xml:space="preserve">use of </w:t>
      </w:r>
      <w:r w:rsidR="352786FC" w:rsidRPr="004E70CE">
        <w:t>kiln</w:t>
      </w:r>
      <w:r w:rsidR="3288AF76" w:rsidRPr="004E70CE">
        <w:t xml:space="preserve"> fuels.</w:t>
      </w:r>
      <w:r w:rsidR="0098645A" w:rsidRPr="004E70CE">
        <w:rPr>
          <w:rStyle w:val="FootnoteReference"/>
        </w:rPr>
        <w:footnoteReference w:id="37"/>
      </w:r>
      <w:r w:rsidR="2BA9338A" w:rsidRPr="004E70CE">
        <w:t xml:space="preserve"> </w:t>
      </w:r>
    </w:p>
    <w:p w14:paraId="51B1CD24" w14:textId="2F2D4D4B" w:rsidR="0086049E" w:rsidRPr="004E70CE" w:rsidRDefault="00682C5A" w:rsidP="0095651D">
      <w:r w:rsidRPr="004E70CE">
        <w:t>Emissions are high relative t</w:t>
      </w:r>
      <w:r w:rsidR="00F77ED4" w:rsidRPr="004E70CE">
        <w:t>o</w:t>
      </w:r>
      <w:r w:rsidRPr="004E70CE">
        <w:t xml:space="preserve"> the value of </w:t>
      </w:r>
      <w:r w:rsidR="00021B12" w:rsidRPr="004E70CE">
        <w:t>commodities</w:t>
      </w:r>
      <w:r w:rsidRPr="004E70CE">
        <w:t xml:space="preserve">. </w:t>
      </w:r>
      <w:r w:rsidR="0086049E" w:rsidRPr="004E70CE">
        <w:t xml:space="preserve">Carbon costs in 2030 </w:t>
      </w:r>
      <w:r w:rsidR="00D24599" w:rsidRPr="004E70CE">
        <w:t xml:space="preserve">are </w:t>
      </w:r>
      <w:r w:rsidR="0086049E" w:rsidRPr="004E70CE">
        <w:t xml:space="preserve">estimated </w:t>
      </w:r>
      <w:r w:rsidR="00C81415" w:rsidRPr="004E70CE">
        <w:t>to be</w:t>
      </w:r>
      <w:r w:rsidR="0086049E" w:rsidRPr="004E70CE">
        <w:t xml:space="preserve"> </w:t>
      </w:r>
      <w:r w:rsidR="000774CA" w:rsidRPr="004E70CE">
        <w:t>between 5-</w:t>
      </w:r>
      <w:r w:rsidR="0086049E" w:rsidRPr="004E70CE">
        <w:t>1</w:t>
      </w:r>
      <w:r w:rsidR="00742BCD" w:rsidRPr="004E70CE">
        <w:t>0</w:t>
      </w:r>
      <w:r w:rsidR="0086049E" w:rsidRPr="004E70CE">
        <w:t xml:space="preserve">% and </w:t>
      </w:r>
      <w:r w:rsidR="000774CA" w:rsidRPr="004E70CE">
        <w:t>20-30</w:t>
      </w:r>
      <w:r w:rsidR="0086049E" w:rsidRPr="004E70CE">
        <w:t xml:space="preserve">% of cement and clinker prices respectively. </w:t>
      </w:r>
      <w:r w:rsidR="004A5006" w:rsidRPr="004E70CE">
        <w:t>R</w:t>
      </w:r>
      <w:r w:rsidR="00F77ED4" w:rsidRPr="004E70CE">
        <w:t xml:space="preserve">eliable data on emissions intensity of foreign </w:t>
      </w:r>
      <w:r w:rsidR="007F7727" w:rsidRPr="004E70CE">
        <w:t xml:space="preserve">produced </w:t>
      </w:r>
      <w:r w:rsidR="00021B12" w:rsidRPr="004E70CE">
        <w:t>commodities</w:t>
      </w:r>
      <w:r w:rsidR="00F77ED4" w:rsidRPr="004E70CE">
        <w:t xml:space="preserve"> is limited but suggests clinker imports may be more emissions intensive than domestic clinker.</w:t>
      </w:r>
    </w:p>
    <w:p w14:paraId="2D17D0A5" w14:textId="77777777" w:rsidR="00E61F2A" w:rsidRPr="004E70CE" w:rsidRDefault="00362BE6" w:rsidP="0095651D">
      <w:r w:rsidRPr="004E70CE">
        <w:t xml:space="preserve">Decarbonisation </w:t>
      </w:r>
      <w:r w:rsidR="007F7727" w:rsidRPr="004E70CE">
        <w:t xml:space="preserve">of cement production </w:t>
      </w:r>
      <w:r w:rsidRPr="004E70CE">
        <w:t xml:space="preserve">is possible through </w:t>
      </w:r>
      <w:r w:rsidR="00300C9C" w:rsidRPr="004E70CE">
        <w:t xml:space="preserve">efficiency improvements, clinker substitution </w:t>
      </w:r>
      <w:r w:rsidR="00ED62EF" w:rsidRPr="004E70CE">
        <w:t>in cement production</w:t>
      </w:r>
      <w:r w:rsidRPr="004E70CE">
        <w:t xml:space="preserve"> and </w:t>
      </w:r>
      <w:r w:rsidR="00300C9C" w:rsidRPr="004E70CE">
        <w:t>alternative kiln fuels</w:t>
      </w:r>
      <w:r w:rsidRPr="004E70CE">
        <w:t>. C</w:t>
      </w:r>
      <w:r w:rsidR="00ED20E7" w:rsidRPr="004E70CE">
        <w:t>arbon capture, utilisation and storage (C</w:t>
      </w:r>
      <w:r w:rsidRPr="004E70CE">
        <w:t>CUS</w:t>
      </w:r>
      <w:r w:rsidR="00ED20E7" w:rsidRPr="004E70CE">
        <w:t>)</w:t>
      </w:r>
      <w:r w:rsidR="00A92631" w:rsidRPr="004E70CE">
        <w:t xml:space="preserve"> </w:t>
      </w:r>
      <w:r w:rsidR="004F5022" w:rsidRPr="004E70CE">
        <w:t xml:space="preserve">will be key </w:t>
      </w:r>
      <w:r w:rsidR="00A92631" w:rsidRPr="004E70CE">
        <w:t xml:space="preserve">to </w:t>
      </w:r>
      <w:r w:rsidR="00E177C0" w:rsidRPr="004E70CE">
        <w:t>achiev</w:t>
      </w:r>
      <w:r w:rsidR="004F5022" w:rsidRPr="004E70CE">
        <w:t>ing</w:t>
      </w:r>
      <w:r w:rsidR="00E177C0" w:rsidRPr="004E70CE">
        <w:t xml:space="preserve"> step change reductions in </w:t>
      </w:r>
      <w:r w:rsidR="00300C9C" w:rsidRPr="004E70CE">
        <w:t>process emissions</w:t>
      </w:r>
      <w:r w:rsidR="00A92631" w:rsidRPr="004E70CE">
        <w:t>,</w:t>
      </w:r>
      <w:r w:rsidR="00E177C0" w:rsidRPr="004E70CE">
        <w:t xml:space="preserve"> but </w:t>
      </w:r>
      <w:r w:rsidR="004F5022" w:rsidRPr="004E70CE">
        <w:t xml:space="preserve">most </w:t>
      </w:r>
      <w:r w:rsidR="007F7727" w:rsidRPr="004E70CE">
        <w:t xml:space="preserve">domestic </w:t>
      </w:r>
      <w:r w:rsidR="004F5022" w:rsidRPr="004E70CE">
        <w:lastRenderedPageBreak/>
        <w:t>stakeholders do not see this being</w:t>
      </w:r>
      <w:r w:rsidR="009D2D96" w:rsidRPr="004E70CE">
        <w:t xml:space="preserve"> </w:t>
      </w:r>
      <w:r w:rsidR="00A92631" w:rsidRPr="004E70CE">
        <w:t xml:space="preserve">commercially </w:t>
      </w:r>
      <w:r w:rsidR="00937A71" w:rsidRPr="004E70CE">
        <w:t>viab</w:t>
      </w:r>
      <w:r w:rsidR="004656D8" w:rsidRPr="004E70CE">
        <w:t>le</w:t>
      </w:r>
      <w:r w:rsidR="00C13552" w:rsidRPr="004E70CE">
        <w:t xml:space="preserve"> in the near term</w:t>
      </w:r>
      <w:r w:rsidR="00937A71" w:rsidRPr="004E70CE">
        <w:t xml:space="preserve">. </w:t>
      </w:r>
      <w:r w:rsidR="00857A2A" w:rsidRPr="004E70CE">
        <w:t xml:space="preserve">Overall decarbonisation will also involve </w:t>
      </w:r>
      <w:r w:rsidR="00116022" w:rsidRPr="004E70CE">
        <w:t xml:space="preserve">some </w:t>
      </w:r>
      <w:r w:rsidR="00857A2A" w:rsidRPr="004E70CE">
        <w:t>product substitution towards alternatives to concrete.</w:t>
      </w:r>
    </w:p>
    <w:p w14:paraId="05AC195F" w14:textId="2431DC5E" w:rsidR="00225268" w:rsidRPr="004E70CE" w:rsidRDefault="14AC5594" w:rsidP="0095651D">
      <w:r w:rsidRPr="004E70CE">
        <w:t>Estimates of p</w:t>
      </w:r>
      <w:r w:rsidR="521BFC00" w:rsidRPr="004E70CE">
        <w:t xml:space="preserve">otential leakage </w:t>
      </w:r>
      <w:r w:rsidRPr="004E70CE">
        <w:t xml:space="preserve">for cement and clinker were found to be amongst the highest for all </w:t>
      </w:r>
      <w:r w:rsidR="2A69888C" w:rsidRPr="004E70CE">
        <w:t>commodities</w:t>
      </w:r>
      <w:r w:rsidRPr="004E70CE">
        <w:t xml:space="preserve">, with reduced </w:t>
      </w:r>
      <w:r w:rsidR="00C67687" w:rsidRPr="004E70CE">
        <w:t xml:space="preserve">Safeguard </w:t>
      </w:r>
      <w:r w:rsidR="686ABA6F" w:rsidRPr="004E70CE">
        <w:t xml:space="preserve">production </w:t>
      </w:r>
      <w:r w:rsidRPr="004E70CE">
        <w:t xml:space="preserve">of up to </w:t>
      </w:r>
      <w:r w:rsidR="5DC090EB" w:rsidRPr="004E70CE">
        <w:t>2</w:t>
      </w:r>
      <w:r w:rsidR="00742BCD" w:rsidRPr="004E70CE">
        <w:t>6</w:t>
      </w:r>
      <w:r w:rsidR="521BFC00" w:rsidRPr="004E70CE">
        <w:t xml:space="preserve">% for clinker and </w:t>
      </w:r>
      <w:r w:rsidR="5DC090EB" w:rsidRPr="004E70CE">
        <w:t>2</w:t>
      </w:r>
      <w:r w:rsidR="521BFC00" w:rsidRPr="004E70CE">
        <w:t xml:space="preserve">% for cement, </w:t>
      </w:r>
      <w:r w:rsidR="72374AB5" w:rsidRPr="004E70CE">
        <w:t>in</w:t>
      </w:r>
      <w:r w:rsidR="521BFC00" w:rsidRPr="004E70CE">
        <w:t xml:space="preserve"> </w:t>
      </w:r>
      <w:r w:rsidR="001C5D0D" w:rsidRPr="004E70CE">
        <w:t>a maximum carbon cost difference</w:t>
      </w:r>
      <w:r w:rsidR="02E7AB23" w:rsidRPr="004E70CE">
        <w:t xml:space="preserve"> </w:t>
      </w:r>
      <w:r w:rsidR="521BFC00" w:rsidRPr="004E70CE">
        <w:t>scenario.</w:t>
      </w:r>
    </w:p>
    <w:p w14:paraId="3655F34E" w14:textId="77777777" w:rsidR="002032C7" w:rsidRPr="004E70CE" w:rsidRDefault="002032C7" w:rsidP="0095651D">
      <w:r w:rsidRPr="004E70CE">
        <w:t xml:space="preserve">Engagement with industry </w:t>
      </w:r>
      <w:r w:rsidR="00BD18BB" w:rsidRPr="004E70CE">
        <w:t xml:space="preserve">also </w:t>
      </w:r>
      <w:r w:rsidRPr="004E70CE">
        <w:t xml:space="preserve">highlighted risks </w:t>
      </w:r>
      <w:r w:rsidR="00BD18BB" w:rsidRPr="004E70CE">
        <w:t xml:space="preserve">of </w:t>
      </w:r>
      <w:r w:rsidRPr="004E70CE">
        <w:t xml:space="preserve">investment leakage, due to investor </w:t>
      </w:r>
      <w:r w:rsidR="009E31F8" w:rsidRPr="004E70CE">
        <w:t xml:space="preserve">concerns </w:t>
      </w:r>
      <w:r w:rsidR="004B317A" w:rsidRPr="004E70CE">
        <w:t>in the absence of stronger measures to address leakage</w:t>
      </w:r>
      <w:r w:rsidR="009E31F8" w:rsidRPr="004E70CE">
        <w:t xml:space="preserve">. </w:t>
      </w:r>
      <w:r w:rsidR="00B94119" w:rsidRPr="004E70CE">
        <w:t>The risks</w:t>
      </w:r>
      <w:r w:rsidR="00563F94" w:rsidRPr="004E70CE">
        <w:t>, if unaddressed,</w:t>
      </w:r>
      <w:r w:rsidR="00B94119" w:rsidRPr="004E70CE">
        <w:t xml:space="preserve"> </w:t>
      </w:r>
      <w:r w:rsidR="00BD18BB" w:rsidRPr="004E70CE">
        <w:t xml:space="preserve">could deter investment in onsite abatement. </w:t>
      </w:r>
      <w:r w:rsidR="0044621F" w:rsidRPr="004E70CE">
        <w:t>Analysis of</w:t>
      </w:r>
      <w:r w:rsidR="00BA09CD" w:rsidRPr="004E70CE">
        <w:t xml:space="preserve"> </w:t>
      </w:r>
      <w:r w:rsidR="00FF392F" w:rsidRPr="004E70CE">
        <w:t>profi</w:t>
      </w:r>
      <w:r w:rsidR="00CA4B1D" w:rsidRPr="004E70CE">
        <w:t>ts finds cement</w:t>
      </w:r>
      <w:r w:rsidR="008468BC" w:rsidRPr="004E70CE">
        <w:t xml:space="preserve"> to be among the sectors most at </w:t>
      </w:r>
      <w:r w:rsidR="00F86B13" w:rsidRPr="004E70CE">
        <w:t>risk of</w:t>
      </w:r>
      <w:r w:rsidR="008468BC" w:rsidRPr="004E70CE">
        <w:t xml:space="preserve"> investment leakage</w:t>
      </w:r>
      <w:r w:rsidR="007A7764" w:rsidRPr="004E70CE">
        <w:t xml:space="preserve"> (see </w:t>
      </w:r>
      <w:r w:rsidR="00AB469F" w:rsidRPr="004E70CE">
        <w:rPr>
          <w:b/>
        </w:rPr>
        <w:t>S</w:t>
      </w:r>
      <w:r w:rsidR="007A7764" w:rsidRPr="004E70CE">
        <w:rPr>
          <w:b/>
        </w:rPr>
        <w:t>ection 2.5</w:t>
      </w:r>
      <w:r w:rsidR="007A7764" w:rsidRPr="004E70CE">
        <w:t>).</w:t>
      </w:r>
    </w:p>
    <w:p w14:paraId="1A63CE1B" w14:textId="77777777" w:rsidR="00674413" w:rsidRPr="004E70CE" w:rsidRDefault="00674413" w:rsidP="0095651D">
      <w:r w:rsidRPr="004E70CE">
        <w:t xml:space="preserve">Given these results, there is a </w:t>
      </w:r>
      <w:r w:rsidR="003E2AEF" w:rsidRPr="004E70CE">
        <w:t>clear</w:t>
      </w:r>
      <w:r w:rsidRPr="004E70CE">
        <w:t xml:space="preserve"> basis for considering further policies to mitigate leakage for cement and clinker production. </w:t>
      </w:r>
      <w:r w:rsidR="009835DA" w:rsidRPr="004E70CE">
        <w:t>E</w:t>
      </w:r>
      <w:r w:rsidR="00274A74" w:rsidRPr="004E70CE">
        <w:t>arlier action on additional p</w:t>
      </w:r>
      <w:r w:rsidR="00A97A5E" w:rsidRPr="004E70CE">
        <w:t xml:space="preserve">olicies is worth considering given the </w:t>
      </w:r>
      <w:r w:rsidR="009835DA" w:rsidRPr="004E70CE">
        <w:t xml:space="preserve">more </w:t>
      </w:r>
      <w:r w:rsidR="00A97A5E" w:rsidRPr="004E70CE">
        <w:t xml:space="preserve">pronounced </w:t>
      </w:r>
      <w:r w:rsidR="0089304B" w:rsidRPr="004E70CE">
        <w:t>nature of the leakage risks for cement and clinker.</w:t>
      </w:r>
    </w:p>
    <w:p w14:paraId="01E6A253" w14:textId="77777777" w:rsidR="008A6871" w:rsidRPr="004E70CE" w:rsidRDefault="008A6871" w:rsidP="0095651D">
      <w:pPr>
        <w:rPr>
          <w:b/>
          <w:bCs/>
        </w:rPr>
      </w:pPr>
      <w:r w:rsidRPr="004E70CE">
        <w:rPr>
          <w:b/>
          <w:bCs/>
        </w:rPr>
        <w:t>L</w:t>
      </w:r>
      <w:r w:rsidR="007B4315" w:rsidRPr="004E70CE">
        <w:rPr>
          <w:b/>
          <w:bCs/>
        </w:rPr>
        <w:t>IME</w:t>
      </w:r>
    </w:p>
    <w:p w14:paraId="07EE0CB1" w14:textId="1D8A28E4" w:rsidR="008A6871" w:rsidRPr="004E70CE" w:rsidRDefault="755EA6D1" w:rsidP="0095651D">
      <w:r w:rsidRPr="004E70CE">
        <w:t>Australia produce</w:t>
      </w:r>
      <w:r w:rsidR="61B40A5B" w:rsidRPr="004E70CE">
        <w:t>d</w:t>
      </w:r>
      <w:r w:rsidRPr="004E70CE">
        <w:t xml:space="preserve"> 1.5 million tonnes of lime</w:t>
      </w:r>
      <w:r w:rsidR="61B40A5B" w:rsidRPr="004E70CE">
        <w:t xml:space="preserve"> in 2021-22</w:t>
      </w:r>
      <w:r w:rsidR="2219332B" w:rsidRPr="004E70CE">
        <w:t>, around three quarters of which is covered by the Safeguard Mechanism</w:t>
      </w:r>
      <w:r w:rsidRPr="004E70CE">
        <w:t>.</w:t>
      </w:r>
      <w:r w:rsidR="008A6871" w:rsidRPr="004E70CE">
        <w:rPr>
          <w:rStyle w:val="FootnoteReference"/>
        </w:rPr>
        <w:footnoteReference w:id="38"/>
      </w:r>
      <w:r w:rsidRPr="004E70CE">
        <w:t xml:space="preserve"> </w:t>
      </w:r>
      <w:r w:rsidR="2219332B" w:rsidRPr="004E70CE">
        <w:t xml:space="preserve">Imports are equivalent to </w:t>
      </w:r>
      <w:r w:rsidR="000C291E" w:rsidRPr="004E70CE">
        <w:t xml:space="preserve">between </w:t>
      </w:r>
      <w:r w:rsidR="001C79CB">
        <w:t>0.4-0.6</w:t>
      </w:r>
      <w:r w:rsidR="2219332B" w:rsidRPr="004E70CE">
        <w:t xml:space="preserve"> of </w:t>
      </w:r>
      <w:r w:rsidR="00C67687" w:rsidRPr="004E70CE">
        <w:t xml:space="preserve">Safeguard </w:t>
      </w:r>
      <w:r w:rsidR="2219332B" w:rsidRPr="004E70CE">
        <w:t>production</w:t>
      </w:r>
      <w:r w:rsidR="473AD42C" w:rsidRPr="004E70CE">
        <w:t xml:space="preserve">, with Southeast Asia being the main source of imports. </w:t>
      </w:r>
      <w:r w:rsidR="2A5B9013" w:rsidRPr="004E70CE">
        <w:t xml:space="preserve">Lime imports are </w:t>
      </w:r>
      <w:r w:rsidR="32AC5FCF" w:rsidRPr="004E70CE">
        <w:t>very</w:t>
      </w:r>
      <w:r w:rsidR="2A5B9013" w:rsidRPr="004E70CE">
        <w:t xml:space="preserve"> sensitive to price changes (elasticity of -</w:t>
      </w:r>
      <w:r w:rsidR="24322D53" w:rsidRPr="004E70CE">
        <w:t>3</w:t>
      </w:r>
      <w:r w:rsidR="2A5B9013" w:rsidRPr="004E70CE">
        <w:t>).</w:t>
      </w:r>
      <w:r w:rsidR="32AC5FCF" w:rsidRPr="004E70CE">
        <w:t xml:space="preserve"> Australia exports negligible volumes of lime.</w:t>
      </w:r>
      <w:r w:rsidR="005B5F06" w:rsidRPr="004E70CE">
        <w:t xml:space="preserve"> </w:t>
      </w:r>
    </w:p>
    <w:p w14:paraId="5269A12B" w14:textId="77FAFAF4" w:rsidR="008A6871" w:rsidRPr="004E70CE" w:rsidRDefault="680D822C" w:rsidP="0095651D">
      <w:r w:rsidRPr="004E70CE">
        <w:t xml:space="preserve">Lime </w:t>
      </w:r>
      <w:r w:rsidR="74E69334" w:rsidRPr="004E70CE">
        <w:t>production</w:t>
      </w:r>
      <w:r w:rsidRPr="004E70CE">
        <w:t xml:space="preserve"> is emissions intensive. </w:t>
      </w:r>
      <w:r w:rsidR="549BE48E" w:rsidRPr="004E70CE">
        <w:t xml:space="preserve">Average lime emissions intensity in Australia is 1.13 </w:t>
      </w:r>
      <w:r w:rsidR="0F0DB9A6" w:rsidRPr="004E70CE">
        <w:t>tonnes CO</w:t>
      </w:r>
      <w:r w:rsidR="0F0DB9A6" w:rsidRPr="004E70CE">
        <w:rPr>
          <w:vertAlign w:val="subscript"/>
        </w:rPr>
        <w:t>2</w:t>
      </w:r>
      <w:r w:rsidR="0F0DB9A6" w:rsidRPr="004E70CE">
        <w:t>-e/tonne</w:t>
      </w:r>
      <w:r w:rsidR="549BE48E" w:rsidRPr="004E70CE">
        <w:t>.</w:t>
      </w:r>
      <w:r w:rsidR="008712B0" w:rsidRPr="004E70CE">
        <w:rPr>
          <w:rStyle w:val="FootnoteReference"/>
        </w:rPr>
        <w:footnoteReference w:id="39"/>
      </w:r>
      <w:r w:rsidR="549BE48E" w:rsidRPr="004E70CE">
        <w:t xml:space="preserve"> The Review found little data on foreign lime emissions intensities, but in general, emissions intensity ranges from 1.02-1.33 </w:t>
      </w:r>
      <w:r w:rsidR="0F0DB9A6" w:rsidRPr="004E70CE">
        <w:t>tonnes CO</w:t>
      </w:r>
      <w:r w:rsidR="0F0DB9A6" w:rsidRPr="004E70CE">
        <w:rPr>
          <w:vertAlign w:val="subscript"/>
        </w:rPr>
        <w:t>2</w:t>
      </w:r>
      <w:r w:rsidR="0F0DB9A6" w:rsidRPr="004E70CE">
        <w:t>-e/tonne</w:t>
      </w:r>
      <w:r w:rsidR="549BE48E" w:rsidRPr="004E70CE">
        <w:t xml:space="preserve"> </w:t>
      </w:r>
      <w:r w:rsidR="32AC5FCF" w:rsidRPr="004E70CE">
        <w:t xml:space="preserve">depending on </w:t>
      </w:r>
      <w:r w:rsidR="549BE48E" w:rsidRPr="004E70CE">
        <w:t>kiln and fuel types.</w:t>
      </w:r>
      <w:r w:rsidR="00037A3B" w:rsidRPr="004E70CE">
        <w:rPr>
          <w:rStyle w:val="FootnoteReference"/>
        </w:rPr>
        <w:footnoteReference w:id="40"/>
      </w:r>
      <w:r w:rsidR="549BE48E" w:rsidRPr="004E70CE">
        <w:t xml:space="preserve"> </w:t>
      </w:r>
      <w:r w:rsidRPr="004E70CE">
        <w:t>The sources and shares of emissions from each source are very similar to clinker, with process emissions from calcination of limestone into lime and kiln fuels being the main sources.</w:t>
      </w:r>
      <w:r w:rsidR="5ACF7B28" w:rsidRPr="004E70CE">
        <w:t xml:space="preserve"> Options to decarbonise rely </w:t>
      </w:r>
      <w:r w:rsidR="7D6D7CAD" w:rsidRPr="004E70CE">
        <w:t xml:space="preserve">mainly </w:t>
      </w:r>
      <w:r w:rsidR="5ACF7B28" w:rsidRPr="004E70CE">
        <w:t xml:space="preserve">on alternative kiln fuels and </w:t>
      </w:r>
      <w:r w:rsidR="00E37B50" w:rsidRPr="004E70CE">
        <w:t>CCUS</w:t>
      </w:r>
      <w:r w:rsidR="5ACF7B28" w:rsidRPr="004E70CE">
        <w:t xml:space="preserve">. </w:t>
      </w:r>
      <w:r w:rsidR="028E0E7F" w:rsidRPr="004E70CE">
        <w:t xml:space="preserve">Emissions are high relative to the value of lime, with 2030 carbon costs estimated at </w:t>
      </w:r>
      <w:r w:rsidR="000774CA" w:rsidRPr="004E70CE">
        <w:t>between 5-10</w:t>
      </w:r>
      <w:r w:rsidR="028E0E7F" w:rsidRPr="004E70CE">
        <w:t>% of price.</w:t>
      </w:r>
    </w:p>
    <w:p w14:paraId="3958C84D" w14:textId="6B9C3146" w:rsidR="00C23199" w:rsidRPr="004E70CE" w:rsidRDefault="007E5139" w:rsidP="0095651D">
      <w:r w:rsidRPr="004E70CE">
        <w:t xml:space="preserve">Under </w:t>
      </w:r>
      <w:r w:rsidR="001C5D0D" w:rsidRPr="004E70CE">
        <w:t>a maximum carbon cost difference</w:t>
      </w:r>
      <w:r w:rsidRPr="004E70CE">
        <w:t xml:space="preserve"> scenario, </w:t>
      </w:r>
      <w:r w:rsidR="00747697" w:rsidRPr="004E70CE">
        <w:t xml:space="preserve">estimated declines in </w:t>
      </w:r>
      <w:r w:rsidR="0062108D" w:rsidRPr="004E70CE">
        <w:t>Safeguard</w:t>
      </w:r>
      <w:r w:rsidR="00747697" w:rsidRPr="004E70CE">
        <w:t xml:space="preserve"> production due to carbon costs are around </w:t>
      </w:r>
      <w:r w:rsidR="00385878" w:rsidRPr="004E70CE">
        <w:t>7</w:t>
      </w:r>
      <w:r w:rsidR="00747697" w:rsidRPr="004E70CE">
        <w:t>%</w:t>
      </w:r>
      <w:r w:rsidR="00C8672D" w:rsidRPr="004E70CE">
        <w:t xml:space="preserve">. </w:t>
      </w:r>
    </w:p>
    <w:p w14:paraId="1E090CCA" w14:textId="77777777" w:rsidR="00CC3BF3" w:rsidRPr="004E70CE" w:rsidRDefault="009C79E8" w:rsidP="0095651D">
      <w:r w:rsidRPr="004E70CE">
        <w:t>Industry o</w:t>
      </w:r>
      <w:r w:rsidR="00812DE7" w:rsidRPr="004E70CE">
        <w:t xml:space="preserve">bservations </w:t>
      </w:r>
      <w:r w:rsidR="00BD030A" w:rsidRPr="004E70CE">
        <w:t xml:space="preserve">about </w:t>
      </w:r>
      <w:r w:rsidR="00812DE7" w:rsidRPr="004E70CE">
        <w:t xml:space="preserve">the risks of investment leakage </w:t>
      </w:r>
      <w:r w:rsidR="00BD030A" w:rsidRPr="004E70CE">
        <w:t>for</w:t>
      </w:r>
      <w:r w:rsidR="00812DE7" w:rsidRPr="004E70CE">
        <w:t xml:space="preserve"> cement and clinker </w:t>
      </w:r>
      <w:r w:rsidRPr="004E70CE">
        <w:t xml:space="preserve">were </w:t>
      </w:r>
      <w:r w:rsidR="00812DE7" w:rsidRPr="004E70CE">
        <w:t xml:space="preserve">also </w:t>
      </w:r>
      <w:r w:rsidR="00BD030A" w:rsidRPr="004E70CE">
        <w:t>applicable</w:t>
      </w:r>
      <w:r w:rsidR="00812DE7" w:rsidRPr="004E70CE">
        <w:t xml:space="preserve"> to lime</w:t>
      </w:r>
      <w:r w:rsidR="001F41F1" w:rsidRPr="004E70CE">
        <w:t>.</w:t>
      </w:r>
      <w:r w:rsidR="00175C28" w:rsidRPr="004E70CE">
        <w:t xml:space="preserve"> </w:t>
      </w:r>
      <w:r w:rsidR="001F41F1" w:rsidRPr="004E70CE">
        <w:t>The</w:t>
      </w:r>
      <w:r w:rsidR="00AB04C1" w:rsidRPr="004E70CE">
        <w:t xml:space="preserve">se views </w:t>
      </w:r>
      <w:r w:rsidR="00175C28" w:rsidRPr="004E70CE">
        <w:t>were shared by domestic producers within and outside</w:t>
      </w:r>
      <w:r w:rsidR="00BD030A" w:rsidRPr="004E70CE">
        <w:t xml:space="preserve"> </w:t>
      </w:r>
      <w:r w:rsidR="00175C28" w:rsidRPr="004E70CE">
        <w:t xml:space="preserve">of the </w:t>
      </w:r>
      <w:r w:rsidR="00BD030A" w:rsidRPr="004E70CE">
        <w:t>Safeguard Mechanism.</w:t>
      </w:r>
      <w:r w:rsidR="00CC3BF3" w:rsidRPr="004E70CE">
        <w:t xml:space="preserve"> Analysis of profits finds </w:t>
      </w:r>
      <w:r w:rsidR="00F86B13" w:rsidRPr="004E70CE">
        <w:t>lime</w:t>
      </w:r>
      <w:r w:rsidR="00CC3BF3" w:rsidRPr="004E70CE">
        <w:t xml:space="preserve"> to be among the sectors most </w:t>
      </w:r>
      <w:r w:rsidR="00F86B13" w:rsidRPr="004E70CE">
        <w:t xml:space="preserve">vulnerable </w:t>
      </w:r>
      <w:r w:rsidR="00CC3BF3" w:rsidRPr="004E70CE">
        <w:t xml:space="preserve">to investment leakage (see </w:t>
      </w:r>
      <w:r w:rsidR="00963CBF" w:rsidRPr="004E70CE">
        <w:rPr>
          <w:b/>
          <w:bCs/>
        </w:rPr>
        <w:t>S</w:t>
      </w:r>
      <w:r w:rsidR="00CC3BF3" w:rsidRPr="004E70CE">
        <w:rPr>
          <w:b/>
          <w:bCs/>
        </w:rPr>
        <w:t>ection 2.5</w:t>
      </w:r>
      <w:r w:rsidR="00CC3BF3" w:rsidRPr="004E70CE">
        <w:t>).</w:t>
      </w:r>
    </w:p>
    <w:p w14:paraId="5C3C5A8D" w14:textId="77777777" w:rsidR="00433C67" w:rsidRPr="004E70CE" w:rsidRDefault="00843230" w:rsidP="0095651D">
      <w:r w:rsidRPr="004E70CE">
        <w:t xml:space="preserve">Given these results, </w:t>
      </w:r>
      <w:r w:rsidR="00433C67" w:rsidRPr="004E70CE">
        <w:t xml:space="preserve">there is a basis for considering further policies to mitigate leakage for </w:t>
      </w:r>
      <w:r w:rsidR="00C175F8" w:rsidRPr="004E70CE">
        <w:t>lime</w:t>
      </w:r>
      <w:r w:rsidR="00433C67" w:rsidRPr="004E70CE">
        <w:t xml:space="preserve"> production. </w:t>
      </w:r>
      <w:r w:rsidR="009835DA" w:rsidRPr="004E70CE">
        <w:t>Earlier action on additional policies is worth considering given the more pronounced nature of the leakage risks for lime.</w:t>
      </w:r>
    </w:p>
    <w:p w14:paraId="66D80DC9" w14:textId="77777777" w:rsidR="0060546E" w:rsidRPr="004E70CE" w:rsidRDefault="0060546E">
      <w:pPr>
        <w:spacing w:after="0" w:line="240" w:lineRule="auto"/>
        <w:rPr>
          <w:b/>
          <w:bCs/>
        </w:rPr>
      </w:pPr>
      <w:r w:rsidRPr="004E70CE">
        <w:rPr>
          <w:b/>
          <w:bCs/>
        </w:rPr>
        <w:br w:type="page"/>
      </w:r>
    </w:p>
    <w:p w14:paraId="126AC3C5" w14:textId="7D9561DB" w:rsidR="00D252BB" w:rsidRPr="004E70CE" w:rsidRDefault="00D252BB" w:rsidP="0095651D">
      <w:pPr>
        <w:rPr>
          <w:b/>
          <w:bCs/>
        </w:rPr>
      </w:pPr>
      <w:r w:rsidRPr="004E70CE">
        <w:rPr>
          <w:b/>
          <w:bCs/>
        </w:rPr>
        <w:lastRenderedPageBreak/>
        <w:t>AMMONIA AND DERIVATIVES</w:t>
      </w:r>
    </w:p>
    <w:p w14:paraId="24E5094D" w14:textId="77777777" w:rsidR="00D252BB" w:rsidRPr="004E70CE" w:rsidRDefault="00D252BB" w:rsidP="0095651D">
      <w:r w:rsidRPr="004E70CE">
        <w:t xml:space="preserve">Ammonia and key derivatives – ammonium nitrate, ammonium phosphate, urea and sodium cyanide – are used to produce fertilisers, explosives and in other industrial applications. </w:t>
      </w:r>
    </w:p>
    <w:p w14:paraId="01A29350" w14:textId="77777777" w:rsidR="00D252BB" w:rsidRPr="004E70CE" w:rsidRDefault="0C20E02D" w:rsidP="0095651D">
      <w:r w:rsidRPr="004E70CE">
        <w:t>Australia produces around 1.8 million tonnes of ammonia and 1.9 million tonnes of ammonium nitrate.</w:t>
      </w:r>
      <w:r w:rsidR="00D252BB" w:rsidRPr="004E70CE">
        <w:rPr>
          <w:rStyle w:val="FootnoteReference"/>
        </w:rPr>
        <w:footnoteReference w:id="41"/>
      </w:r>
      <w:r w:rsidRPr="004E70CE">
        <w:t xml:space="preserve"> Urea </w:t>
      </w:r>
      <w:r w:rsidR="00341810" w:rsidRPr="004E70CE">
        <w:t xml:space="preserve">was </w:t>
      </w:r>
      <w:r w:rsidR="000C50B4" w:rsidRPr="004E70CE">
        <w:t xml:space="preserve">produced </w:t>
      </w:r>
      <w:r w:rsidR="00341810" w:rsidRPr="004E70CE">
        <w:t>up until the end of 2022 but</w:t>
      </w:r>
      <w:r w:rsidR="00375576" w:rsidRPr="004E70CE">
        <w:t xml:space="preserve"> </w:t>
      </w:r>
      <w:r w:rsidRPr="004E70CE">
        <w:t>is not currently produced domestically</w:t>
      </w:r>
      <w:r w:rsidR="00375576" w:rsidRPr="004E70CE">
        <w:t>. However,</w:t>
      </w:r>
      <w:r w:rsidRPr="004E70CE">
        <w:t xml:space="preserve"> a new 2.3 million tonne/year facility in the Pilbara is due to commence in 2027.</w:t>
      </w:r>
      <w:r w:rsidR="00D252BB" w:rsidRPr="004E70CE">
        <w:rPr>
          <w:rStyle w:val="FootnoteReference"/>
        </w:rPr>
        <w:footnoteReference w:id="42"/>
      </w:r>
      <w:r w:rsidRPr="004E70CE">
        <w:t xml:space="preserve"> </w:t>
      </w:r>
    </w:p>
    <w:p w14:paraId="54FA0A5A" w14:textId="584F6E8C" w:rsidR="00D252BB" w:rsidRPr="004E70CE" w:rsidRDefault="00D252BB" w:rsidP="0095651D">
      <w:r w:rsidRPr="004E70CE">
        <w:t xml:space="preserve">Australia has potential comparative advantages in the production of </w:t>
      </w:r>
      <w:r w:rsidR="006C4EDF" w:rsidRPr="004E70CE">
        <w:t>low</w:t>
      </w:r>
      <w:r w:rsidR="00701A85">
        <w:t xml:space="preserve"> </w:t>
      </w:r>
      <w:r w:rsidR="006C4EDF" w:rsidRPr="004E70CE">
        <w:t>emissions</w:t>
      </w:r>
      <w:r w:rsidRPr="004E70CE">
        <w:t xml:space="preserve"> ammonia and derivatives in a net zero world, due to the potential to produce cost-competitive </w:t>
      </w:r>
      <w:r w:rsidR="00AE444D" w:rsidRPr="004E70CE">
        <w:t xml:space="preserve">renewable </w:t>
      </w:r>
      <w:r w:rsidRPr="004E70CE">
        <w:t xml:space="preserve">hydrogen, a key feedstock for ammonia. </w:t>
      </w:r>
      <w:r w:rsidR="004C3774" w:rsidRPr="004E70CE">
        <w:t>Low emissions</w:t>
      </w:r>
      <w:r w:rsidRPr="004E70CE">
        <w:t xml:space="preserve"> ammonia is also strategically important as a potential carrier for future Australian exports of </w:t>
      </w:r>
      <w:r w:rsidR="00AF747B" w:rsidRPr="004E70CE">
        <w:t>renewable hydrogen</w:t>
      </w:r>
      <w:r w:rsidRPr="004E70CE">
        <w:t xml:space="preserve">. The </w:t>
      </w:r>
      <w:r w:rsidR="009424BA" w:rsidRPr="004E70CE">
        <w:t>government</w:t>
      </w:r>
      <w:r w:rsidRPr="004E70CE">
        <w:t xml:space="preserve"> has identified </w:t>
      </w:r>
      <w:r w:rsidR="00E22602" w:rsidRPr="004E70CE">
        <w:t xml:space="preserve">renewable </w:t>
      </w:r>
      <w:r w:rsidRPr="004E70CE">
        <w:t xml:space="preserve">hydrogen as </w:t>
      </w:r>
      <w:r w:rsidR="00FA0880" w:rsidRPr="004E70CE">
        <w:t xml:space="preserve">an initial </w:t>
      </w:r>
      <w:r w:rsidRPr="004E70CE">
        <w:t xml:space="preserve">priority </w:t>
      </w:r>
      <w:r w:rsidR="001140E9" w:rsidRPr="004E70CE">
        <w:t xml:space="preserve">sector </w:t>
      </w:r>
      <w:r w:rsidRPr="004E70CE">
        <w:t xml:space="preserve">under </w:t>
      </w:r>
      <w:r w:rsidR="00FA0880" w:rsidRPr="004E70CE">
        <w:t xml:space="preserve">its </w:t>
      </w:r>
      <w:r w:rsidR="001140E9" w:rsidRPr="004E70CE">
        <w:t>Future Made in Australia agenda</w:t>
      </w:r>
      <w:r w:rsidR="00AF53F4" w:rsidRPr="004E70CE">
        <w:t>.</w:t>
      </w:r>
      <w:r w:rsidR="004D680E" w:rsidRPr="004E70CE">
        <w:rPr>
          <w:rStyle w:val="FootnoteReference"/>
        </w:rPr>
        <w:footnoteReference w:id="43"/>
      </w:r>
      <w:r w:rsidR="00AF53F4" w:rsidRPr="004E70CE">
        <w:t xml:space="preserve"> </w:t>
      </w:r>
      <w:r w:rsidR="00BB0BAD" w:rsidRPr="004E70CE">
        <w:t xml:space="preserve">Green ammonia is expected to fetch price premiums in some international markets. </w:t>
      </w:r>
    </w:p>
    <w:p w14:paraId="176BF192" w14:textId="6099117C" w:rsidR="00D252BB" w:rsidRPr="004E70CE" w:rsidRDefault="0C20E02D" w:rsidP="0095651D">
      <w:r w:rsidRPr="004E70CE">
        <w:t>In domestic markets, urea and ammonium phosphate appear most exposed to import competition (import</w:t>
      </w:r>
      <w:r w:rsidR="005B5F06" w:rsidRPr="004E70CE">
        <w:t xml:space="preserve">s </w:t>
      </w:r>
      <w:r w:rsidR="00927184" w:rsidRPr="004E70CE">
        <w:t>equivalent</w:t>
      </w:r>
      <w:r w:rsidR="005B5F06" w:rsidRPr="004E70CE">
        <w:t xml:space="preserve"> to</w:t>
      </w:r>
      <w:r w:rsidRPr="004E70CE">
        <w:t xml:space="preserve"> </w:t>
      </w:r>
      <w:r w:rsidR="00B4116F">
        <w:t>1.2-1.4</w:t>
      </w:r>
      <w:r w:rsidRPr="004E70CE">
        <w:t xml:space="preserve"> and </w:t>
      </w:r>
      <w:r w:rsidR="00B4116F">
        <w:t>2.0-2.2</w:t>
      </w:r>
      <w:r w:rsidRPr="004E70CE">
        <w:t xml:space="preserve"> </w:t>
      </w:r>
      <w:r w:rsidR="00B4116F">
        <w:t xml:space="preserve">times the volume </w:t>
      </w:r>
      <w:r w:rsidR="005B5F06" w:rsidRPr="004E70CE">
        <w:t xml:space="preserve">of production under Safeguard </w:t>
      </w:r>
      <w:r w:rsidRPr="004E70CE">
        <w:t>respectively) while ammonia (</w:t>
      </w:r>
      <w:r w:rsidR="001816E8">
        <w:t>0-0.2</w:t>
      </w:r>
      <w:r w:rsidRPr="004E70CE">
        <w:t>), ammoni</w:t>
      </w:r>
      <w:r w:rsidR="00552359" w:rsidRPr="004E70CE">
        <w:t>um</w:t>
      </w:r>
      <w:r w:rsidRPr="004E70CE">
        <w:t xml:space="preserve"> nitrate (</w:t>
      </w:r>
      <w:r w:rsidR="001816E8">
        <w:t>0-0.2</w:t>
      </w:r>
      <w:r w:rsidRPr="004E70CE">
        <w:t>) and sodium cyanide (</w:t>
      </w:r>
      <w:r w:rsidR="001816E8">
        <w:t>0-0.2</w:t>
      </w:r>
      <w:r w:rsidRPr="004E70CE">
        <w:t>) appear less exposed.</w:t>
      </w:r>
      <w:r w:rsidR="00D252BB" w:rsidRPr="004E70CE">
        <w:rPr>
          <w:rStyle w:val="FootnoteReference"/>
        </w:rPr>
        <w:footnoteReference w:id="44"/>
      </w:r>
      <w:r w:rsidRPr="004E70CE">
        <w:t xml:space="preserve"> </w:t>
      </w:r>
      <w:r w:rsidR="318E0B9A" w:rsidRPr="004E70CE">
        <w:t>Sodium cyanide, a</w:t>
      </w:r>
      <w:r w:rsidRPr="004E70CE">
        <w:t>mmonia</w:t>
      </w:r>
      <w:r w:rsidR="3F1AA262" w:rsidRPr="004E70CE">
        <w:t xml:space="preserve">, </w:t>
      </w:r>
      <w:r w:rsidR="318E0B9A" w:rsidRPr="004E70CE">
        <w:t>urea</w:t>
      </w:r>
      <w:r w:rsidRPr="004E70CE">
        <w:t xml:space="preserve"> </w:t>
      </w:r>
      <w:r w:rsidR="3F1AA262" w:rsidRPr="004E70CE">
        <w:t xml:space="preserve">and ammonium nitrate </w:t>
      </w:r>
      <w:r w:rsidRPr="004E70CE">
        <w:t>imports are sensitive to price changes (elasticities of -</w:t>
      </w:r>
      <w:r w:rsidR="318E0B9A" w:rsidRPr="004E70CE">
        <w:t>5.2, -</w:t>
      </w:r>
      <w:r w:rsidR="3F1AA262" w:rsidRPr="004E70CE">
        <w:t xml:space="preserve">3.5, </w:t>
      </w:r>
      <w:r w:rsidR="318E0B9A" w:rsidRPr="004E70CE">
        <w:t>-1.7</w:t>
      </w:r>
      <w:r w:rsidR="3F1AA262" w:rsidRPr="004E70CE">
        <w:t xml:space="preserve"> </w:t>
      </w:r>
      <w:r w:rsidR="318E0B9A" w:rsidRPr="004E70CE">
        <w:t>and -1.</w:t>
      </w:r>
      <w:r w:rsidR="3F1AA262" w:rsidRPr="004E70CE">
        <w:t>0</w:t>
      </w:r>
      <w:r w:rsidR="318E0B9A" w:rsidRPr="004E70CE">
        <w:t xml:space="preserve"> respectively</w:t>
      </w:r>
      <w:r w:rsidRPr="004E70CE">
        <w:t xml:space="preserve">) but other derivatives appear less so. </w:t>
      </w:r>
    </w:p>
    <w:p w14:paraId="231F28EF" w14:textId="10B925AB" w:rsidR="00D252BB" w:rsidRPr="004E70CE" w:rsidRDefault="0C20E02D" w:rsidP="0095651D">
      <w:r w:rsidRPr="004E70CE">
        <w:t>Ammonia (</w:t>
      </w:r>
      <w:r w:rsidR="0021691F">
        <w:t>0-0.2</w:t>
      </w:r>
      <w:r w:rsidRPr="004E70CE">
        <w:t>) and ammonium phosphate (</w:t>
      </w:r>
      <w:r w:rsidR="0021691F">
        <w:t>0.6-0.8</w:t>
      </w:r>
      <w:r w:rsidRPr="004E70CE">
        <w:t>) are relatively more trade</w:t>
      </w:r>
      <w:r w:rsidR="00D73009" w:rsidRPr="004E70CE">
        <w:t>-</w:t>
      </w:r>
      <w:r w:rsidRPr="004E70CE">
        <w:t xml:space="preserve">exposed </w:t>
      </w:r>
      <w:r w:rsidR="0FAC4803" w:rsidRPr="004E70CE">
        <w:t xml:space="preserve">in export markets </w:t>
      </w:r>
      <w:r w:rsidRPr="004E70CE">
        <w:t xml:space="preserve">than </w:t>
      </w:r>
      <w:r w:rsidR="3786E80D" w:rsidRPr="004E70CE">
        <w:t>ammonium nitrate (</w:t>
      </w:r>
      <w:r w:rsidR="0021691F">
        <w:t>0-0.2</w:t>
      </w:r>
      <w:r w:rsidR="3786E80D" w:rsidRPr="004E70CE">
        <w:t xml:space="preserve">), </w:t>
      </w:r>
      <w:r w:rsidRPr="004E70CE">
        <w:t>sodium cyanide (</w:t>
      </w:r>
      <w:r w:rsidR="0021691F">
        <w:t>0-0.2</w:t>
      </w:r>
      <w:r w:rsidRPr="004E70CE">
        <w:t>) and urea (</w:t>
      </w:r>
      <w:r w:rsidR="0021691F">
        <w:t>0-0.2</w:t>
      </w:r>
      <w:r w:rsidRPr="004E70CE">
        <w:t>).</w:t>
      </w:r>
      <w:r w:rsidR="008023FF" w:rsidRPr="004E70CE">
        <w:rPr>
          <w:rStyle w:val="FootnoteReference"/>
        </w:rPr>
        <w:footnoteReference w:id="45"/>
      </w:r>
      <w:r w:rsidRPr="004E70CE">
        <w:t xml:space="preserve"> Exports of ammonium nitrate</w:t>
      </w:r>
      <w:r w:rsidR="00151D5C" w:rsidRPr="004E70CE">
        <w:t>,</w:t>
      </w:r>
      <w:r w:rsidRPr="004E70CE">
        <w:t xml:space="preserve"> ammonia </w:t>
      </w:r>
      <w:r w:rsidR="00151D5C" w:rsidRPr="004E70CE">
        <w:t xml:space="preserve">and </w:t>
      </w:r>
      <w:r w:rsidR="001957CA" w:rsidRPr="004E70CE">
        <w:t xml:space="preserve">urea all </w:t>
      </w:r>
      <w:r w:rsidRPr="004E70CE">
        <w:t>appear sensitive to price changes (</w:t>
      </w:r>
      <w:r w:rsidR="001957CA" w:rsidRPr="004E70CE">
        <w:t xml:space="preserve">elasticities of </w:t>
      </w:r>
      <w:r w:rsidRPr="004E70CE">
        <w:t>-</w:t>
      </w:r>
      <w:r w:rsidR="023F64E3" w:rsidRPr="004E70CE">
        <w:t>11</w:t>
      </w:r>
      <w:r w:rsidR="001957CA" w:rsidRPr="004E70CE">
        <w:t>,</w:t>
      </w:r>
      <w:r w:rsidRPr="004E70CE" w:rsidDel="001957CA">
        <w:t xml:space="preserve"> </w:t>
      </w:r>
      <w:r w:rsidRPr="004E70CE">
        <w:t>-</w:t>
      </w:r>
      <w:r w:rsidR="023F64E3" w:rsidRPr="004E70CE">
        <w:t>3.</w:t>
      </w:r>
      <w:r w:rsidR="00F23A88" w:rsidRPr="004E70CE">
        <w:t>4</w:t>
      </w:r>
      <w:r w:rsidR="001957CA" w:rsidRPr="004E70CE">
        <w:t xml:space="preserve"> and -1.1 respectively</w:t>
      </w:r>
      <w:r w:rsidRPr="004E70CE">
        <w:t>).</w:t>
      </w:r>
      <w:r w:rsidRPr="004E70CE" w:rsidDel="008A7866">
        <w:t xml:space="preserve"> </w:t>
      </w:r>
    </w:p>
    <w:p w14:paraId="7D7229D1" w14:textId="77777777" w:rsidR="00D252BB" w:rsidRPr="004E70CE" w:rsidRDefault="00D252BB" w:rsidP="0095651D">
      <w:r w:rsidRPr="004E70CE">
        <w:t>Conventional production of ammonia is emissions</w:t>
      </w:r>
      <w:r w:rsidR="00EE3BB8" w:rsidRPr="004E70CE">
        <w:t>-</w:t>
      </w:r>
      <w:r w:rsidRPr="004E70CE">
        <w:t>intensive, due to process emissions from the use of gas feedstock to produce hydrogen</w:t>
      </w:r>
      <w:r w:rsidR="00EE3BB8" w:rsidRPr="004E70CE">
        <w:t>,</w:t>
      </w:r>
      <w:r w:rsidRPr="004E70CE">
        <w:t xml:space="preserve"> and fossil fuels to produce heat. Derivative products use ammonia as a feedstock and generate additional process and thermal emissions in their production. </w:t>
      </w:r>
    </w:p>
    <w:p w14:paraId="1FBB44B1" w14:textId="291EBB9B" w:rsidR="00D252BB" w:rsidRPr="004E70CE" w:rsidRDefault="0C20E02D" w:rsidP="0095651D">
      <w:r w:rsidRPr="004E70CE">
        <w:t xml:space="preserve">Carbon costs in 2030 as a share of prices is estimated to be </w:t>
      </w:r>
      <w:r w:rsidR="000774CA" w:rsidRPr="004E70CE">
        <w:t>between</w:t>
      </w:r>
      <w:r w:rsidR="00C20760" w:rsidRPr="004E70CE">
        <w:t xml:space="preserve"> </w:t>
      </w:r>
      <w:r w:rsidR="000774CA" w:rsidRPr="004E70CE">
        <w:t>1-</w:t>
      </w:r>
      <w:r w:rsidRPr="004E70CE">
        <w:t xml:space="preserve">3% for </w:t>
      </w:r>
      <w:r w:rsidR="00D12338" w:rsidRPr="004E70CE">
        <w:t>urea</w:t>
      </w:r>
      <w:r w:rsidR="000774CA" w:rsidRPr="004E70CE">
        <w:t>,</w:t>
      </w:r>
      <w:r w:rsidR="00D12338" w:rsidRPr="004E70CE">
        <w:t xml:space="preserve"> </w:t>
      </w:r>
      <w:r w:rsidRPr="004E70CE">
        <w:t>ammonia</w:t>
      </w:r>
      <w:r w:rsidR="000774CA" w:rsidRPr="004E70CE">
        <w:t xml:space="preserve"> and</w:t>
      </w:r>
      <w:r w:rsidRPr="004E70CE">
        <w:t xml:space="preserve"> ammonium nitrate, and </w:t>
      </w:r>
      <w:r w:rsidR="000774CA" w:rsidRPr="004E70CE">
        <w:t>between 0-</w:t>
      </w:r>
      <w:r w:rsidRPr="004E70CE">
        <w:t>1%</w:t>
      </w:r>
      <w:r w:rsidR="002941F0" w:rsidRPr="004E70CE">
        <w:t xml:space="preserve"> </w:t>
      </w:r>
      <w:r w:rsidRPr="004E70CE">
        <w:t>for ammonium phosphate and sodium cyanide.</w:t>
      </w:r>
      <w:r w:rsidR="3D254930" w:rsidRPr="004E70CE">
        <w:t xml:space="preserve"> </w:t>
      </w:r>
      <w:r w:rsidRPr="004E70CE">
        <w:t>Carbon costs have less impact on prices than costs for other inputs such as gas.</w:t>
      </w:r>
      <w:r w:rsidR="00D252BB" w:rsidRPr="004E70CE">
        <w:rPr>
          <w:rStyle w:val="FootnoteReference"/>
        </w:rPr>
        <w:footnoteReference w:id="46"/>
      </w:r>
    </w:p>
    <w:p w14:paraId="24E4678E" w14:textId="2CA545C9" w:rsidR="009D7498" w:rsidRPr="004E70CE" w:rsidRDefault="009D7498" w:rsidP="0095651D">
      <w:r w:rsidRPr="004E70CE">
        <w:t xml:space="preserve">The urea assessment is based on an expected new facility in 2030, which is likely to be more representative of the sector at that time, but inherently involves additional uncertain assumptions. </w:t>
      </w:r>
    </w:p>
    <w:p w14:paraId="6E470740" w14:textId="5B72ED89" w:rsidR="00D252BB" w:rsidRPr="004E70CE" w:rsidRDefault="0C20E02D" w:rsidP="0095651D">
      <w:pPr>
        <w:rPr>
          <w:b/>
          <w:bCs/>
          <w:i/>
          <w:iCs/>
        </w:rPr>
      </w:pPr>
      <w:r w:rsidRPr="004E70CE">
        <w:t xml:space="preserve">There are various pathways to decarbonise ammonia supply chains. They include </w:t>
      </w:r>
      <w:r w:rsidR="31ACB602" w:rsidRPr="004E70CE">
        <w:t>renewable hydrogen</w:t>
      </w:r>
      <w:r w:rsidRPr="004E70CE">
        <w:t xml:space="preserve"> to replace the steam methane reforming step in ammonia production, and electrification </w:t>
      </w:r>
      <w:r w:rsidRPr="004E70CE">
        <w:lastRenderedPageBreak/>
        <w:t>of heat processes.</w:t>
      </w:r>
      <w:r w:rsidR="00D252BB" w:rsidRPr="004E70CE">
        <w:rPr>
          <w:rStyle w:val="FootnoteReference"/>
        </w:rPr>
        <w:footnoteReference w:id="47"/>
      </w:r>
      <w:r w:rsidRPr="004E70CE">
        <w:t xml:space="preserve"> </w:t>
      </w:r>
      <w:r w:rsidR="008A7F5F" w:rsidRPr="004E70CE">
        <w:t>Low emissions</w:t>
      </w:r>
      <w:r w:rsidRPr="004E70CE">
        <w:t xml:space="preserve"> ammonia production could reduce emissions intensity from the current global average of 2.4 tonnes CO</w:t>
      </w:r>
      <w:r w:rsidRPr="004E70CE">
        <w:rPr>
          <w:vertAlign w:val="subscript"/>
        </w:rPr>
        <w:t>2</w:t>
      </w:r>
      <w:r w:rsidRPr="004E70CE">
        <w:t>-e/tonne to 0.2 tonnes CO</w:t>
      </w:r>
      <w:r w:rsidRPr="004E70CE">
        <w:rPr>
          <w:vertAlign w:val="subscript"/>
        </w:rPr>
        <w:t>2</w:t>
      </w:r>
      <w:r w:rsidRPr="004E70CE">
        <w:t>-e/tonne. At some Australian ammonium nitrate facilities, tertiary catalysts are being installed that can reduce onsite emissions by nearly half.</w:t>
      </w:r>
      <w:r w:rsidR="00D252BB" w:rsidRPr="004E70CE">
        <w:rPr>
          <w:rStyle w:val="FootnoteReference"/>
        </w:rPr>
        <w:footnoteReference w:id="48"/>
      </w:r>
      <w:r w:rsidRPr="004E70CE">
        <w:t xml:space="preserve">  </w:t>
      </w:r>
    </w:p>
    <w:p w14:paraId="35EE10FF" w14:textId="44BA0458" w:rsidR="00D252BB" w:rsidRPr="004E70CE" w:rsidRDefault="0C20E02D" w:rsidP="0095651D">
      <w:r w:rsidRPr="004E70CE">
        <w:t xml:space="preserve">In domestic markets, under </w:t>
      </w:r>
      <w:r w:rsidR="004610E0" w:rsidRPr="004E70CE">
        <w:t xml:space="preserve">a </w:t>
      </w:r>
      <w:r w:rsidRPr="004E70CE">
        <w:t xml:space="preserve">maximum </w:t>
      </w:r>
      <w:r w:rsidR="004610E0" w:rsidRPr="004E70CE">
        <w:t>carbon cost difference</w:t>
      </w:r>
      <w:r w:rsidRPr="004E70CE">
        <w:t xml:space="preserve"> scenario, potential declines in </w:t>
      </w:r>
      <w:r w:rsidR="008A7F5F" w:rsidRPr="004E70CE">
        <w:t xml:space="preserve">Safeguard </w:t>
      </w:r>
      <w:r w:rsidRPr="004E70CE">
        <w:t xml:space="preserve">production are modest </w:t>
      </w:r>
      <w:r w:rsidR="00D71008" w:rsidRPr="004E70CE">
        <w:t>at below 1%</w:t>
      </w:r>
      <w:r w:rsidRPr="004E70CE">
        <w:t xml:space="preserve"> across all commodities</w:t>
      </w:r>
      <w:r w:rsidR="477D8A57" w:rsidRPr="004E70CE">
        <w:t xml:space="preserve">, except urea </w:t>
      </w:r>
      <w:r w:rsidR="2DC67D92" w:rsidRPr="004E70CE">
        <w:t xml:space="preserve">where </w:t>
      </w:r>
      <w:r w:rsidR="7B8CDCCE" w:rsidRPr="004E70CE">
        <w:t xml:space="preserve">the estimated decline is </w:t>
      </w:r>
      <w:r w:rsidR="2DC67D92" w:rsidRPr="004E70CE">
        <w:t xml:space="preserve">significant at </w:t>
      </w:r>
      <w:r w:rsidR="00173171" w:rsidRPr="004E70CE">
        <w:t>7</w:t>
      </w:r>
      <w:r w:rsidR="7B8CDCCE" w:rsidRPr="004E70CE">
        <w:t>%</w:t>
      </w:r>
      <w:r w:rsidRPr="004E70CE">
        <w:t>.</w:t>
      </w:r>
      <w:r w:rsidR="000B1A72" w:rsidRPr="004E70CE">
        <w:rPr>
          <w:rStyle w:val="FootnoteReference"/>
        </w:rPr>
        <w:footnoteReference w:id="49"/>
      </w:r>
      <w:r w:rsidRPr="004E70CE">
        <w:t xml:space="preserve"> Leakage risks in export markets are similarly</w:t>
      </w:r>
      <w:r w:rsidR="00F23A88" w:rsidRPr="004E70CE">
        <w:t xml:space="preserve"> low, ranging from </w:t>
      </w:r>
      <w:r w:rsidR="005712E4" w:rsidRPr="004E70CE">
        <w:t>0-</w:t>
      </w:r>
      <w:r w:rsidR="00F23A88" w:rsidRPr="004E70CE">
        <w:t>1% across all commodities</w:t>
      </w:r>
      <w:r w:rsidRPr="004E70CE">
        <w:t xml:space="preserve">. </w:t>
      </w:r>
    </w:p>
    <w:p w14:paraId="090ECC19" w14:textId="1A064835" w:rsidR="00D252BB" w:rsidRPr="004E70CE" w:rsidRDefault="00D252BB" w:rsidP="0095651D">
      <w:r w:rsidRPr="004E70CE">
        <w:t>Industry consultations indicate</w:t>
      </w:r>
      <w:r w:rsidRPr="004E70CE" w:rsidDel="00E937A1">
        <w:t xml:space="preserve"> </w:t>
      </w:r>
      <w:r w:rsidRPr="004E70CE">
        <w:t xml:space="preserve">ammonia and derivatives </w:t>
      </w:r>
      <w:r w:rsidR="00D44EB5" w:rsidRPr="004E70CE">
        <w:t xml:space="preserve">are </w:t>
      </w:r>
      <w:r w:rsidR="00E937A1" w:rsidRPr="004E70CE">
        <w:t xml:space="preserve">seen as </w:t>
      </w:r>
      <w:r w:rsidRPr="004E70CE">
        <w:t xml:space="preserve">vulnerable to leakage in domestic and export markets through trade and investment channels. </w:t>
      </w:r>
      <w:r w:rsidR="003B1485" w:rsidRPr="004E70CE">
        <w:t xml:space="preserve">The Review’s analysis of profits finds </w:t>
      </w:r>
      <w:r w:rsidR="00561EF8" w:rsidRPr="004E70CE">
        <w:t xml:space="preserve">conventional </w:t>
      </w:r>
      <w:r w:rsidR="00A81B38" w:rsidRPr="004E70CE">
        <w:t xml:space="preserve">ammonia and derivatives </w:t>
      </w:r>
      <w:r w:rsidR="00AE3F66" w:rsidRPr="004E70CE">
        <w:t xml:space="preserve">are among the group of </w:t>
      </w:r>
      <w:r w:rsidR="003722F9" w:rsidRPr="004E70CE">
        <w:t xml:space="preserve">industries </w:t>
      </w:r>
      <w:r w:rsidR="00AE3F66" w:rsidRPr="004E70CE">
        <w:t xml:space="preserve">with the second highest level of investment leakage risk (see </w:t>
      </w:r>
      <w:r w:rsidR="00846E73" w:rsidRPr="004E70CE">
        <w:rPr>
          <w:b/>
          <w:bCs/>
        </w:rPr>
        <w:t>S</w:t>
      </w:r>
      <w:r w:rsidR="00AE3F66" w:rsidRPr="004E70CE">
        <w:rPr>
          <w:b/>
          <w:bCs/>
        </w:rPr>
        <w:t>ection 2.5</w:t>
      </w:r>
      <w:r w:rsidR="00AE3F66" w:rsidRPr="004E70CE">
        <w:t xml:space="preserve">). </w:t>
      </w:r>
      <w:r w:rsidR="0002294F" w:rsidRPr="004E70CE">
        <w:t>Stakeholders</w:t>
      </w:r>
      <w:r w:rsidRPr="004E70CE">
        <w:t xml:space="preserve"> noted that production has high fixed </w:t>
      </w:r>
      <w:r w:rsidR="0002294F" w:rsidRPr="004E70CE">
        <w:t>operating</w:t>
      </w:r>
      <w:r w:rsidRPr="004E70CE">
        <w:t xml:space="preserve"> costs, requiring facilities to operate at full capacity. Even small leakage results could therefore have material impacts on facilities. </w:t>
      </w:r>
    </w:p>
    <w:p w14:paraId="5E19068F" w14:textId="00F51155" w:rsidR="00E924F4" w:rsidRPr="004E70CE" w:rsidRDefault="00D252BB" w:rsidP="0095651D">
      <w:r w:rsidRPr="004E70CE">
        <w:t xml:space="preserve">Industry did not see existing policies as sufficient to address leakage in </w:t>
      </w:r>
      <w:r w:rsidR="00AB795E" w:rsidRPr="004E70CE">
        <w:t xml:space="preserve">these products in </w:t>
      </w:r>
      <w:r w:rsidRPr="004E70CE">
        <w:t>the longer term.</w:t>
      </w:r>
    </w:p>
    <w:p w14:paraId="17B89D2C" w14:textId="057BB362" w:rsidR="00D252BB" w:rsidRPr="004E70CE" w:rsidRDefault="00E924F4" w:rsidP="0095651D">
      <w:r w:rsidRPr="004E70CE">
        <w:t>Many also</w:t>
      </w:r>
      <w:r w:rsidR="00D252BB" w:rsidRPr="004E70CE">
        <w:t xml:space="preserve"> viewed a border carbon adjustment as </w:t>
      </w:r>
      <w:r w:rsidR="00735CB2" w:rsidRPr="004E70CE">
        <w:t xml:space="preserve">a </w:t>
      </w:r>
      <w:r w:rsidRPr="004E70CE">
        <w:t xml:space="preserve">valuable </w:t>
      </w:r>
      <w:r w:rsidR="00735CB2" w:rsidRPr="004E70CE">
        <w:t xml:space="preserve">tool </w:t>
      </w:r>
      <w:r w:rsidRPr="004E70CE">
        <w:t>that could support</w:t>
      </w:r>
      <w:r w:rsidR="00735CB2" w:rsidRPr="004E70CE">
        <w:t xml:space="preserve"> </w:t>
      </w:r>
      <w:r w:rsidR="00D252BB" w:rsidRPr="004E70CE">
        <w:t xml:space="preserve">investment in a transition to low emissions production in Australia. </w:t>
      </w:r>
    </w:p>
    <w:p w14:paraId="71CD3AA4" w14:textId="01AC2A0E" w:rsidR="008F0487" w:rsidRPr="004E70CE" w:rsidRDefault="008F0487" w:rsidP="0095651D">
      <w:r w:rsidRPr="004E70CE">
        <w:t>Green ammonia could be used as a carrier of renewable hydrogen, or in industrial applications in markets willing to pay a green premium in the near term, either due to industry decarbonisation commitments or the presence of carbon border adjustments or similar policies.</w:t>
      </w:r>
    </w:p>
    <w:p w14:paraId="7C550053" w14:textId="61EA3FC0" w:rsidR="00153C36" w:rsidRPr="004E70CE" w:rsidRDefault="00CC0E7C" w:rsidP="0095651D">
      <w:r w:rsidRPr="004E70CE">
        <w:t xml:space="preserve">The market dynamics for green </w:t>
      </w:r>
      <w:r w:rsidR="00D46F3C" w:rsidRPr="004E70CE">
        <w:t>or low</w:t>
      </w:r>
      <w:r w:rsidR="00EE1A05">
        <w:t xml:space="preserve"> </w:t>
      </w:r>
      <w:r w:rsidR="00D46F3C" w:rsidRPr="004E70CE">
        <w:t xml:space="preserve">emissions </w:t>
      </w:r>
      <w:r w:rsidRPr="004E70CE">
        <w:t xml:space="preserve">ammonia </w:t>
      </w:r>
      <w:r w:rsidR="00437006" w:rsidRPr="004E70CE">
        <w:t xml:space="preserve">are </w:t>
      </w:r>
      <w:r w:rsidR="00550C52" w:rsidRPr="004E70CE">
        <w:t>favourable</w:t>
      </w:r>
      <w:r w:rsidR="006C7291" w:rsidRPr="004E70CE">
        <w:t xml:space="preserve"> with global demand for green ammonia expected to grow as the world transitions to net zero</w:t>
      </w:r>
      <w:r w:rsidR="00B51A63" w:rsidRPr="004E70CE">
        <w:t xml:space="preserve">. </w:t>
      </w:r>
      <w:r w:rsidR="00093015" w:rsidRPr="004E70CE">
        <w:t xml:space="preserve">The market size </w:t>
      </w:r>
      <w:r w:rsidR="00D75D1D" w:rsidRPr="004E70CE">
        <w:t xml:space="preserve">of </w:t>
      </w:r>
      <w:r w:rsidR="006026BA" w:rsidRPr="004E70CE">
        <w:t xml:space="preserve">green ammonia </w:t>
      </w:r>
      <w:r w:rsidR="00093015" w:rsidRPr="004E70CE">
        <w:t xml:space="preserve">is expected </w:t>
      </w:r>
      <w:r w:rsidR="00096539" w:rsidRPr="004E70CE">
        <w:t xml:space="preserve">grow </w:t>
      </w:r>
      <w:r w:rsidR="00F43B3D" w:rsidRPr="004E70CE">
        <w:t xml:space="preserve">from </w:t>
      </w:r>
      <w:r w:rsidR="004C132C" w:rsidRPr="004E70CE">
        <w:t>US$</w:t>
      </w:r>
      <w:r w:rsidR="00F43B3D" w:rsidRPr="004E70CE">
        <w:t xml:space="preserve">0.3b to </w:t>
      </w:r>
      <w:r w:rsidR="004C132C" w:rsidRPr="004E70CE">
        <w:t xml:space="preserve">around </w:t>
      </w:r>
      <w:r w:rsidR="00AE71DA" w:rsidRPr="004E70CE">
        <w:t>US$</w:t>
      </w:r>
      <w:r w:rsidR="004C132C" w:rsidRPr="004E70CE">
        <w:t>60</w:t>
      </w:r>
      <w:r w:rsidR="00291DE1" w:rsidRPr="004E70CE">
        <w:t>b</w:t>
      </w:r>
      <w:r w:rsidR="00AE71DA" w:rsidRPr="004E70CE">
        <w:t xml:space="preserve"> in 203</w:t>
      </w:r>
      <w:r w:rsidR="001730DF" w:rsidRPr="004E70CE">
        <w:t>0</w:t>
      </w:r>
      <w:r w:rsidR="00AE71DA" w:rsidRPr="004E70CE">
        <w:t>s</w:t>
      </w:r>
      <w:r w:rsidR="00550C52" w:rsidRPr="004E70CE">
        <w:t>.</w:t>
      </w:r>
      <w:r w:rsidR="00BB3673" w:rsidRPr="004E70CE">
        <w:rPr>
          <w:rStyle w:val="FootnoteReference"/>
        </w:rPr>
        <w:footnoteReference w:id="50"/>
      </w:r>
      <w:r w:rsidR="00550C52" w:rsidRPr="004E70CE">
        <w:t xml:space="preserve"> </w:t>
      </w:r>
      <w:r w:rsidR="002B23FA" w:rsidRPr="004E70CE">
        <w:t xml:space="preserve">Major </w:t>
      </w:r>
      <w:r w:rsidR="00A37E71" w:rsidRPr="004E70CE">
        <w:t xml:space="preserve">global </w:t>
      </w:r>
      <w:r w:rsidR="002B23FA" w:rsidRPr="004E70CE">
        <w:t>players are already locking</w:t>
      </w:r>
      <w:r w:rsidR="00D738F2">
        <w:t xml:space="preserve"> </w:t>
      </w:r>
      <w:r w:rsidR="002B23FA" w:rsidRPr="004E70CE">
        <w:t>in offtake agreements</w:t>
      </w:r>
      <w:r w:rsidR="00A37E71" w:rsidRPr="004E70CE">
        <w:t xml:space="preserve"> for their production of green or low</w:t>
      </w:r>
      <w:r w:rsidR="00D738F2">
        <w:t xml:space="preserve"> </w:t>
      </w:r>
      <w:r w:rsidR="00D46F3C" w:rsidRPr="004E70CE">
        <w:t>emissions</w:t>
      </w:r>
      <w:r w:rsidR="00A37E71" w:rsidRPr="004E70CE">
        <w:t xml:space="preserve"> ammonia products</w:t>
      </w:r>
      <w:r w:rsidR="00A809B9" w:rsidRPr="004E70CE">
        <w:t>.</w:t>
      </w:r>
      <w:r w:rsidR="001730DF" w:rsidRPr="004E70CE">
        <w:rPr>
          <w:rStyle w:val="FootnoteReference"/>
        </w:rPr>
        <w:footnoteReference w:id="51"/>
      </w:r>
      <w:r w:rsidR="00A809B9" w:rsidRPr="004E70CE">
        <w:t xml:space="preserve"> This suggests the emergence of a</w:t>
      </w:r>
      <w:r w:rsidR="007072CA" w:rsidRPr="004E70CE">
        <w:t xml:space="preserve"> </w:t>
      </w:r>
      <w:r w:rsidR="00A809B9" w:rsidRPr="004E70CE">
        <w:t>premium on green</w:t>
      </w:r>
      <w:r w:rsidR="003F396F" w:rsidRPr="004E70CE">
        <w:t xml:space="preserve"> </w:t>
      </w:r>
      <w:r w:rsidR="007072CA" w:rsidRPr="004E70CE">
        <w:t>product</w:t>
      </w:r>
      <w:r w:rsidR="002A1724" w:rsidRPr="004E70CE">
        <w:t>s in some markets, especially where policies foster the use of green commodities</w:t>
      </w:r>
      <w:r w:rsidR="00012E61" w:rsidRPr="004E70CE">
        <w:t xml:space="preserve">. </w:t>
      </w:r>
      <w:r w:rsidR="00A809B9" w:rsidRPr="004E70CE">
        <w:t xml:space="preserve">  </w:t>
      </w:r>
      <w:r w:rsidR="00A37E71" w:rsidRPr="004E70CE">
        <w:t xml:space="preserve"> </w:t>
      </w:r>
      <w:r w:rsidR="002B23FA" w:rsidRPr="004E70CE">
        <w:t xml:space="preserve"> </w:t>
      </w:r>
      <w:r w:rsidR="00327687" w:rsidRPr="004E70CE">
        <w:t xml:space="preserve"> </w:t>
      </w:r>
    </w:p>
    <w:p w14:paraId="5E4FB6D4" w14:textId="433178C6" w:rsidR="00D252BB" w:rsidRPr="004E70CE" w:rsidRDefault="00AD308F" w:rsidP="0095651D">
      <w:r w:rsidRPr="004E70CE">
        <w:t xml:space="preserve">Given these results, there is a basis for considering further policies to mitigate leakage for </w:t>
      </w:r>
      <w:r w:rsidR="00D252BB" w:rsidRPr="004E70CE">
        <w:t>ammonia and derivatives</w:t>
      </w:r>
      <w:r w:rsidR="00385777" w:rsidRPr="004E70CE">
        <w:t xml:space="preserve"> production</w:t>
      </w:r>
      <w:r w:rsidR="00D252BB" w:rsidRPr="004E70CE">
        <w:t xml:space="preserve">. </w:t>
      </w:r>
    </w:p>
    <w:p w14:paraId="638DE948" w14:textId="77777777" w:rsidR="003065D9" w:rsidRDefault="003065D9">
      <w:pPr>
        <w:spacing w:after="0" w:line="240" w:lineRule="auto"/>
        <w:rPr>
          <w:b/>
          <w:bCs/>
        </w:rPr>
      </w:pPr>
      <w:r>
        <w:rPr>
          <w:b/>
          <w:bCs/>
        </w:rPr>
        <w:br w:type="page"/>
      </w:r>
    </w:p>
    <w:p w14:paraId="3325D3EF" w14:textId="63B2F5D5" w:rsidR="00C70816" w:rsidRPr="004E70CE" w:rsidRDefault="007B4315" w:rsidP="0095651D">
      <w:pPr>
        <w:rPr>
          <w:b/>
          <w:bCs/>
        </w:rPr>
      </w:pPr>
      <w:r w:rsidRPr="004E70CE">
        <w:rPr>
          <w:b/>
          <w:bCs/>
        </w:rPr>
        <w:lastRenderedPageBreak/>
        <w:t>STEEL</w:t>
      </w:r>
    </w:p>
    <w:p w14:paraId="4D404766" w14:textId="729C9757" w:rsidR="000D7F30" w:rsidRPr="004E70CE" w:rsidRDefault="5FE74322" w:rsidP="0095651D">
      <w:r w:rsidRPr="004E70CE">
        <w:t>Australia produced 5.4 million tonnes of steel in 2023.</w:t>
      </w:r>
      <w:r w:rsidR="000D7F30" w:rsidRPr="004E70CE">
        <w:rPr>
          <w:rStyle w:val="FootnoteReference"/>
        </w:rPr>
        <w:footnoteReference w:id="52"/>
      </w:r>
      <w:r w:rsidR="65F0907A" w:rsidRPr="004E70CE">
        <w:t xml:space="preserve"> </w:t>
      </w:r>
      <w:r w:rsidR="12B47238" w:rsidRPr="004E70CE">
        <w:t>Domestic</w:t>
      </w:r>
      <w:r w:rsidR="65F0907A" w:rsidRPr="004E70CE">
        <w:t xml:space="preserve"> facilities produc</w:t>
      </w:r>
      <w:r w:rsidR="12B47238" w:rsidRPr="004E70CE">
        <w:t>e</w:t>
      </w:r>
      <w:r w:rsidR="65F0907A" w:rsidRPr="004E70CE">
        <w:t xml:space="preserve"> </w:t>
      </w:r>
      <w:r w:rsidR="34F061BE" w:rsidRPr="004E70CE">
        <w:t xml:space="preserve">different </w:t>
      </w:r>
      <w:r w:rsidR="65F0907A" w:rsidRPr="004E70CE">
        <w:t>types of steel</w:t>
      </w:r>
      <w:r w:rsidR="34F061BE" w:rsidRPr="004E70CE">
        <w:t>:</w:t>
      </w:r>
      <w:r w:rsidR="65F0907A" w:rsidRPr="004E70CE">
        <w:t xml:space="preserve"> </w:t>
      </w:r>
      <w:r w:rsidR="65E7E9CF" w:rsidRPr="004E70CE">
        <w:t xml:space="preserve">primary </w:t>
      </w:r>
      <w:r w:rsidR="65F0907A" w:rsidRPr="004E70CE">
        <w:t xml:space="preserve">flat </w:t>
      </w:r>
      <w:r w:rsidR="34F061BE" w:rsidRPr="004E70CE">
        <w:t xml:space="preserve">steel, </w:t>
      </w:r>
      <w:r w:rsidR="65E7E9CF" w:rsidRPr="004E70CE">
        <w:t xml:space="preserve">primary </w:t>
      </w:r>
      <w:r w:rsidR="3066101B" w:rsidRPr="004E70CE">
        <w:t xml:space="preserve">treated flat steel, </w:t>
      </w:r>
      <w:r w:rsidR="65E7E9CF" w:rsidRPr="004E70CE">
        <w:t xml:space="preserve">primary </w:t>
      </w:r>
      <w:r w:rsidR="251323EE" w:rsidRPr="004E70CE">
        <w:t xml:space="preserve">crude and </w:t>
      </w:r>
      <w:r w:rsidR="65F0907A" w:rsidRPr="004E70CE">
        <w:t>long steel</w:t>
      </w:r>
      <w:r w:rsidR="251323EE" w:rsidRPr="004E70CE">
        <w:t>,</w:t>
      </w:r>
      <w:r w:rsidR="3066101B" w:rsidRPr="004E70CE">
        <w:t xml:space="preserve"> </w:t>
      </w:r>
      <w:r w:rsidR="65F0907A" w:rsidRPr="004E70CE">
        <w:t xml:space="preserve">and </w:t>
      </w:r>
      <w:r w:rsidR="65E7E9CF" w:rsidRPr="004E70CE">
        <w:t xml:space="preserve">secondary </w:t>
      </w:r>
      <w:r w:rsidR="65F0907A" w:rsidRPr="004E70CE">
        <w:t>long steel.</w:t>
      </w:r>
      <w:r w:rsidR="00B8424F" w:rsidRPr="004E70CE">
        <w:rPr>
          <w:rStyle w:val="FootnoteReference"/>
        </w:rPr>
        <w:footnoteReference w:id="53"/>
      </w:r>
      <w:r w:rsidR="65F0907A" w:rsidRPr="004E70CE">
        <w:t xml:space="preserve"> </w:t>
      </w:r>
      <w:r w:rsidR="4B63BE94" w:rsidRPr="004E70CE">
        <w:t xml:space="preserve">Australia is </w:t>
      </w:r>
      <w:r w:rsidR="0BF40480" w:rsidRPr="004E70CE">
        <w:t>seen</w:t>
      </w:r>
      <w:r w:rsidR="4B63BE94" w:rsidRPr="004E70CE">
        <w:t xml:space="preserve"> as having comparative advantages in the production of green iron</w:t>
      </w:r>
      <w:r w:rsidR="0037534E" w:rsidRPr="004E70CE">
        <w:t>,</w:t>
      </w:r>
      <w:r w:rsidR="4B63BE94" w:rsidRPr="004E70CE">
        <w:t xml:space="preserve"> and </w:t>
      </w:r>
      <w:r w:rsidR="0037534E" w:rsidRPr="004E70CE">
        <w:t xml:space="preserve">potentially </w:t>
      </w:r>
      <w:r w:rsidR="4B63BE94" w:rsidRPr="004E70CE">
        <w:t>steel</w:t>
      </w:r>
      <w:r w:rsidR="0037534E" w:rsidRPr="004E70CE">
        <w:t>,</w:t>
      </w:r>
      <w:r w:rsidR="4B63BE94" w:rsidRPr="004E70CE">
        <w:t xml:space="preserve"> in a net zero world, due to the potential to produce cost-competitive </w:t>
      </w:r>
      <w:r w:rsidR="31ACB602" w:rsidRPr="004E70CE">
        <w:t>renewable hydrogen</w:t>
      </w:r>
      <w:r w:rsidR="4B63BE94" w:rsidRPr="004E70CE">
        <w:t>.</w:t>
      </w:r>
      <w:r w:rsidR="00A414D7" w:rsidRPr="004E70CE">
        <w:t xml:space="preserve"> Green metals </w:t>
      </w:r>
      <w:r w:rsidR="000F6837" w:rsidRPr="004E70CE">
        <w:t>ha</w:t>
      </w:r>
      <w:r w:rsidR="0054181F">
        <w:t>ve</w:t>
      </w:r>
      <w:r w:rsidR="000F6837" w:rsidRPr="004E70CE">
        <w:t xml:space="preserve"> been identified as a sector aligned with the Net Zero Transformation Stream of the National Interest Framework under </w:t>
      </w:r>
      <w:r w:rsidR="00A414D7" w:rsidRPr="004E70CE">
        <w:t xml:space="preserve">the </w:t>
      </w:r>
      <w:r w:rsidR="000F6837" w:rsidRPr="004E70CE">
        <w:t>G</w:t>
      </w:r>
      <w:r w:rsidR="00A414D7" w:rsidRPr="004E70CE">
        <w:t>overnment’s Future Made in Australia agenda.</w:t>
      </w:r>
      <w:r w:rsidR="00E57EDA" w:rsidRPr="004E70CE">
        <w:t xml:space="preserve"> Demand for green steel has begun to emerge and is expected to grow over time, driven by the global transition to net zero.</w:t>
      </w:r>
      <w:r w:rsidR="00E57EDA" w:rsidRPr="004E70CE">
        <w:rPr>
          <w:rStyle w:val="FootnoteReference"/>
        </w:rPr>
        <w:footnoteReference w:id="54"/>
      </w:r>
      <w:r w:rsidR="00E57EDA" w:rsidRPr="004E70CE">
        <w:t xml:space="preserve"> </w:t>
      </w:r>
    </w:p>
    <w:p w14:paraId="35FFEA26" w14:textId="77777777" w:rsidR="007229A5" w:rsidRPr="004E70CE" w:rsidRDefault="534573A6" w:rsidP="0095651D">
      <w:r w:rsidRPr="004E70CE">
        <w:t xml:space="preserve">Australian steel faces competition from imports and exports. </w:t>
      </w:r>
      <w:r w:rsidR="4B63BE94" w:rsidRPr="004E70CE">
        <w:t>In 2022-23, around</w:t>
      </w:r>
      <w:r w:rsidR="7127E4A7" w:rsidRPr="004E70CE">
        <w:t xml:space="preserve"> a third of domestic consumption </w:t>
      </w:r>
      <w:r w:rsidR="4B63BE94" w:rsidRPr="004E70CE">
        <w:t xml:space="preserve">was </w:t>
      </w:r>
      <w:r w:rsidR="7127E4A7" w:rsidRPr="004E70CE">
        <w:t xml:space="preserve">met through imports, </w:t>
      </w:r>
      <w:r w:rsidR="4B63BE94" w:rsidRPr="004E70CE">
        <w:t xml:space="preserve">while </w:t>
      </w:r>
      <w:r w:rsidR="7127E4A7" w:rsidRPr="004E70CE">
        <w:t xml:space="preserve">a quarter of domestic steel </w:t>
      </w:r>
      <w:r w:rsidR="4B63BE94" w:rsidRPr="004E70CE">
        <w:t xml:space="preserve">was </w:t>
      </w:r>
      <w:r w:rsidR="7127E4A7" w:rsidRPr="004E70CE">
        <w:t>exported.</w:t>
      </w:r>
      <w:r w:rsidR="00066EFA" w:rsidRPr="004E70CE">
        <w:rPr>
          <w:rStyle w:val="FootnoteReference"/>
        </w:rPr>
        <w:footnoteReference w:id="55"/>
      </w:r>
      <w:r w:rsidR="7127E4A7" w:rsidRPr="004E70CE">
        <w:t xml:space="preserve"> Between 2018</w:t>
      </w:r>
      <w:r w:rsidR="001C04F6" w:rsidRPr="004E70CE">
        <w:t xml:space="preserve"> and 20</w:t>
      </w:r>
      <w:r w:rsidR="7127E4A7" w:rsidRPr="004E70CE">
        <w:t xml:space="preserve">22, East Asian countries were </w:t>
      </w:r>
      <w:r w:rsidR="0BF40480" w:rsidRPr="004E70CE">
        <w:t xml:space="preserve">the </w:t>
      </w:r>
      <w:r w:rsidR="7127E4A7" w:rsidRPr="004E70CE">
        <w:t xml:space="preserve">key source of imports for flat and long steel, </w:t>
      </w:r>
      <w:r w:rsidRPr="004E70CE">
        <w:t xml:space="preserve">while imports of </w:t>
      </w:r>
      <w:r w:rsidR="001C04F6" w:rsidRPr="004E70CE">
        <w:t xml:space="preserve">crude </w:t>
      </w:r>
      <w:r w:rsidRPr="004E70CE">
        <w:t>steel came from a variety of countries in the Middle East, Central and South Asia.</w:t>
      </w:r>
      <w:r w:rsidR="00D27DCD" w:rsidRPr="004E70CE">
        <w:rPr>
          <w:rStyle w:val="FootnoteReference"/>
        </w:rPr>
        <w:footnoteReference w:id="56"/>
      </w:r>
      <w:r w:rsidRPr="004E70CE">
        <w:t xml:space="preserve"> C</w:t>
      </w:r>
      <w:r w:rsidR="7127E4A7" w:rsidRPr="004E70CE">
        <w:t xml:space="preserve">ountries </w:t>
      </w:r>
      <w:r w:rsidR="720A1FC9" w:rsidRPr="004E70CE">
        <w:t>in</w:t>
      </w:r>
      <w:r w:rsidR="7127E4A7" w:rsidRPr="004E70CE">
        <w:t xml:space="preserve"> East Asia and North America were the main suppliers in Australia’s top export markets. </w:t>
      </w:r>
      <w:r w:rsidR="21FB7395" w:rsidRPr="004E70CE">
        <w:t xml:space="preserve">Imports appear highly sensitive to price changes for </w:t>
      </w:r>
      <w:r w:rsidR="0BF40480" w:rsidRPr="004E70CE">
        <w:t xml:space="preserve">crude </w:t>
      </w:r>
      <w:r w:rsidR="21FB7395" w:rsidRPr="004E70CE">
        <w:t>steel (elasticity of -3.9) but less sensitive for flat and long steel (-0.</w:t>
      </w:r>
      <w:r w:rsidR="53DD4C0C" w:rsidRPr="004E70CE">
        <w:t>5</w:t>
      </w:r>
      <w:r w:rsidR="21FB7395" w:rsidRPr="004E70CE">
        <w:t xml:space="preserve"> and -0.6). </w:t>
      </w:r>
      <w:r w:rsidR="3DA21C41" w:rsidRPr="004E70CE">
        <w:t xml:space="preserve">For exports, trade sensitivities are similarly high for </w:t>
      </w:r>
      <w:r w:rsidR="0BF40480" w:rsidRPr="004E70CE">
        <w:t xml:space="preserve">crude and treated flat </w:t>
      </w:r>
      <w:r w:rsidR="3DA21C41" w:rsidRPr="004E70CE">
        <w:t>steel (-3.6</w:t>
      </w:r>
      <w:r w:rsidR="0BF40480" w:rsidRPr="004E70CE">
        <w:t xml:space="preserve"> and -</w:t>
      </w:r>
      <w:r w:rsidR="2E2CFBA4" w:rsidRPr="004E70CE">
        <w:t>3.4</w:t>
      </w:r>
      <w:r w:rsidR="3DA21C41" w:rsidRPr="004E70CE">
        <w:t>) and lower for flat and long steel (-0.</w:t>
      </w:r>
      <w:r w:rsidR="2619CD56" w:rsidRPr="004E70CE">
        <w:t>4</w:t>
      </w:r>
      <w:r w:rsidR="3DA21C41" w:rsidRPr="004E70CE">
        <w:t>).</w:t>
      </w:r>
      <w:r w:rsidR="1443BD75" w:rsidRPr="004E70CE">
        <w:t xml:space="preserve"> </w:t>
      </w:r>
    </w:p>
    <w:p w14:paraId="35C68255" w14:textId="02402200" w:rsidR="00C70816" w:rsidRPr="004E70CE" w:rsidRDefault="7127E4A7" w:rsidP="0095651D">
      <w:r w:rsidRPr="004E70CE">
        <w:t>Emissions intensit</w:t>
      </w:r>
      <w:r w:rsidR="601351FC" w:rsidRPr="004E70CE">
        <w:t>ies</w:t>
      </w:r>
      <w:r w:rsidRPr="004E70CE">
        <w:t xml:space="preserve"> of Australian </w:t>
      </w:r>
      <w:r w:rsidR="2E3BB6DC" w:rsidRPr="004E70CE">
        <w:t xml:space="preserve">primary </w:t>
      </w:r>
      <w:r w:rsidRPr="004E70CE">
        <w:t xml:space="preserve">steel </w:t>
      </w:r>
      <w:r w:rsidR="121E4715" w:rsidRPr="004E70CE">
        <w:t xml:space="preserve">are currently </w:t>
      </w:r>
      <w:r w:rsidRPr="004E70CE">
        <w:t>around 2.</w:t>
      </w:r>
      <w:r w:rsidR="45FB1BD3" w:rsidRPr="004E70CE">
        <w:t>07</w:t>
      </w:r>
      <w:r w:rsidRPr="004E70CE">
        <w:t xml:space="preserve"> </w:t>
      </w:r>
      <w:r w:rsidR="36DCAED5" w:rsidRPr="004E70CE">
        <w:t>tonnes CO</w:t>
      </w:r>
      <w:r w:rsidR="36DCAED5" w:rsidRPr="004E70CE">
        <w:rPr>
          <w:vertAlign w:val="subscript"/>
        </w:rPr>
        <w:t>2</w:t>
      </w:r>
      <w:r w:rsidR="36DCAED5" w:rsidRPr="004E70CE">
        <w:t>-e/tonne</w:t>
      </w:r>
      <w:r w:rsidRPr="004E70CE">
        <w:t xml:space="preserve"> for flat steel and 2.</w:t>
      </w:r>
      <w:r w:rsidR="45FB1BD3" w:rsidRPr="004E70CE">
        <w:t>17</w:t>
      </w:r>
      <w:r w:rsidRPr="004E70CE">
        <w:t xml:space="preserve"> </w:t>
      </w:r>
      <w:r w:rsidR="36DCAED5" w:rsidRPr="004E70CE">
        <w:t>tonnes CO</w:t>
      </w:r>
      <w:r w:rsidR="36DCAED5" w:rsidRPr="004E70CE">
        <w:rPr>
          <w:vertAlign w:val="subscript"/>
        </w:rPr>
        <w:t>2</w:t>
      </w:r>
      <w:r w:rsidR="36DCAED5" w:rsidRPr="004E70CE">
        <w:t>-e/tonne</w:t>
      </w:r>
      <w:r w:rsidRPr="004E70CE">
        <w:t xml:space="preserve"> for long steel.</w:t>
      </w:r>
      <w:r w:rsidR="00C70816" w:rsidRPr="004E70CE">
        <w:rPr>
          <w:rStyle w:val="FootnoteReference"/>
        </w:rPr>
        <w:footnoteReference w:id="57"/>
      </w:r>
      <w:r w:rsidRPr="004E70CE">
        <w:t xml:space="preserve"> </w:t>
      </w:r>
      <w:r w:rsidR="3CE52998" w:rsidRPr="004E70CE">
        <w:t>Most</w:t>
      </w:r>
      <w:r w:rsidR="423213BA" w:rsidRPr="004E70CE">
        <w:t xml:space="preserve"> steel emissions </w:t>
      </w:r>
      <w:r w:rsidR="6FF7E5D2" w:rsidRPr="004E70CE">
        <w:t xml:space="preserve">from the primary route </w:t>
      </w:r>
      <w:r w:rsidR="423213BA" w:rsidRPr="004E70CE">
        <w:t>are scope 1</w:t>
      </w:r>
      <w:r w:rsidR="703338EA" w:rsidRPr="004E70CE">
        <w:t xml:space="preserve"> emissions</w:t>
      </w:r>
      <w:r w:rsidR="248EC12B" w:rsidRPr="004E70CE">
        <w:t xml:space="preserve"> </w:t>
      </w:r>
      <w:r w:rsidR="423213BA" w:rsidRPr="004E70CE">
        <w:t>from the conversion of iron ore into iron</w:t>
      </w:r>
      <w:r w:rsidR="248EC12B" w:rsidRPr="004E70CE">
        <w:t xml:space="preserve"> (process emissions)</w:t>
      </w:r>
      <w:r w:rsidR="423213BA" w:rsidRPr="004E70CE">
        <w:t xml:space="preserve"> and fuel combustion for heat.</w:t>
      </w:r>
      <w:r w:rsidR="706C7D28" w:rsidRPr="004E70CE">
        <w:t xml:space="preserve"> Emissions are material relative to value</w:t>
      </w:r>
      <w:r w:rsidR="00A654AC" w:rsidRPr="004E70CE">
        <w:t xml:space="preserve"> for most types of steel</w:t>
      </w:r>
      <w:r w:rsidR="706C7D28" w:rsidRPr="004E70CE">
        <w:t xml:space="preserve">, with 2030 carbon costs estimated to be </w:t>
      </w:r>
      <w:r w:rsidR="00F918DB" w:rsidRPr="004E70CE">
        <w:t>5</w:t>
      </w:r>
      <w:r w:rsidR="006206F3" w:rsidRPr="004E70CE">
        <w:t>-10</w:t>
      </w:r>
      <w:r w:rsidR="706C7D28" w:rsidRPr="004E70CE">
        <w:t xml:space="preserve">% </w:t>
      </w:r>
      <w:r w:rsidR="1974569A" w:rsidRPr="004E70CE">
        <w:t xml:space="preserve">of prices </w:t>
      </w:r>
      <w:r w:rsidR="706C7D28" w:rsidRPr="004E70CE">
        <w:t xml:space="preserve">for </w:t>
      </w:r>
      <w:r w:rsidR="3CE52998" w:rsidRPr="004E70CE">
        <w:t>crude</w:t>
      </w:r>
      <w:r w:rsidR="006206F3" w:rsidRPr="004E70CE">
        <w:t xml:space="preserve"> steel</w:t>
      </w:r>
      <w:r w:rsidR="706C7D28" w:rsidRPr="004E70CE">
        <w:t xml:space="preserve">, </w:t>
      </w:r>
      <w:r w:rsidR="006206F3" w:rsidRPr="004E70CE">
        <w:t xml:space="preserve">3-5% for </w:t>
      </w:r>
      <w:r w:rsidR="706C7D28" w:rsidRPr="004E70CE">
        <w:t xml:space="preserve">treated flat steel, </w:t>
      </w:r>
      <w:r w:rsidR="006206F3" w:rsidRPr="004E70CE">
        <w:t>1-3</w:t>
      </w:r>
      <w:r w:rsidR="706C7D28" w:rsidRPr="004E70CE">
        <w:t xml:space="preserve">% for </w:t>
      </w:r>
      <w:r w:rsidR="006206F3" w:rsidRPr="004E70CE">
        <w:t xml:space="preserve">flat steel and 0-1% for </w:t>
      </w:r>
      <w:r w:rsidR="706C7D28" w:rsidRPr="004E70CE">
        <w:t xml:space="preserve">long steel.  </w:t>
      </w:r>
    </w:p>
    <w:p w14:paraId="1B82B825" w14:textId="77777777" w:rsidR="009F546D" w:rsidRPr="004E70CE" w:rsidRDefault="2ECEB344" w:rsidP="0095651D">
      <w:r w:rsidRPr="004E70CE">
        <w:t xml:space="preserve">For </w:t>
      </w:r>
      <w:r w:rsidR="52C51CAC" w:rsidRPr="004E70CE">
        <w:t xml:space="preserve">primary steel </w:t>
      </w:r>
      <w:r w:rsidRPr="004E70CE">
        <w:t xml:space="preserve">production, the most prospective </w:t>
      </w:r>
      <w:r w:rsidR="021CF1B2" w:rsidRPr="004E70CE">
        <w:t xml:space="preserve">decarbonisation </w:t>
      </w:r>
      <w:r w:rsidRPr="004E70CE">
        <w:t>pathway involves</w:t>
      </w:r>
      <w:r w:rsidR="3FF63176" w:rsidRPr="004E70CE">
        <w:t xml:space="preserve"> replacing the current blast furnace</w:t>
      </w:r>
      <w:r w:rsidR="001C04F6" w:rsidRPr="004E70CE">
        <w:t xml:space="preserve"> and </w:t>
      </w:r>
      <w:r w:rsidR="3FF63176" w:rsidRPr="004E70CE">
        <w:t xml:space="preserve">basic oxygen furnace process with a </w:t>
      </w:r>
      <w:r w:rsidR="31ACB602" w:rsidRPr="004E70CE">
        <w:t>renewable hydrogen</w:t>
      </w:r>
      <w:r w:rsidR="6EB3FABE" w:rsidRPr="004E70CE">
        <w:t xml:space="preserve">-based </w:t>
      </w:r>
      <w:r w:rsidR="3FF63176" w:rsidRPr="004E70CE">
        <w:t>direct reduced iron</w:t>
      </w:r>
      <w:r w:rsidR="52C51CAC" w:rsidRPr="004E70CE">
        <w:t xml:space="preserve"> and </w:t>
      </w:r>
      <w:r w:rsidR="3FF63176" w:rsidRPr="004E70CE">
        <w:t>electric arc furnace process</w:t>
      </w:r>
      <w:r w:rsidR="5EA7A98A" w:rsidRPr="004E70CE">
        <w:t>, or variant</w:t>
      </w:r>
      <w:r w:rsidR="63AF2FB2" w:rsidRPr="004E70CE">
        <w:t>s</w:t>
      </w:r>
      <w:r w:rsidR="5EA7A98A" w:rsidRPr="004E70CE">
        <w:t xml:space="preserve"> of this.</w:t>
      </w:r>
      <w:r w:rsidR="65C7615A" w:rsidRPr="004E70CE">
        <w:t xml:space="preserve"> This could reduce scope 1 emissions by </w:t>
      </w:r>
      <w:r w:rsidR="63AF2FB2" w:rsidRPr="004E70CE">
        <w:t>up to</w:t>
      </w:r>
      <w:r w:rsidR="65C7615A" w:rsidRPr="004E70CE">
        <w:t xml:space="preserve"> 90%</w:t>
      </w:r>
      <w:r w:rsidR="6EB3FABE" w:rsidRPr="004E70CE">
        <w:t xml:space="preserve"> but is not yet commercially </w:t>
      </w:r>
      <w:r w:rsidR="63AF2FB2" w:rsidRPr="004E70CE">
        <w:t>v</w:t>
      </w:r>
      <w:r w:rsidR="3209BE19" w:rsidRPr="004E70CE">
        <w:t xml:space="preserve">iable </w:t>
      </w:r>
      <w:r w:rsidR="6EB3FABE" w:rsidRPr="004E70CE">
        <w:t>and in the early stages of deployment</w:t>
      </w:r>
      <w:r w:rsidR="769A09FE" w:rsidRPr="004E70CE">
        <w:t xml:space="preserve"> globally</w:t>
      </w:r>
      <w:r w:rsidR="65C7615A" w:rsidRPr="004E70CE">
        <w:t>.</w:t>
      </w:r>
      <w:r w:rsidR="00936ECE" w:rsidRPr="004E70CE">
        <w:rPr>
          <w:rStyle w:val="FootnoteReference"/>
        </w:rPr>
        <w:footnoteReference w:id="58"/>
      </w:r>
    </w:p>
    <w:p w14:paraId="00DF1EF0" w14:textId="4CB47BE7" w:rsidR="00E32D5C" w:rsidRPr="004E70CE" w:rsidRDefault="00E32D5C" w:rsidP="0095651D">
      <w:r w:rsidRPr="004E70CE">
        <w:t xml:space="preserve">In domestic markets, potential leakage appears to be modest, with declines in </w:t>
      </w:r>
      <w:r w:rsidR="00F918DB" w:rsidRPr="004E70CE">
        <w:t xml:space="preserve">Safeguard </w:t>
      </w:r>
      <w:r w:rsidR="002759CA" w:rsidRPr="004E70CE">
        <w:t xml:space="preserve">production </w:t>
      </w:r>
      <w:r w:rsidRPr="004E70CE">
        <w:t xml:space="preserve">for Australian steel of less than 1% for </w:t>
      </w:r>
      <w:r w:rsidR="00693109" w:rsidRPr="004E70CE">
        <w:t>crude</w:t>
      </w:r>
      <w:r w:rsidRPr="004E70CE">
        <w:t>, flat and long steel types</w:t>
      </w:r>
      <w:r w:rsidR="008A72D8" w:rsidRPr="004E70CE">
        <w:t xml:space="preserve"> based on 2030 carbon costs</w:t>
      </w:r>
      <w:r w:rsidR="002759CA" w:rsidRPr="004E70CE">
        <w:t xml:space="preserve"> under </w:t>
      </w:r>
      <w:r w:rsidR="00A46F7F" w:rsidRPr="004E70CE">
        <w:t xml:space="preserve">a </w:t>
      </w:r>
      <w:r w:rsidR="002759CA" w:rsidRPr="004E70CE">
        <w:t>maximum</w:t>
      </w:r>
      <w:r w:rsidR="002759CA" w:rsidRPr="004E70CE" w:rsidDel="00A46F7F">
        <w:t xml:space="preserve"> </w:t>
      </w:r>
      <w:r w:rsidR="00A46F7F" w:rsidRPr="004E70CE">
        <w:t xml:space="preserve">carbon cost difference </w:t>
      </w:r>
      <w:r w:rsidR="002759CA" w:rsidRPr="004E70CE">
        <w:t>scenario</w:t>
      </w:r>
      <w:r w:rsidR="00674413" w:rsidRPr="004E70CE">
        <w:t>.</w:t>
      </w:r>
      <w:r w:rsidR="004E0B73" w:rsidRPr="004E70CE">
        <w:t xml:space="preserve"> </w:t>
      </w:r>
      <w:r w:rsidR="00693109" w:rsidRPr="004E70CE">
        <w:t xml:space="preserve">Against exports, estimated declines in </w:t>
      </w:r>
      <w:r w:rsidR="00F918DB" w:rsidRPr="004E70CE">
        <w:t>Safeguard</w:t>
      </w:r>
      <w:r w:rsidR="00693109" w:rsidRPr="004E70CE">
        <w:t xml:space="preserve"> production </w:t>
      </w:r>
      <w:r w:rsidR="002759CA" w:rsidRPr="004E70CE">
        <w:t xml:space="preserve">under the same scenario </w:t>
      </w:r>
      <w:r w:rsidR="00693109" w:rsidRPr="004E70CE">
        <w:t xml:space="preserve">were </w:t>
      </w:r>
      <w:r w:rsidR="00060E66" w:rsidRPr="004E70CE">
        <w:t>material</w:t>
      </w:r>
      <w:r w:rsidR="00F232BF" w:rsidRPr="004E70CE">
        <w:t xml:space="preserve"> for crude (</w:t>
      </w:r>
      <w:r w:rsidR="000148E7" w:rsidRPr="004E70CE">
        <w:t>7</w:t>
      </w:r>
      <w:r w:rsidR="00F232BF" w:rsidRPr="004E70CE">
        <w:t>%) and treated flat steel (</w:t>
      </w:r>
      <w:r w:rsidR="000148E7" w:rsidRPr="004E70CE">
        <w:t>10</w:t>
      </w:r>
      <w:r w:rsidR="00F232BF" w:rsidRPr="004E70CE">
        <w:t>%)</w:t>
      </w:r>
      <w:r w:rsidR="00A606CE" w:rsidRPr="004E70CE">
        <w:t>,</w:t>
      </w:r>
      <w:r w:rsidR="00F232BF" w:rsidRPr="004E70CE">
        <w:t xml:space="preserve"> and </w:t>
      </w:r>
      <w:r w:rsidR="00693109" w:rsidRPr="004E70CE">
        <w:t xml:space="preserve">below 1% for </w:t>
      </w:r>
      <w:r w:rsidR="00F232BF" w:rsidRPr="004E70CE">
        <w:t>flat and long steel</w:t>
      </w:r>
      <w:r w:rsidR="00674413" w:rsidRPr="004E70CE">
        <w:t>.</w:t>
      </w:r>
      <w:r w:rsidR="004E0B73" w:rsidRPr="004E70CE">
        <w:t xml:space="preserve">  </w:t>
      </w:r>
    </w:p>
    <w:p w14:paraId="0AB29935" w14:textId="13F58EC1" w:rsidR="00460341" w:rsidRPr="004E70CE" w:rsidRDefault="0024107C" w:rsidP="0095651D">
      <w:r w:rsidRPr="004E70CE">
        <w:lastRenderedPageBreak/>
        <w:t>However, i</w:t>
      </w:r>
      <w:r w:rsidR="00E337FC" w:rsidRPr="004E70CE">
        <w:t>ndustry views leakage as a risk in the medium</w:t>
      </w:r>
      <w:r w:rsidR="001C04F6" w:rsidRPr="004E70CE">
        <w:t>-</w:t>
      </w:r>
      <w:r w:rsidR="00E337FC" w:rsidRPr="004E70CE">
        <w:t xml:space="preserve">term as </w:t>
      </w:r>
      <w:r w:rsidR="00CA261E" w:rsidRPr="004E70CE">
        <w:t xml:space="preserve">Safeguard baselines decline. </w:t>
      </w:r>
      <w:r w:rsidR="00B01196" w:rsidRPr="004E70CE">
        <w:t xml:space="preserve">Analysis of profits </w:t>
      </w:r>
      <w:r w:rsidR="00B56691" w:rsidRPr="004E70CE">
        <w:t xml:space="preserve">finds steel to be </w:t>
      </w:r>
      <w:r w:rsidR="000825FA" w:rsidRPr="004E70CE">
        <w:t xml:space="preserve">among </w:t>
      </w:r>
      <w:r w:rsidR="00B56691" w:rsidRPr="004E70CE">
        <w:t xml:space="preserve">a </w:t>
      </w:r>
      <w:r w:rsidR="000825FA" w:rsidRPr="004E70CE">
        <w:t xml:space="preserve">group of industries </w:t>
      </w:r>
      <w:r w:rsidR="00B56691" w:rsidRPr="004E70CE">
        <w:t xml:space="preserve">with material levels of </w:t>
      </w:r>
      <w:r w:rsidR="0009143A" w:rsidRPr="004E70CE">
        <w:t>investment lea</w:t>
      </w:r>
      <w:r w:rsidR="00B56691" w:rsidRPr="004E70CE">
        <w:t xml:space="preserve">kage risk (see </w:t>
      </w:r>
      <w:r w:rsidR="00F44AF3" w:rsidRPr="004E70CE">
        <w:rPr>
          <w:b/>
          <w:bCs/>
        </w:rPr>
        <w:t>S</w:t>
      </w:r>
      <w:r w:rsidR="00B56691" w:rsidRPr="004E70CE">
        <w:rPr>
          <w:b/>
          <w:bCs/>
        </w:rPr>
        <w:t>ection 2.5</w:t>
      </w:r>
      <w:r w:rsidR="00B56691" w:rsidRPr="004E70CE">
        <w:t>).</w:t>
      </w:r>
    </w:p>
    <w:p w14:paraId="78FC0A42" w14:textId="7C66E8B3" w:rsidR="00EF5245" w:rsidRPr="004E70CE" w:rsidRDefault="00EF5245" w:rsidP="0095651D">
      <w:r w:rsidRPr="004E70CE">
        <w:t>Consultation also identified that a border carbon adjustment could support investment in low</w:t>
      </w:r>
      <w:r w:rsidR="00AD6645">
        <w:t xml:space="preserve"> </w:t>
      </w:r>
      <w:r w:rsidRPr="004E70CE">
        <w:t xml:space="preserve">emissions production in Australia. Demand for green steel is expected to grow, including in markets willing to pay a green premium in the near term, either due to industry decarbonisation commitments or the presence of carbon border adjustments or similar policies. </w:t>
      </w:r>
    </w:p>
    <w:p w14:paraId="00AC4CB1" w14:textId="77777777" w:rsidR="001A750E" w:rsidRPr="004E70CE" w:rsidRDefault="009E0377" w:rsidP="0095651D">
      <w:r w:rsidRPr="004E70CE">
        <w:t xml:space="preserve">Indirect leakage through downstream </w:t>
      </w:r>
      <w:r w:rsidR="00021B12" w:rsidRPr="004E70CE">
        <w:t>commodities</w:t>
      </w:r>
      <w:r w:rsidRPr="004E70CE">
        <w:t xml:space="preserve"> </w:t>
      </w:r>
      <w:r w:rsidR="00855A44" w:rsidRPr="004E70CE">
        <w:t xml:space="preserve">was </w:t>
      </w:r>
      <w:r w:rsidRPr="004E70CE">
        <w:t xml:space="preserve">also highlighted as </w:t>
      </w:r>
      <w:r w:rsidR="008C0DC7" w:rsidRPr="004E70CE">
        <w:t xml:space="preserve">a </w:t>
      </w:r>
      <w:r w:rsidRPr="004E70CE">
        <w:t>concern, given imports are estimated to make up half of Australia’s true total steel consumption.</w:t>
      </w:r>
      <w:r w:rsidR="009C6523" w:rsidRPr="004E70CE">
        <w:rPr>
          <w:rStyle w:val="FootnoteReference"/>
        </w:rPr>
        <w:footnoteReference w:id="59"/>
      </w:r>
      <w:r w:rsidR="001A750E" w:rsidRPr="004E70CE">
        <w:t xml:space="preserve"> </w:t>
      </w:r>
      <w:r w:rsidR="008C0DC7" w:rsidRPr="004E70CE">
        <w:t xml:space="preserve">Finally, it was also noted that facilities needed to operate at or close to capacity to cover high fixed costs. Overall, these considerations </w:t>
      </w:r>
      <w:r w:rsidR="001A750E" w:rsidRPr="004E70CE">
        <w:t xml:space="preserve">suggest that </w:t>
      </w:r>
      <w:r w:rsidR="00060E66" w:rsidRPr="004E70CE">
        <w:t xml:space="preserve">even small amounts of </w:t>
      </w:r>
      <w:r w:rsidR="001A750E" w:rsidRPr="004E70CE">
        <w:t>leakage</w:t>
      </w:r>
      <w:r w:rsidR="008C0DC7" w:rsidRPr="004E70CE">
        <w:t xml:space="preserve"> </w:t>
      </w:r>
      <w:r w:rsidR="00060E66" w:rsidRPr="004E70CE">
        <w:t>could</w:t>
      </w:r>
      <w:r w:rsidR="001A750E" w:rsidRPr="004E70CE">
        <w:t xml:space="preserve"> have material impacts on facility viability. </w:t>
      </w:r>
      <w:r w:rsidR="008C0DC7" w:rsidRPr="004E70CE">
        <w:t xml:space="preserve">Estimates could also be </w:t>
      </w:r>
      <w:r w:rsidR="001A750E" w:rsidRPr="004E70CE">
        <w:t>understate</w:t>
      </w:r>
      <w:r w:rsidR="008C0DC7" w:rsidRPr="004E70CE">
        <w:t>d</w:t>
      </w:r>
      <w:r w:rsidR="001A750E" w:rsidRPr="004E70CE">
        <w:t xml:space="preserve"> as they </w:t>
      </w:r>
      <w:r w:rsidR="008C0DC7" w:rsidRPr="004E70CE">
        <w:t xml:space="preserve">do not </w:t>
      </w:r>
      <w:r w:rsidR="001A750E" w:rsidRPr="004E70CE">
        <w:t xml:space="preserve">account for </w:t>
      </w:r>
      <w:r w:rsidR="008C0DC7" w:rsidRPr="004E70CE">
        <w:t xml:space="preserve">downstream </w:t>
      </w:r>
      <w:r w:rsidR="001A750E" w:rsidRPr="004E70CE">
        <w:t xml:space="preserve">leakage. </w:t>
      </w:r>
    </w:p>
    <w:p w14:paraId="6D06D763" w14:textId="77777777" w:rsidR="00E7285D" w:rsidRPr="004E70CE" w:rsidRDefault="00385777" w:rsidP="0095651D">
      <w:r w:rsidRPr="004E70CE">
        <w:t xml:space="preserve">Given these results, there is a basis for considering further policies to mitigate leakage for </w:t>
      </w:r>
      <w:r w:rsidR="00E7285D" w:rsidRPr="004E70CE">
        <w:t xml:space="preserve">steel production. </w:t>
      </w:r>
    </w:p>
    <w:p w14:paraId="3A81D230" w14:textId="77777777" w:rsidR="00D252BB" w:rsidRPr="004E70CE" w:rsidRDefault="00D252BB" w:rsidP="0095651D">
      <w:pPr>
        <w:rPr>
          <w:b/>
          <w:bCs/>
        </w:rPr>
      </w:pPr>
      <w:r w:rsidRPr="004E70CE">
        <w:rPr>
          <w:b/>
          <w:bCs/>
        </w:rPr>
        <w:t>GLASS</w:t>
      </w:r>
      <w:r w:rsidR="000607DD" w:rsidRPr="004E70CE">
        <w:rPr>
          <w:b/>
          <w:bCs/>
        </w:rPr>
        <w:t xml:space="preserve"> </w:t>
      </w:r>
    </w:p>
    <w:p w14:paraId="21694159" w14:textId="77777777" w:rsidR="008D32E2" w:rsidRPr="004E70CE" w:rsidRDefault="00370B5A" w:rsidP="0095651D">
      <w:r w:rsidRPr="004E70CE">
        <w:t>F</w:t>
      </w:r>
      <w:r w:rsidR="00D252BB" w:rsidRPr="004E70CE">
        <w:t>acilit</w:t>
      </w:r>
      <w:r w:rsidR="00740D41" w:rsidRPr="004E70CE">
        <w:t>ies</w:t>
      </w:r>
      <w:r w:rsidR="00D252BB" w:rsidRPr="004E70CE">
        <w:t xml:space="preserve"> covered under the Safeguard Mechanism</w:t>
      </w:r>
      <w:r w:rsidRPr="004E70CE">
        <w:t xml:space="preserve"> </w:t>
      </w:r>
      <w:r w:rsidR="00740D41" w:rsidRPr="004E70CE">
        <w:t>produc</w:t>
      </w:r>
      <w:r w:rsidRPr="004E70CE">
        <w:t>e</w:t>
      </w:r>
      <w:r w:rsidR="00740D41" w:rsidRPr="004E70CE">
        <w:t xml:space="preserve"> flat glass and glass containers. </w:t>
      </w:r>
    </w:p>
    <w:p w14:paraId="5DFCB8DD" w14:textId="4A02DDFA" w:rsidR="00B33468" w:rsidRPr="004E70CE" w:rsidRDefault="008D32E2" w:rsidP="0095651D">
      <w:r w:rsidRPr="004E70CE">
        <w:t xml:space="preserve">Both types of glass are exposed to imports, which are </w:t>
      </w:r>
      <w:r w:rsidR="00B33468" w:rsidRPr="004E70CE">
        <w:t xml:space="preserve">equivalent to </w:t>
      </w:r>
      <w:r w:rsidR="00A67455">
        <w:t>0-</w:t>
      </w:r>
      <w:r w:rsidR="00492FF2">
        <w:t>0.2 times the volume</w:t>
      </w:r>
      <w:r w:rsidRPr="004E70CE">
        <w:t xml:space="preserve"> of </w:t>
      </w:r>
      <w:r w:rsidR="00D0235E" w:rsidRPr="004E70CE">
        <w:t xml:space="preserve">Safeguard </w:t>
      </w:r>
      <w:r w:rsidRPr="004E70CE">
        <w:t xml:space="preserve">production for flat glass and </w:t>
      </w:r>
      <w:r w:rsidR="00A67455">
        <w:t>0.2-0.4 times</w:t>
      </w:r>
      <w:r w:rsidR="00B33468" w:rsidRPr="004E70CE">
        <w:t xml:space="preserve"> </w:t>
      </w:r>
      <w:r w:rsidRPr="004E70CE">
        <w:t xml:space="preserve">for glass containers. </w:t>
      </w:r>
      <w:r w:rsidR="00B33468" w:rsidRPr="004E70CE">
        <w:t xml:space="preserve">  </w:t>
      </w:r>
    </w:p>
    <w:p w14:paraId="434CE5B4" w14:textId="4481A762" w:rsidR="002253C9" w:rsidRPr="004E70CE" w:rsidRDefault="00230A7C" w:rsidP="0095651D">
      <w:r w:rsidRPr="004E70CE">
        <w:t xml:space="preserve">Imports </w:t>
      </w:r>
      <w:r w:rsidR="00D252BB" w:rsidRPr="004E70CE">
        <w:t>appear price sensitive</w:t>
      </w:r>
      <w:r w:rsidRPr="004E70CE">
        <w:t>, with</w:t>
      </w:r>
      <w:r w:rsidR="00D252BB" w:rsidRPr="004E70CE">
        <w:t xml:space="preserve"> elasticit</w:t>
      </w:r>
      <w:r w:rsidRPr="004E70CE">
        <w:t>ies</w:t>
      </w:r>
      <w:r w:rsidR="00D252BB" w:rsidRPr="004E70CE">
        <w:t xml:space="preserve"> of </w:t>
      </w:r>
      <w:r w:rsidRPr="004E70CE">
        <w:t>-1.3 for flat glass and -</w:t>
      </w:r>
      <w:r w:rsidR="00370B5A" w:rsidRPr="004E70CE">
        <w:t>8</w:t>
      </w:r>
      <w:r w:rsidRPr="004E70CE">
        <w:t>.5 for glass containers.</w:t>
      </w:r>
      <w:r w:rsidR="00D252BB" w:rsidRPr="004E70CE">
        <w:t xml:space="preserve"> </w:t>
      </w:r>
      <w:r w:rsidR="00884395" w:rsidRPr="004E70CE">
        <w:t xml:space="preserve">Exports of glass containers </w:t>
      </w:r>
      <w:r w:rsidR="00C12AAD" w:rsidRPr="004E70CE">
        <w:t>are</w:t>
      </w:r>
      <w:r w:rsidR="00884395" w:rsidRPr="004E70CE">
        <w:t xml:space="preserve"> also price sensitive (-1.6). </w:t>
      </w:r>
      <w:r w:rsidR="00D5734B" w:rsidRPr="004E70CE">
        <w:t xml:space="preserve">Carbon costs in 2030 are </w:t>
      </w:r>
      <w:r w:rsidR="00B528D5" w:rsidRPr="004E70CE">
        <w:t xml:space="preserve">estimated at </w:t>
      </w:r>
      <w:r w:rsidR="00DE1BA0" w:rsidRPr="004E70CE">
        <w:t>0-1</w:t>
      </w:r>
      <w:r w:rsidR="00FD3923" w:rsidRPr="004E70CE">
        <w:t xml:space="preserve">% </w:t>
      </w:r>
      <w:r w:rsidR="00D5734B" w:rsidRPr="004E70CE">
        <w:t>compared to price</w:t>
      </w:r>
      <w:r w:rsidR="00C12AAD" w:rsidRPr="004E70CE">
        <w:t xml:space="preserve"> for flat glass </w:t>
      </w:r>
      <w:r w:rsidR="00FD3923" w:rsidRPr="004E70CE">
        <w:t xml:space="preserve">and </w:t>
      </w:r>
      <w:r w:rsidR="00C12AAD" w:rsidRPr="004E70CE">
        <w:t>glass containers</w:t>
      </w:r>
      <w:r w:rsidR="00C26F19" w:rsidRPr="004E70CE">
        <w:t>.</w:t>
      </w:r>
      <w:r w:rsidR="00B528D5" w:rsidRPr="004E70CE">
        <w:rPr>
          <w:rStyle w:val="FootnoteReference"/>
        </w:rPr>
        <w:footnoteReference w:id="60"/>
      </w:r>
      <w:r w:rsidR="00C26F19" w:rsidRPr="004E70CE">
        <w:t xml:space="preserve"> </w:t>
      </w:r>
    </w:p>
    <w:p w14:paraId="7815080C" w14:textId="2CC9807E" w:rsidR="00FF5537" w:rsidRPr="004E70CE" w:rsidRDefault="00C8147D" w:rsidP="0095651D">
      <w:r w:rsidRPr="004E70CE">
        <w:t>U</w:t>
      </w:r>
      <w:r w:rsidR="00D252BB" w:rsidRPr="004E70CE">
        <w:t xml:space="preserve">nder </w:t>
      </w:r>
      <w:r w:rsidR="007E117C" w:rsidRPr="004E70CE">
        <w:t xml:space="preserve">a </w:t>
      </w:r>
      <w:r w:rsidR="00D252BB" w:rsidRPr="004E70CE">
        <w:t>maximum</w:t>
      </w:r>
      <w:r w:rsidR="00D252BB" w:rsidRPr="004E70CE" w:rsidDel="007E117C">
        <w:t xml:space="preserve"> </w:t>
      </w:r>
      <w:r w:rsidR="007E117C" w:rsidRPr="004E70CE">
        <w:t xml:space="preserve">carbon cost difference </w:t>
      </w:r>
      <w:r w:rsidR="00D252BB" w:rsidRPr="004E70CE">
        <w:t>scenario</w:t>
      </w:r>
      <w:r w:rsidR="00C12AAD" w:rsidRPr="004E70CE">
        <w:t xml:space="preserve"> and based on 2030 carbon costs</w:t>
      </w:r>
      <w:r w:rsidR="00D252BB" w:rsidRPr="004E70CE">
        <w:t xml:space="preserve">, production is estimated to decline by </w:t>
      </w:r>
      <w:r w:rsidR="007431D6" w:rsidRPr="004E70CE">
        <w:t xml:space="preserve">less than 1% </w:t>
      </w:r>
      <w:r w:rsidR="00F1459E" w:rsidRPr="004E70CE">
        <w:t xml:space="preserve">for flat glass and </w:t>
      </w:r>
      <w:r w:rsidR="007431D6" w:rsidRPr="004E70CE">
        <w:t>1</w:t>
      </w:r>
      <w:r w:rsidR="00D252BB" w:rsidRPr="004E70CE">
        <w:t>%</w:t>
      </w:r>
      <w:r w:rsidR="00F1459E" w:rsidRPr="004E70CE">
        <w:t xml:space="preserve"> for glass containers</w:t>
      </w:r>
      <w:r w:rsidR="00C12AAD" w:rsidRPr="004E70CE">
        <w:t xml:space="preserve"> due to import competition</w:t>
      </w:r>
      <w:r w:rsidR="00D252BB" w:rsidRPr="004E70CE">
        <w:t xml:space="preserve">. </w:t>
      </w:r>
      <w:r w:rsidR="00C773F2" w:rsidRPr="004E70CE">
        <w:t xml:space="preserve">On the export side, production is estimated to decline by </w:t>
      </w:r>
      <w:r w:rsidR="007431D6" w:rsidRPr="004E70CE">
        <w:t xml:space="preserve">less than </w:t>
      </w:r>
      <w:r w:rsidR="00C773F2" w:rsidRPr="004E70CE">
        <w:t>1% for glass containers under the same scenario.</w:t>
      </w:r>
    </w:p>
    <w:p w14:paraId="59E2B682" w14:textId="77777777" w:rsidR="00D252BB" w:rsidRPr="004E70CE" w:rsidRDefault="00D252BB" w:rsidP="0095651D">
      <w:r w:rsidRPr="004E70CE">
        <w:t xml:space="preserve">Industry consultation suggests leakage risks are a concern. </w:t>
      </w:r>
      <w:r w:rsidR="00736347" w:rsidRPr="004E70CE">
        <w:t>This</w:t>
      </w:r>
      <w:r w:rsidRPr="004E70CE">
        <w:t xml:space="preserve"> could discourage investment in existing and new production, including for decarbonisation. </w:t>
      </w:r>
      <w:r w:rsidR="00AA1C8B" w:rsidRPr="004E70CE">
        <w:t xml:space="preserve">The Review’s analysis of profits </w:t>
      </w:r>
      <w:r w:rsidR="00595EFD" w:rsidRPr="004E70CE">
        <w:t xml:space="preserve">also </w:t>
      </w:r>
      <w:r w:rsidR="00AA1C8B" w:rsidRPr="004E70CE">
        <w:t xml:space="preserve">finds glass to be among </w:t>
      </w:r>
      <w:r w:rsidR="00565515" w:rsidRPr="004E70CE">
        <w:t>the</w:t>
      </w:r>
      <w:r w:rsidR="00AA1C8B" w:rsidRPr="004E70CE">
        <w:t xml:space="preserve"> group of sectors </w:t>
      </w:r>
      <w:r w:rsidR="00565515" w:rsidRPr="004E70CE">
        <w:t>most vulnerable to investment leakage risk.</w:t>
      </w:r>
    </w:p>
    <w:p w14:paraId="698086B2" w14:textId="77777777" w:rsidR="00D252BB" w:rsidRPr="004E70CE" w:rsidRDefault="00385777" w:rsidP="0095651D">
      <w:r w:rsidRPr="004E70CE">
        <w:t xml:space="preserve">Given these results, there is a basis for considering further policies to mitigate leakage for </w:t>
      </w:r>
      <w:r w:rsidR="00D252BB" w:rsidRPr="004E70CE">
        <w:t>glass</w:t>
      </w:r>
      <w:r w:rsidR="0081603C" w:rsidRPr="004E70CE">
        <w:t xml:space="preserve"> </w:t>
      </w:r>
      <w:r w:rsidR="00D252BB" w:rsidRPr="004E70CE">
        <w:t>production.</w:t>
      </w:r>
    </w:p>
    <w:p w14:paraId="463AEE32" w14:textId="77777777" w:rsidR="00863B52" w:rsidRDefault="00863B52">
      <w:pPr>
        <w:spacing w:after="0" w:line="240" w:lineRule="auto"/>
        <w:rPr>
          <w:b/>
          <w:bCs/>
        </w:rPr>
      </w:pPr>
      <w:r>
        <w:rPr>
          <w:b/>
          <w:bCs/>
        </w:rPr>
        <w:br w:type="page"/>
      </w:r>
    </w:p>
    <w:p w14:paraId="02BC42F8" w14:textId="7899FAE4" w:rsidR="00CB14A2" w:rsidRPr="004E70CE" w:rsidRDefault="00CB14A2" w:rsidP="0095651D">
      <w:pPr>
        <w:rPr>
          <w:b/>
          <w:bCs/>
        </w:rPr>
      </w:pPr>
      <w:r w:rsidRPr="004E70CE">
        <w:rPr>
          <w:b/>
          <w:bCs/>
        </w:rPr>
        <w:lastRenderedPageBreak/>
        <w:t>ALUMINA AND ALUMINIUM</w:t>
      </w:r>
    </w:p>
    <w:p w14:paraId="0B61D194" w14:textId="49533E29" w:rsidR="00CB14A2" w:rsidRPr="004E70CE" w:rsidRDefault="00CB14A2" w:rsidP="0095651D">
      <w:r w:rsidRPr="004E70CE">
        <w:t>Australia produces around 20 million tonnes of alumina and 1.5 million tonnes of aluminium per year.</w:t>
      </w:r>
      <w:r w:rsidRPr="004E70CE">
        <w:rPr>
          <w:rStyle w:val="FootnoteReference"/>
        </w:rPr>
        <w:footnoteReference w:id="61"/>
      </w:r>
      <w:r w:rsidRPr="004E70CE">
        <w:t xml:space="preserve"> Alumina refineries and aluminium smelters under the Safeguard Mechanism cover all domestic production. Australia has potential comparative advantages in the production of green alumina and </w:t>
      </w:r>
      <w:r w:rsidR="00F02A23" w:rsidRPr="004E70CE">
        <w:t xml:space="preserve">potentially </w:t>
      </w:r>
      <w:r w:rsidRPr="004E70CE">
        <w:t xml:space="preserve">aluminium in a net zero world, due its bauxite resources, established production base and the potential for low cost, firmed renewable energy. Aluminium is important for the net zero transition, is in demand from strategic international partners, and leverages Australia’s geological resource endowments. It forms part of the green metals priority area </w:t>
      </w:r>
      <w:r w:rsidR="00DC2A66" w:rsidRPr="004E70CE">
        <w:t xml:space="preserve">identified as aligned with the </w:t>
      </w:r>
      <w:r w:rsidRPr="004E70CE">
        <w:t xml:space="preserve">Future Made in Australia </w:t>
      </w:r>
      <w:r w:rsidR="00DC2A66" w:rsidRPr="004E70CE">
        <w:t xml:space="preserve">National Interest Framework </w:t>
      </w:r>
      <w:r w:rsidRPr="004E70CE">
        <w:t xml:space="preserve">and listed on the </w:t>
      </w:r>
      <w:r w:rsidR="009424BA" w:rsidRPr="004E70CE">
        <w:t>government</w:t>
      </w:r>
      <w:r w:rsidRPr="004E70CE">
        <w:t>’s Strategic Materials List.</w:t>
      </w:r>
      <w:r w:rsidRPr="004E70CE">
        <w:rPr>
          <w:rStyle w:val="FootnoteReference"/>
        </w:rPr>
        <w:footnoteReference w:id="62"/>
      </w:r>
      <w:r w:rsidRPr="004E70CE">
        <w:t xml:space="preserve">  </w:t>
      </w:r>
      <w:r w:rsidR="005259A0" w:rsidRPr="004E70CE">
        <w:t>Similar to steel, demand for low emissions aluminium is expected to grow as the world transitions to net zero</w:t>
      </w:r>
      <w:r w:rsidR="007530D9" w:rsidRPr="004E70CE">
        <w:t>, and</w:t>
      </w:r>
      <w:r w:rsidR="005259A0" w:rsidRPr="004E70CE">
        <w:t xml:space="preserve"> </w:t>
      </w:r>
      <w:r w:rsidR="007530D9" w:rsidRPr="004E70CE">
        <w:t>g</w:t>
      </w:r>
      <w:r w:rsidR="005259A0" w:rsidRPr="004E70CE">
        <w:t>reen premiums, while nascent, are beginning to emerge.</w:t>
      </w:r>
      <w:r w:rsidR="007530D9" w:rsidRPr="004E70CE">
        <w:rPr>
          <w:rStyle w:val="FootnoteReference"/>
        </w:rPr>
        <w:footnoteReference w:id="63"/>
      </w:r>
    </w:p>
    <w:p w14:paraId="42B1D80F" w14:textId="6FA7D39D" w:rsidR="00CB14A2" w:rsidRPr="004E70CE" w:rsidRDefault="00CB14A2" w:rsidP="0095651D">
      <w:r w:rsidRPr="004E70CE">
        <w:t>Alumina and aluminium are trade</w:t>
      </w:r>
      <w:r w:rsidR="009C6523" w:rsidRPr="004E70CE">
        <w:t>-</w:t>
      </w:r>
      <w:r w:rsidRPr="004E70CE">
        <w:t xml:space="preserve">exposed in export markets. </w:t>
      </w:r>
      <w:r w:rsidR="006025C9">
        <w:t xml:space="preserve">Exports relative to Safeguard production </w:t>
      </w:r>
      <w:r w:rsidR="00D034D6">
        <w:t>are between 0.8-1.0 for both</w:t>
      </w:r>
      <w:r w:rsidRPr="004E70CE">
        <w:t xml:space="preserve"> alumina and aluminium. Imports </w:t>
      </w:r>
      <w:r w:rsidR="009B6FD9" w:rsidRPr="004E70CE">
        <w:t>relative to Safeguard</w:t>
      </w:r>
      <w:r w:rsidRPr="004E70CE">
        <w:t xml:space="preserve"> production are small for both commodities</w:t>
      </w:r>
      <w:r w:rsidR="00451C5E" w:rsidRPr="004E70CE">
        <w:t xml:space="preserve">, though Australia does import significant </w:t>
      </w:r>
      <w:r w:rsidR="006C614F" w:rsidRPr="004E70CE">
        <w:t xml:space="preserve">amounts </w:t>
      </w:r>
      <w:r w:rsidR="00301973" w:rsidRPr="004E70CE">
        <w:t>of processed aluminium products</w:t>
      </w:r>
      <w:r w:rsidR="00462D1C" w:rsidRPr="004E70CE">
        <w:t xml:space="preserve"> that are downstream of current Safeguard boundaries</w:t>
      </w:r>
      <w:r w:rsidRPr="004E70CE">
        <w:t xml:space="preserve">. In export markets, Australia competes with alumina producers from Asia and aluminium producers from North America, Asia, the Middle East and Russia. Alumina exports are modestly price sensitive (elasticity of -0.3). An elasticity estimate for aluminium has not been established. </w:t>
      </w:r>
    </w:p>
    <w:p w14:paraId="3BBA983F" w14:textId="0BAE546E" w:rsidR="00CB14A2" w:rsidRPr="004E70CE" w:rsidRDefault="00CB14A2" w:rsidP="0095651D">
      <w:r w:rsidRPr="004E70CE">
        <w:t>Average Australian alumina emissions (scope 1) is 0.5 tonnes CO</w:t>
      </w:r>
      <w:r w:rsidRPr="004E70CE">
        <w:rPr>
          <w:vertAlign w:val="subscript"/>
        </w:rPr>
        <w:t>2</w:t>
      </w:r>
      <w:r w:rsidRPr="004E70CE">
        <w:t>-e/tonne.</w:t>
      </w:r>
      <w:r w:rsidRPr="004E70CE">
        <w:rPr>
          <w:rStyle w:val="FootnoteReference"/>
        </w:rPr>
        <w:footnoteReference w:id="64"/>
      </w:r>
      <w:r w:rsidRPr="004E70CE">
        <w:t xml:space="preserve"> Decarbonisation of alumina production relies on early-stage technologies to </w:t>
      </w:r>
      <w:r w:rsidR="00750D1A" w:rsidRPr="004E70CE">
        <w:t xml:space="preserve">switch from </w:t>
      </w:r>
      <w:r w:rsidR="00095570" w:rsidRPr="004E70CE">
        <w:t xml:space="preserve">use of </w:t>
      </w:r>
      <w:r w:rsidR="00750D1A" w:rsidRPr="004E70CE">
        <w:t xml:space="preserve">gas </w:t>
      </w:r>
      <w:r w:rsidR="00315E62" w:rsidRPr="004E70CE">
        <w:t xml:space="preserve">or coal </w:t>
      </w:r>
      <w:r w:rsidR="00750D1A" w:rsidRPr="004E70CE">
        <w:t>to electrification or renewable hydrogen</w:t>
      </w:r>
      <w:r w:rsidRPr="004E70CE">
        <w:t>, and access to low cost, firmed renewable electricity. Average Australian aluminium emissions (scope 1) is 1.9 tonnes CO</w:t>
      </w:r>
      <w:r w:rsidRPr="004E70CE">
        <w:rPr>
          <w:vertAlign w:val="subscript"/>
        </w:rPr>
        <w:t>2</w:t>
      </w:r>
      <w:r w:rsidRPr="004E70CE">
        <w:t>-e/tonne, below the global average of around 2.4 tonnes CO</w:t>
      </w:r>
      <w:r w:rsidRPr="004E70CE">
        <w:rPr>
          <w:vertAlign w:val="subscript"/>
        </w:rPr>
        <w:t>2</w:t>
      </w:r>
      <w:r w:rsidRPr="004E70CE">
        <w:t>-e/tonne.</w:t>
      </w:r>
      <w:r w:rsidRPr="004E70CE">
        <w:rPr>
          <w:rStyle w:val="FootnoteReference"/>
        </w:rPr>
        <w:footnoteReference w:id="65"/>
      </w:r>
      <w:r w:rsidRPr="004E70CE">
        <w:t xml:space="preserve"> Scope 1 emission</w:t>
      </w:r>
      <w:r w:rsidR="00315E62" w:rsidRPr="004E70CE">
        <w:t>s</w:t>
      </w:r>
      <w:r w:rsidRPr="004E70CE">
        <w:t xml:space="preserve"> can be reduced by replacing carbon anodes with emerging inert anode technology. 2030 carbon costs are estimated at </w:t>
      </w:r>
      <w:r w:rsidR="00104CF4" w:rsidRPr="004E70CE">
        <w:t>between 1-3</w:t>
      </w:r>
      <w:r w:rsidRPr="004E70CE">
        <w:t>% of prices for both commodities.</w:t>
      </w:r>
    </w:p>
    <w:p w14:paraId="006F8D85" w14:textId="39E9B490" w:rsidR="00CB14A2" w:rsidRPr="004E70CE" w:rsidRDefault="00CB14A2" w:rsidP="0095651D">
      <w:r w:rsidRPr="004E70CE">
        <w:t xml:space="preserve">Based on 2030 carbon constraints, under </w:t>
      </w:r>
      <w:r w:rsidR="00D271BD" w:rsidRPr="004E70CE">
        <w:t xml:space="preserve">a </w:t>
      </w:r>
      <w:r w:rsidRPr="004E70CE">
        <w:t xml:space="preserve">maximum </w:t>
      </w:r>
      <w:r w:rsidR="00D271BD" w:rsidRPr="004E70CE">
        <w:t xml:space="preserve">carbon cost difference </w:t>
      </w:r>
      <w:r w:rsidRPr="004E70CE">
        <w:t xml:space="preserve">scenario, production is estimated to decline by </w:t>
      </w:r>
      <w:r w:rsidR="00433878" w:rsidRPr="004E70CE">
        <w:t>less than 1</w:t>
      </w:r>
      <w:r w:rsidRPr="004E70CE">
        <w:t xml:space="preserve">% for alumina. An estimate for aluminium is not available, due to uncertainty regarding its trade sensitivity. </w:t>
      </w:r>
    </w:p>
    <w:p w14:paraId="5294D89E" w14:textId="55C0BF6B" w:rsidR="00343B6A" w:rsidRPr="004E70CE" w:rsidRDefault="00CB14A2" w:rsidP="0095651D">
      <w:r w:rsidRPr="004E70CE">
        <w:t xml:space="preserve">Industry consultation </w:t>
      </w:r>
      <w:r w:rsidR="00082D22" w:rsidRPr="004E70CE">
        <w:t>con</w:t>
      </w:r>
      <w:r w:rsidRPr="004E70CE">
        <w:t xml:space="preserve">firmed that leakage risks are mainly related to exports </w:t>
      </w:r>
      <w:r w:rsidR="00936BDB" w:rsidRPr="004E70CE">
        <w:t xml:space="preserve">and </w:t>
      </w:r>
      <w:r w:rsidRPr="004E70CE">
        <w:t xml:space="preserve">noted </w:t>
      </w:r>
      <w:r w:rsidR="00936BDB" w:rsidRPr="004E70CE">
        <w:t xml:space="preserve">potential for indirect leakage </w:t>
      </w:r>
      <w:r w:rsidRPr="004E70CE">
        <w:t xml:space="preserve">risk for downstream aluminium products from import competition. It was also noted that leakage impacts affecting the viability of one part of the supply chain could also affect other parts, due to vertical integration. </w:t>
      </w:r>
      <w:r w:rsidR="00343B6A" w:rsidRPr="004E70CE">
        <w:t>The Review’s analysis of profits finds the aluminium sector to be among a group of sectors facing material risks of investment leakage.</w:t>
      </w:r>
    </w:p>
    <w:p w14:paraId="3347132C" w14:textId="78BE7BAB" w:rsidR="00CB14A2" w:rsidRPr="004E70CE" w:rsidRDefault="00CB14A2" w:rsidP="0095651D">
      <w:r w:rsidRPr="004E70CE">
        <w:lastRenderedPageBreak/>
        <w:t>Industry considered it too soon to judge the effectiveness of current policy in addressing leakage but noted that public investment and other policies beyond the Safeguard Mechanism were likely to be more suitable than a border carbon adjustment for export leakage.</w:t>
      </w:r>
      <w:r w:rsidR="006425E0" w:rsidRPr="004E70CE">
        <w:t xml:space="preserve"> As green markets that allow consumers to preference green products mature, demand for low emissions alumina and aluminium </w:t>
      </w:r>
      <w:r w:rsidR="009A60A3" w:rsidRPr="004E70CE">
        <w:t>is set to rise</w:t>
      </w:r>
      <w:r w:rsidR="006425E0" w:rsidRPr="004E70CE">
        <w:t>.</w:t>
      </w:r>
    </w:p>
    <w:p w14:paraId="48B741E5" w14:textId="77777777" w:rsidR="00CB14A2" w:rsidRPr="004E70CE" w:rsidRDefault="00CB14A2" w:rsidP="0095651D">
      <w:r w:rsidRPr="004E70CE">
        <w:t>While not at risk over the short</w:t>
      </w:r>
      <w:r w:rsidR="00315E62" w:rsidRPr="004E70CE">
        <w:t>-</w:t>
      </w:r>
      <w:r w:rsidRPr="004E70CE">
        <w:t xml:space="preserve">term, further monitoring of risk levels is required, and it is proposed that the carbon leakage risk of alumina and aluminium is particularly considered in the 2026-27 review of Safeguard Mechanism settings. </w:t>
      </w:r>
    </w:p>
    <w:p w14:paraId="3967CFE6" w14:textId="77777777" w:rsidR="00CB14A2" w:rsidRPr="004E70CE" w:rsidRDefault="00CB14A2" w:rsidP="0095651D">
      <w:pPr>
        <w:rPr>
          <w:b/>
          <w:bCs/>
        </w:rPr>
      </w:pPr>
      <w:r w:rsidRPr="004E70CE">
        <w:rPr>
          <w:b/>
          <w:bCs/>
        </w:rPr>
        <w:t xml:space="preserve">REFINED PETROLEUM </w:t>
      </w:r>
    </w:p>
    <w:p w14:paraId="5E9F7EFF" w14:textId="3E9B3F4A" w:rsidR="00CB14A2" w:rsidRPr="004E70CE" w:rsidRDefault="00CB14A2" w:rsidP="0095651D">
      <w:r w:rsidRPr="004E70CE">
        <w:t>Assessing leakage risks for this commodity is complex due to various factors. Refined petroleum, as defined under the Safeguard Mechanism, combines over 17 different refinery products, each with their own price</w:t>
      </w:r>
      <w:r w:rsidR="00F96FC5" w:rsidRPr="004E70CE">
        <w:t xml:space="preserve"> structure</w:t>
      </w:r>
      <w:r w:rsidRPr="004E70CE">
        <w:t xml:space="preserve">s and market dynamics. There are also a range of existing </w:t>
      </w:r>
      <w:r w:rsidR="009424BA" w:rsidRPr="004E70CE">
        <w:t>government</w:t>
      </w:r>
      <w:r w:rsidRPr="004E70CE">
        <w:t xml:space="preserve"> measures to support fuel production and ensure fuel security, which interact with the emissions intensity and production of refineries. For this analysis, the production variable was disaggregated into two groups of commodities: ethane and LPG; and (other) refined petroleum products.</w:t>
      </w:r>
    </w:p>
    <w:p w14:paraId="27D7F1AD" w14:textId="7F8A9FD7" w:rsidR="00CB14A2" w:rsidRPr="004E70CE" w:rsidRDefault="00CB14A2" w:rsidP="0095651D">
      <w:r w:rsidRPr="004E70CE">
        <w:t>Refiners covered under the Safeguard Mechanism account for all domestic production. The sector is highly exposed to import competition, with 80% of the domestic market served by imports, mainly from East Asian countries.</w:t>
      </w:r>
      <w:r w:rsidR="00E73B6F" w:rsidRPr="004E70CE">
        <w:rPr>
          <w:rStyle w:val="FootnoteReference"/>
        </w:rPr>
        <w:footnoteReference w:id="66"/>
      </w:r>
      <w:r w:rsidRPr="004E70CE">
        <w:t xml:space="preserve"> </w:t>
      </w:r>
      <w:r w:rsidR="005D017E" w:rsidRPr="004E70CE">
        <w:t>Energy</w:t>
      </w:r>
      <w:r w:rsidR="00F60077" w:rsidRPr="004E70CE">
        <w:t xml:space="preserve"> intensive refining forms a relatively small share of</w:t>
      </w:r>
      <w:r w:rsidR="00585A71" w:rsidRPr="004E70CE">
        <w:t xml:space="preserve"> product prices</w:t>
      </w:r>
      <w:r w:rsidR="00124248" w:rsidRPr="004E70CE">
        <w:t xml:space="preserve">, </w:t>
      </w:r>
      <w:r w:rsidR="00804D25" w:rsidRPr="004E70CE">
        <w:t xml:space="preserve">with </w:t>
      </w:r>
      <w:r w:rsidR="008524BC" w:rsidRPr="004E70CE">
        <w:t>c</w:t>
      </w:r>
      <w:r w:rsidRPr="004E70CE">
        <w:t xml:space="preserve">arbon costs in 2030 estimated to range from </w:t>
      </w:r>
      <w:r w:rsidR="00433878" w:rsidRPr="004E70CE">
        <w:t>0-1</w:t>
      </w:r>
      <w:r w:rsidRPr="004E70CE">
        <w:t xml:space="preserve">% of prices. Import sensitivity to prices was estimated </w:t>
      </w:r>
      <w:r w:rsidR="00363FD2" w:rsidRPr="004E70CE">
        <w:t>as</w:t>
      </w:r>
      <w:r w:rsidRPr="004E70CE">
        <w:t xml:space="preserve"> significant for ethane and LPG (-4.4) but modest for other refined petroleum products (-0.3). Under</w:t>
      </w:r>
      <w:r w:rsidRPr="004E70CE" w:rsidDel="00BD4615">
        <w:t xml:space="preserve"> </w:t>
      </w:r>
      <w:r w:rsidR="00BD4615" w:rsidRPr="004E70CE">
        <w:t xml:space="preserve">a </w:t>
      </w:r>
      <w:r w:rsidRPr="004E70CE">
        <w:t xml:space="preserve">maximum </w:t>
      </w:r>
      <w:r w:rsidR="00BD4615" w:rsidRPr="004E70CE">
        <w:t xml:space="preserve">carbon cost difference </w:t>
      </w:r>
      <w:r w:rsidRPr="004E70CE">
        <w:t xml:space="preserve">scenario, estimated declines in production </w:t>
      </w:r>
      <w:r w:rsidR="00433878" w:rsidRPr="004E70CE">
        <w:t xml:space="preserve">are below 1% </w:t>
      </w:r>
      <w:r w:rsidRPr="004E70CE">
        <w:t>for these commodities.</w:t>
      </w:r>
    </w:p>
    <w:p w14:paraId="225F490D" w14:textId="33BB64CC" w:rsidR="00C112C4" w:rsidRPr="004E70CE" w:rsidRDefault="00C065BB" w:rsidP="0095651D">
      <w:r>
        <w:t xml:space="preserve">Exports of refined petroleum relative to Safeguard production are between 0.2-0.4, </w:t>
      </w:r>
      <w:r w:rsidR="008259DF" w:rsidRPr="004E70CE">
        <w:t xml:space="preserve">with exports sensitive to price changes (elasticity of -1). Overall, trade leakage is estimated to be </w:t>
      </w:r>
      <w:r w:rsidR="00130937" w:rsidRPr="004E70CE">
        <w:t>below 1</w:t>
      </w:r>
      <w:r w:rsidR="003405EC" w:rsidRPr="004E70CE">
        <w:t>%.</w:t>
      </w:r>
    </w:p>
    <w:p w14:paraId="3C822AF9" w14:textId="34695673" w:rsidR="00CB14A2" w:rsidRPr="004E70CE" w:rsidRDefault="00CB14A2" w:rsidP="0095651D">
      <w:r w:rsidRPr="004E70CE">
        <w:t xml:space="preserve">Investment leakage risks were highlighted in industry feedback, due to reduced capacity to invest in refinery assets. </w:t>
      </w:r>
      <w:r w:rsidR="00F47994" w:rsidRPr="004E70CE">
        <w:t xml:space="preserve">Analysis of profits finds petroleum refining to be among a group of sectors with the second highest level of investment leakage risk </w:t>
      </w:r>
      <w:r w:rsidR="001F5A79" w:rsidRPr="004E70CE">
        <w:t xml:space="preserve">(see </w:t>
      </w:r>
      <w:r w:rsidR="00AF414D" w:rsidRPr="004E70CE">
        <w:rPr>
          <w:b/>
          <w:bCs/>
        </w:rPr>
        <w:t>S</w:t>
      </w:r>
      <w:r w:rsidR="001F5A79" w:rsidRPr="004E70CE">
        <w:rPr>
          <w:b/>
          <w:bCs/>
        </w:rPr>
        <w:t>ection 2.5</w:t>
      </w:r>
      <w:r w:rsidR="001F5A79" w:rsidRPr="004E70CE">
        <w:t xml:space="preserve">). </w:t>
      </w:r>
      <w:r w:rsidRPr="004E70CE">
        <w:t xml:space="preserve">Existing policies were considered insufficient to mitigate leakage risks in the longer run. </w:t>
      </w:r>
      <w:r w:rsidR="00EF5B92" w:rsidRPr="004E70CE">
        <w:t>A b</w:t>
      </w:r>
      <w:r w:rsidRPr="004E70CE">
        <w:t>order carbon adjustment</w:t>
      </w:r>
      <w:r w:rsidR="00EF5B92" w:rsidRPr="004E70CE">
        <w:t xml:space="preserve"> wa</w:t>
      </w:r>
      <w:r w:rsidRPr="004E70CE">
        <w:t>s seen as potentially useful if designed appropriately. Industry also emphasised the need to consider a holistic set of policy measures to help refineries pivot to the production of low emission fuels (e.g., renewable diesel and sustainable aviation fuels), and noted that the broader emissions reduction impact of this would far outweigh the direct impact of decarbonising production facilities.</w:t>
      </w:r>
      <w:r w:rsidR="008A01DF" w:rsidRPr="004E70CE">
        <w:t xml:space="preserve"> Low carbon liquid fuels is a priority area under the Future Made in Australia agenda</w:t>
      </w:r>
      <w:r w:rsidR="007866A7" w:rsidRPr="004E70CE">
        <w:t>. T</w:t>
      </w:r>
      <w:r w:rsidR="00E642F2" w:rsidRPr="004E70CE">
        <w:t xml:space="preserve">he government </w:t>
      </w:r>
      <w:r w:rsidR="007866A7" w:rsidRPr="004E70CE">
        <w:t xml:space="preserve">has committed </w:t>
      </w:r>
      <w:r w:rsidR="00E642F2" w:rsidRPr="004E70CE">
        <w:t>$18.5 million over four years from 2024-25 to develop a certification scheme for low-carbon liquid fuels</w:t>
      </w:r>
      <w:r w:rsidR="00BD6893" w:rsidRPr="004E70CE">
        <w:t xml:space="preserve"> for the transport sector</w:t>
      </w:r>
      <w:r w:rsidR="00E642F2" w:rsidRPr="004E70CE">
        <w:t xml:space="preserve">, including </w:t>
      </w:r>
      <w:r w:rsidR="00BD6893" w:rsidRPr="004E70CE">
        <w:t>s</w:t>
      </w:r>
      <w:r w:rsidR="00E642F2" w:rsidRPr="004E70CE">
        <w:t xml:space="preserve">ustainable </w:t>
      </w:r>
      <w:r w:rsidR="00BD6893" w:rsidRPr="004E70CE">
        <w:t>a</w:t>
      </w:r>
      <w:r w:rsidR="00E642F2" w:rsidRPr="004E70CE">
        <w:t xml:space="preserve">viation </w:t>
      </w:r>
      <w:r w:rsidR="00BD6893" w:rsidRPr="004E70CE">
        <w:t>f</w:t>
      </w:r>
      <w:r w:rsidR="00E642F2" w:rsidRPr="004E70CE">
        <w:t>uels and renewable diesel, by expanding the Guarantee of Origin scheme</w:t>
      </w:r>
      <w:r w:rsidR="008A01DF" w:rsidRPr="004E70CE">
        <w:t>.</w:t>
      </w:r>
    </w:p>
    <w:p w14:paraId="415D829A" w14:textId="1AA56624" w:rsidR="00092CB6" w:rsidRPr="00863B52" w:rsidRDefault="00CB14A2" w:rsidP="00863B52">
      <w:r w:rsidRPr="004E70CE">
        <w:lastRenderedPageBreak/>
        <w:t>While not a</w:t>
      </w:r>
      <w:r w:rsidR="00C13DEB">
        <w:t>t</w:t>
      </w:r>
      <w:r w:rsidRPr="004E70CE">
        <w:t xml:space="preserve"> risk over the short</w:t>
      </w:r>
      <w:r w:rsidR="00E50349" w:rsidRPr="004E70CE">
        <w:t>-</w:t>
      </w:r>
      <w:r w:rsidRPr="004E70CE">
        <w:t xml:space="preserve">term, further monitoring of risk levels is required and it is proposed that the carbon leakage risk of refined petroleum is particularly considered in the 2026-27 review of Safeguard Mechanism settings. </w:t>
      </w:r>
    </w:p>
    <w:p w14:paraId="6126E13E" w14:textId="4C9D15E3" w:rsidR="00D252BB" w:rsidRPr="004E70CE" w:rsidRDefault="00D252BB" w:rsidP="0095651D">
      <w:pPr>
        <w:rPr>
          <w:b/>
          <w:bCs/>
        </w:rPr>
      </w:pPr>
      <w:r w:rsidRPr="004E70CE">
        <w:rPr>
          <w:b/>
          <w:bCs/>
        </w:rPr>
        <w:t>P</w:t>
      </w:r>
      <w:r w:rsidR="00BB3939" w:rsidRPr="004E70CE">
        <w:rPr>
          <w:b/>
          <w:bCs/>
        </w:rPr>
        <w:t xml:space="preserve">ULP AND </w:t>
      </w:r>
      <w:r w:rsidR="005E7F4C" w:rsidRPr="004E70CE">
        <w:rPr>
          <w:b/>
          <w:bCs/>
        </w:rPr>
        <w:t>P</w:t>
      </w:r>
      <w:r w:rsidRPr="004E70CE">
        <w:rPr>
          <w:b/>
          <w:bCs/>
        </w:rPr>
        <w:t>APER</w:t>
      </w:r>
    </w:p>
    <w:p w14:paraId="2B9BFAFD" w14:textId="02196A4D" w:rsidR="00D252BB" w:rsidRPr="004E70CE" w:rsidRDefault="38DB6C86" w:rsidP="0095651D">
      <w:r w:rsidRPr="004E70CE">
        <w:t>F</w:t>
      </w:r>
      <w:r w:rsidR="0C20E02D" w:rsidRPr="004E70CE">
        <w:t>acilities covered under the Safeguard Mechanism</w:t>
      </w:r>
      <w:r w:rsidRPr="004E70CE">
        <w:t xml:space="preserve"> </w:t>
      </w:r>
      <w:r w:rsidR="0C20E02D" w:rsidRPr="004E70CE">
        <w:t>produc</w:t>
      </w:r>
      <w:r w:rsidRPr="004E70CE">
        <w:t>e</w:t>
      </w:r>
      <w:r w:rsidR="0C20E02D" w:rsidRPr="004E70CE">
        <w:t xml:space="preserve"> </w:t>
      </w:r>
      <w:r w:rsidR="005E7F4C" w:rsidRPr="004E70CE">
        <w:t xml:space="preserve">pulp, </w:t>
      </w:r>
      <w:r w:rsidR="0C20E02D" w:rsidRPr="004E70CE">
        <w:t>packaging paper, tissue paper and newsprint.</w:t>
      </w:r>
      <w:r w:rsidR="00D252BB" w:rsidRPr="004E70CE">
        <w:rPr>
          <w:rStyle w:val="FootnoteReference"/>
        </w:rPr>
        <w:footnoteReference w:id="67"/>
      </w:r>
      <w:r w:rsidR="0C20E02D" w:rsidRPr="004E70CE">
        <w:t xml:space="preserve"> The sector is highly trade</w:t>
      </w:r>
      <w:r w:rsidR="00E50349" w:rsidRPr="004E70CE">
        <w:t>-</w:t>
      </w:r>
      <w:r w:rsidR="0C20E02D" w:rsidRPr="004E70CE">
        <w:t>exposed</w:t>
      </w:r>
      <w:r w:rsidR="004F7128">
        <w:t>. I</w:t>
      </w:r>
      <w:r w:rsidR="0C20E02D" w:rsidRPr="004E70CE">
        <w:t xml:space="preserve">mports </w:t>
      </w:r>
      <w:r w:rsidR="004F7128">
        <w:t xml:space="preserve">are </w:t>
      </w:r>
      <w:r w:rsidR="0C20E02D" w:rsidRPr="004E70CE">
        <w:t xml:space="preserve">equivalent to </w:t>
      </w:r>
      <w:r w:rsidR="004F7128">
        <w:t xml:space="preserve">0.4-0.6 times the amount </w:t>
      </w:r>
      <w:r w:rsidR="0C20E02D" w:rsidRPr="004E70CE">
        <w:t xml:space="preserve">of </w:t>
      </w:r>
      <w:r w:rsidRPr="004E70CE">
        <w:t xml:space="preserve">Safeguard </w:t>
      </w:r>
      <w:r w:rsidR="0C20E02D" w:rsidRPr="004E70CE">
        <w:t>production for all commodity types.</w:t>
      </w:r>
      <w:r w:rsidR="004F7128">
        <w:t xml:space="preserve"> </w:t>
      </w:r>
      <w:r w:rsidR="0030461E">
        <w:t xml:space="preserve">Exports </w:t>
      </w:r>
      <w:r w:rsidR="00703C02">
        <w:t xml:space="preserve">relative to </w:t>
      </w:r>
      <w:r w:rsidR="004F7128">
        <w:t xml:space="preserve">Safeguard production </w:t>
      </w:r>
      <w:r w:rsidR="00B33237">
        <w:t>are</w:t>
      </w:r>
      <w:r w:rsidR="004F7128">
        <w:t xml:space="preserve"> </w:t>
      </w:r>
      <w:r w:rsidR="00703C02">
        <w:t>between 0.8-1.0</w:t>
      </w:r>
      <w:r w:rsidR="004F7128">
        <w:t>.</w:t>
      </w:r>
      <w:r w:rsidR="0C20E02D" w:rsidRPr="004E70CE">
        <w:t xml:space="preserve"> Exports are more sensitive to price changes (elasticity of -</w:t>
      </w:r>
      <w:r w:rsidR="406626F2" w:rsidRPr="004E70CE">
        <w:t>1.</w:t>
      </w:r>
      <w:r w:rsidR="0C20E02D" w:rsidRPr="004E70CE">
        <w:t>5) compared to imports (-0.</w:t>
      </w:r>
      <w:r w:rsidR="406626F2" w:rsidRPr="004E70CE">
        <w:t>8</w:t>
      </w:r>
      <w:r w:rsidR="0C20E02D" w:rsidRPr="004E70CE">
        <w:t>)</w:t>
      </w:r>
      <w:r w:rsidR="00893956" w:rsidRPr="004E70CE">
        <w:t>.</w:t>
      </w:r>
      <w:r w:rsidR="00A94B3D" w:rsidRPr="004E70CE">
        <w:rPr>
          <w:rStyle w:val="FootnoteReference"/>
        </w:rPr>
        <w:footnoteReference w:id="68"/>
      </w:r>
      <w:r w:rsidR="00DD29FD" w:rsidRPr="004E70CE">
        <w:t xml:space="preserve"> </w:t>
      </w:r>
    </w:p>
    <w:p w14:paraId="19F8923B" w14:textId="77777777" w:rsidR="00200ADB" w:rsidRPr="004E70CE" w:rsidRDefault="00D252BB" w:rsidP="0095651D">
      <w:r w:rsidRPr="004E70CE">
        <w:t xml:space="preserve">Decarbonisation </w:t>
      </w:r>
      <w:r w:rsidR="00175B16" w:rsidRPr="004E70CE">
        <w:t xml:space="preserve">for pulp production </w:t>
      </w:r>
      <w:r w:rsidRPr="004E70CE">
        <w:t xml:space="preserve">relies on alternatives to heating fuels, either by electrifying heating processes or switching to lower emission fuels. Industry feedback suggests this could be difficult in regional locations where enabling infrastructure is lacking. </w:t>
      </w:r>
    </w:p>
    <w:p w14:paraId="700E9E7F" w14:textId="240FB0FD" w:rsidR="00D252BB" w:rsidRPr="004E70CE" w:rsidRDefault="00200ADB" w:rsidP="0095651D">
      <w:r w:rsidRPr="004E70CE">
        <w:t>C</w:t>
      </w:r>
      <w:r w:rsidR="00D252BB" w:rsidRPr="004E70CE">
        <w:t>arbon</w:t>
      </w:r>
      <w:r w:rsidR="00D252BB" w:rsidRPr="004E70CE" w:rsidDel="00200ADB">
        <w:t xml:space="preserve"> </w:t>
      </w:r>
      <w:r w:rsidRPr="004E70CE">
        <w:t xml:space="preserve">costs </w:t>
      </w:r>
      <w:r w:rsidR="00D252BB" w:rsidRPr="004E70CE">
        <w:t>in 2030</w:t>
      </w:r>
      <w:r w:rsidRPr="004E70CE">
        <w:t xml:space="preserve"> are estimated to </w:t>
      </w:r>
      <w:r w:rsidR="00130937" w:rsidRPr="004E70CE">
        <w:t xml:space="preserve">between </w:t>
      </w:r>
      <w:r w:rsidRPr="004E70CE">
        <w:t>1</w:t>
      </w:r>
      <w:r w:rsidR="00130937" w:rsidRPr="004E70CE">
        <w:t>-3</w:t>
      </w:r>
      <w:r w:rsidRPr="004E70CE">
        <w:t>% of prices</w:t>
      </w:r>
      <w:r w:rsidR="004D401E" w:rsidRPr="004E70CE">
        <w:t xml:space="preserve">. </w:t>
      </w:r>
      <w:r w:rsidR="0078070E" w:rsidRPr="004E70CE">
        <w:t xml:space="preserve">Under </w:t>
      </w:r>
      <w:r w:rsidR="00661B96" w:rsidRPr="004E70CE">
        <w:t xml:space="preserve">a </w:t>
      </w:r>
      <w:r w:rsidR="00D252BB" w:rsidRPr="004E70CE">
        <w:t xml:space="preserve">maximum </w:t>
      </w:r>
      <w:r w:rsidR="00661B96" w:rsidRPr="004E70CE">
        <w:t xml:space="preserve">carbon cost difference </w:t>
      </w:r>
      <w:r w:rsidR="00D252BB" w:rsidRPr="004E70CE">
        <w:t xml:space="preserve">scenario, </w:t>
      </w:r>
      <w:r w:rsidR="00812C91" w:rsidRPr="004E70CE">
        <w:t xml:space="preserve">Safeguard </w:t>
      </w:r>
      <w:r w:rsidR="0078070E" w:rsidRPr="004E70CE">
        <w:t>p</w:t>
      </w:r>
      <w:r w:rsidR="001819EE" w:rsidRPr="004E70CE">
        <w:t xml:space="preserve">roduction </w:t>
      </w:r>
      <w:r w:rsidR="00D252BB" w:rsidRPr="004E70CE">
        <w:t xml:space="preserve">is estimated to decline by </w:t>
      </w:r>
      <w:r w:rsidR="00130937" w:rsidRPr="004E70CE">
        <w:t>less than 1</w:t>
      </w:r>
      <w:r w:rsidR="00D252BB" w:rsidRPr="004E70CE">
        <w:t xml:space="preserve">% due to import leakage and </w:t>
      </w:r>
      <w:r w:rsidR="00130937" w:rsidRPr="004E70CE">
        <w:t>2</w:t>
      </w:r>
      <w:r w:rsidR="00D252BB" w:rsidRPr="004E70CE">
        <w:t xml:space="preserve">% due to export leakage. </w:t>
      </w:r>
      <w:r w:rsidR="00023DDA" w:rsidRPr="004E70CE">
        <w:t>The Review’s analysis of profits finds</w:t>
      </w:r>
      <w:r w:rsidR="00355C14" w:rsidRPr="004E70CE">
        <w:t xml:space="preserve"> pulp and paper to be among a group of industries most susceptible to investment leakage (see </w:t>
      </w:r>
      <w:r w:rsidR="0066343E" w:rsidRPr="004E70CE">
        <w:rPr>
          <w:b/>
          <w:bCs/>
        </w:rPr>
        <w:t>S</w:t>
      </w:r>
      <w:r w:rsidR="00355C14" w:rsidRPr="004E70CE">
        <w:rPr>
          <w:b/>
          <w:bCs/>
        </w:rPr>
        <w:t>ection 2.5</w:t>
      </w:r>
      <w:r w:rsidR="00355C14" w:rsidRPr="004E70CE">
        <w:t xml:space="preserve">). </w:t>
      </w:r>
    </w:p>
    <w:p w14:paraId="7BE36FC2" w14:textId="77777777" w:rsidR="0029196D" w:rsidRPr="004E70CE" w:rsidRDefault="003A7745" w:rsidP="0095651D">
      <w:r w:rsidRPr="004E70CE">
        <w:t xml:space="preserve">Industry </w:t>
      </w:r>
      <w:r w:rsidR="004D185D" w:rsidRPr="004E70CE">
        <w:t xml:space="preserve">recognised </w:t>
      </w:r>
      <w:r w:rsidRPr="004E70CE">
        <w:t xml:space="preserve">the potential merits of </w:t>
      </w:r>
      <w:r w:rsidR="00F163BA" w:rsidRPr="004E70CE">
        <w:t xml:space="preserve">a portfolio of </w:t>
      </w:r>
      <w:r w:rsidRPr="004E70CE">
        <w:t>additional policies to address leakage</w:t>
      </w:r>
      <w:r w:rsidR="00F163BA" w:rsidRPr="004E70CE">
        <w:t xml:space="preserve">, </w:t>
      </w:r>
      <w:r w:rsidR="004D185D" w:rsidRPr="004E70CE">
        <w:t xml:space="preserve">but also </w:t>
      </w:r>
      <w:r w:rsidR="00F163BA" w:rsidRPr="004E70CE">
        <w:t xml:space="preserve">noted other </w:t>
      </w:r>
      <w:r w:rsidR="004D185D" w:rsidRPr="004E70CE">
        <w:t xml:space="preserve">non-leakage </w:t>
      </w:r>
      <w:r w:rsidR="00F163BA" w:rsidRPr="004E70CE">
        <w:t>polic</w:t>
      </w:r>
      <w:r w:rsidR="004D185D" w:rsidRPr="004E70CE">
        <w:t xml:space="preserve">ies </w:t>
      </w:r>
      <w:r w:rsidR="00943979" w:rsidRPr="004E70CE">
        <w:t>(e</w:t>
      </w:r>
      <w:r w:rsidR="009B5CAD" w:rsidRPr="004E70CE">
        <w:t>.</w:t>
      </w:r>
      <w:r w:rsidR="00943979" w:rsidRPr="004E70CE">
        <w:t>g</w:t>
      </w:r>
      <w:r w:rsidR="009B5CAD" w:rsidRPr="004E70CE">
        <w:t>.</w:t>
      </w:r>
      <w:r w:rsidR="00943979" w:rsidRPr="004E70CE">
        <w:t xml:space="preserve"> forestry polic</w:t>
      </w:r>
      <w:r w:rsidR="00AA3573" w:rsidRPr="004E70CE">
        <w:t>ies</w:t>
      </w:r>
      <w:r w:rsidR="00023DDA" w:rsidRPr="004E70CE">
        <w:t xml:space="preserve"> affecting</w:t>
      </w:r>
      <w:r w:rsidR="0096402F" w:rsidRPr="004E70CE">
        <w:t xml:space="preserve"> access to</w:t>
      </w:r>
      <w:r w:rsidR="00023DDA" w:rsidRPr="004E70CE">
        <w:t xml:space="preserve"> timber inputs</w:t>
      </w:r>
      <w:r w:rsidR="00943979" w:rsidRPr="004E70CE">
        <w:t xml:space="preserve">) as significant </w:t>
      </w:r>
      <w:r w:rsidR="00023DDA" w:rsidRPr="004E70CE">
        <w:t xml:space="preserve">influences on production decisions. </w:t>
      </w:r>
    </w:p>
    <w:p w14:paraId="5F436EF8" w14:textId="77777777" w:rsidR="00F42A92" w:rsidRPr="004E70CE" w:rsidRDefault="00101AB4" w:rsidP="0095651D">
      <w:r w:rsidRPr="004E70CE">
        <w:t xml:space="preserve">Based on </w:t>
      </w:r>
      <w:r w:rsidR="0061438F" w:rsidRPr="004E70CE">
        <w:t xml:space="preserve">some </w:t>
      </w:r>
      <w:r w:rsidR="00425711" w:rsidRPr="004E70CE">
        <w:t>risk</w:t>
      </w:r>
      <w:r w:rsidR="0061438F" w:rsidRPr="004E70CE">
        <w:t xml:space="preserve"> </w:t>
      </w:r>
      <w:r w:rsidR="00322910" w:rsidRPr="004E70CE">
        <w:t xml:space="preserve">indicators </w:t>
      </w:r>
      <w:r w:rsidR="00425711" w:rsidRPr="004E70CE">
        <w:t>approaching</w:t>
      </w:r>
      <w:r w:rsidR="00DF569C" w:rsidRPr="004E70CE">
        <w:t xml:space="preserve"> </w:t>
      </w:r>
      <w:r w:rsidR="00425711" w:rsidRPr="004E70CE">
        <w:t>material levels</w:t>
      </w:r>
      <w:r w:rsidR="0093528B" w:rsidRPr="004E70CE">
        <w:t xml:space="preserve"> and </w:t>
      </w:r>
      <w:r w:rsidR="00AF2DDD" w:rsidRPr="004E70CE">
        <w:t xml:space="preserve">potentially </w:t>
      </w:r>
      <w:r w:rsidRPr="004E70CE">
        <w:t xml:space="preserve">high susceptibility to </w:t>
      </w:r>
      <w:r w:rsidR="00AF2DDD" w:rsidRPr="004E70CE">
        <w:t xml:space="preserve">investment leakage risks (see </w:t>
      </w:r>
      <w:r w:rsidR="00CF6DE9" w:rsidRPr="004E70CE">
        <w:rPr>
          <w:b/>
          <w:bCs/>
        </w:rPr>
        <w:t>S</w:t>
      </w:r>
      <w:r w:rsidR="00AF2DDD" w:rsidRPr="004E70CE">
        <w:rPr>
          <w:b/>
          <w:bCs/>
        </w:rPr>
        <w:t xml:space="preserve">ection </w:t>
      </w:r>
      <w:r w:rsidR="00806DB5" w:rsidRPr="004E70CE">
        <w:rPr>
          <w:b/>
          <w:bCs/>
        </w:rPr>
        <w:t>2.5</w:t>
      </w:r>
      <w:r w:rsidR="00806DB5" w:rsidRPr="004E70CE">
        <w:t>)</w:t>
      </w:r>
      <w:r w:rsidRPr="004E70CE">
        <w:t xml:space="preserve">, the Review proposes that </w:t>
      </w:r>
      <w:r w:rsidR="00D4058D" w:rsidRPr="004E70CE">
        <w:t xml:space="preserve">the carbon leakage risk of </w:t>
      </w:r>
      <w:r w:rsidRPr="004E70CE">
        <w:t xml:space="preserve">pulp and paper be </w:t>
      </w:r>
      <w:r w:rsidR="002E39F7" w:rsidRPr="004E70CE">
        <w:t xml:space="preserve">particularly considered in the 2026-27 review of </w:t>
      </w:r>
      <w:r w:rsidR="00BD7422" w:rsidRPr="004E70CE">
        <w:t>Safeguard Mechanism settings.</w:t>
      </w:r>
    </w:p>
    <w:p w14:paraId="390505EC" w14:textId="77777777" w:rsidR="00D252BB" w:rsidRPr="004E70CE" w:rsidRDefault="00D252BB" w:rsidP="0095651D">
      <w:pPr>
        <w:rPr>
          <w:b/>
          <w:bCs/>
        </w:rPr>
      </w:pPr>
      <w:r w:rsidRPr="004E70CE">
        <w:rPr>
          <w:b/>
          <w:bCs/>
        </w:rPr>
        <w:t>MAGNESIA</w:t>
      </w:r>
    </w:p>
    <w:p w14:paraId="10C102CF" w14:textId="179887BB" w:rsidR="004139C9" w:rsidRPr="004E70CE" w:rsidRDefault="0C20E02D" w:rsidP="0095651D">
      <w:r w:rsidRPr="004E70CE">
        <w:t xml:space="preserve">Magnesia is used in a wide variety of industrial applications, including fertilisers, steel production and electric vehicle (EV) batteries, and is included on the </w:t>
      </w:r>
      <w:r w:rsidR="009424BA" w:rsidRPr="004E70CE">
        <w:t>government</w:t>
      </w:r>
      <w:r w:rsidRPr="004E70CE">
        <w:t>’s Critical Minerals List.</w:t>
      </w:r>
      <w:r w:rsidR="00D252BB" w:rsidRPr="004E70CE">
        <w:rPr>
          <w:rStyle w:val="FootnoteReference"/>
        </w:rPr>
        <w:footnoteReference w:id="69"/>
      </w:r>
      <w:r w:rsidRPr="004E70CE">
        <w:t xml:space="preserve"> </w:t>
      </w:r>
    </w:p>
    <w:p w14:paraId="57956B08" w14:textId="0EC0D203" w:rsidR="00D252BB" w:rsidRPr="004E70CE" w:rsidRDefault="0C20E02D" w:rsidP="0095651D">
      <w:r w:rsidRPr="004E70CE">
        <w:t xml:space="preserve">Imports </w:t>
      </w:r>
      <w:r w:rsidR="00DE6F4D">
        <w:t>are equal to 0-0.2</w:t>
      </w:r>
      <w:r w:rsidRPr="004E70CE">
        <w:t xml:space="preserve"> </w:t>
      </w:r>
      <w:r w:rsidR="00DE6F4D">
        <w:t xml:space="preserve">times the volume </w:t>
      </w:r>
      <w:r w:rsidRPr="004E70CE">
        <w:t xml:space="preserve">of </w:t>
      </w:r>
      <w:r w:rsidR="00761DC6">
        <w:t xml:space="preserve">Safeguard </w:t>
      </w:r>
      <w:r w:rsidRPr="004E70CE">
        <w:t>production and are price sensitive (elasticity of -2.</w:t>
      </w:r>
      <w:r w:rsidR="1DA22839" w:rsidRPr="004E70CE">
        <w:t>2</w:t>
      </w:r>
      <w:r w:rsidRPr="004E70CE">
        <w:t xml:space="preserve">). </w:t>
      </w:r>
      <w:r w:rsidR="158B7478" w:rsidRPr="004E70CE">
        <w:t xml:space="preserve">Australia </w:t>
      </w:r>
      <w:r w:rsidR="2E6218D6" w:rsidRPr="004E70CE">
        <w:t xml:space="preserve">appears to </w:t>
      </w:r>
      <w:r w:rsidR="158B7478" w:rsidRPr="004E70CE">
        <w:t>export</w:t>
      </w:r>
      <w:r w:rsidR="551255F6" w:rsidRPr="004E70CE">
        <w:t xml:space="preserve"> some</w:t>
      </w:r>
      <w:r w:rsidR="158B7478" w:rsidRPr="004E70CE">
        <w:t xml:space="preserve"> magnesia, </w:t>
      </w:r>
      <w:r w:rsidR="551255F6" w:rsidRPr="004E70CE">
        <w:t xml:space="preserve">but </w:t>
      </w:r>
      <w:r w:rsidR="1DA22839" w:rsidRPr="004E70CE">
        <w:t>limited</w:t>
      </w:r>
      <w:r w:rsidR="551255F6" w:rsidRPr="004E70CE">
        <w:t xml:space="preserve"> </w:t>
      </w:r>
      <w:r w:rsidR="158B7478" w:rsidRPr="004E70CE">
        <w:t xml:space="preserve">data </w:t>
      </w:r>
      <w:r w:rsidR="0EF84D8C" w:rsidRPr="004E70CE">
        <w:t xml:space="preserve">is </w:t>
      </w:r>
      <w:r w:rsidR="0B92E8AC" w:rsidRPr="004E70CE">
        <w:t xml:space="preserve">available </w:t>
      </w:r>
      <w:r w:rsidR="158B7478" w:rsidRPr="004E70CE">
        <w:t xml:space="preserve">on </w:t>
      </w:r>
      <w:r w:rsidR="0B92E8AC" w:rsidRPr="004E70CE">
        <w:t>export volumes</w:t>
      </w:r>
      <w:r w:rsidRPr="004E70CE">
        <w:t>. China is the largest producer of magnesia, accounting for two thirds of global production in 2023.</w:t>
      </w:r>
      <w:r w:rsidR="00D252BB" w:rsidRPr="004E70CE">
        <w:rPr>
          <w:rStyle w:val="FootnoteReference"/>
        </w:rPr>
        <w:footnoteReference w:id="70"/>
      </w:r>
      <w:r w:rsidRPr="004E70CE">
        <w:t xml:space="preserve"> </w:t>
      </w:r>
    </w:p>
    <w:p w14:paraId="1A37F5B7" w14:textId="1DB914E8" w:rsidR="00D252BB" w:rsidRPr="004E70CE" w:rsidRDefault="00D252BB" w:rsidP="0095651D">
      <w:r w:rsidRPr="004E70CE">
        <w:t>Magnesia production is emissions</w:t>
      </w:r>
      <w:r w:rsidR="00BF11F4">
        <w:t xml:space="preserve"> </w:t>
      </w:r>
      <w:r w:rsidRPr="004E70CE">
        <w:t xml:space="preserve">intensive. Around 70% of emissions are process emissions from calcination of magnesite and 25% is from the use of fuels for calcination. Decarbonisation relies on CCUS for process emissions and electrification of the calcination process, but neither are considered </w:t>
      </w:r>
      <w:r w:rsidRPr="004E70CE">
        <w:lastRenderedPageBreak/>
        <w:t xml:space="preserve">viable in the near term. 2030 carbon costs are estimated to be </w:t>
      </w:r>
      <w:r w:rsidR="00F10D3C" w:rsidRPr="004E70CE">
        <w:t>between 3-5</w:t>
      </w:r>
      <w:r w:rsidRPr="004E70CE">
        <w:t>% of price.</w:t>
      </w:r>
      <w:r w:rsidR="00A62F2B" w:rsidRPr="004E70CE">
        <w:t xml:space="preserve"> </w:t>
      </w:r>
      <w:r w:rsidR="00DF3F98" w:rsidRPr="004E70CE">
        <w:t>Safeguard p</w:t>
      </w:r>
      <w:r w:rsidR="00FD15FA" w:rsidRPr="004E70CE">
        <w:t>roduction is estimated to decline by 1%</w:t>
      </w:r>
      <w:r w:rsidR="004139C9" w:rsidRPr="004E70CE">
        <w:t xml:space="preserve"> due to import competition</w:t>
      </w:r>
      <w:r w:rsidR="00811C44" w:rsidRPr="004E70CE">
        <w:t>.</w:t>
      </w:r>
    </w:p>
    <w:p w14:paraId="6FDA1EDB" w14:textId="77777777" w:rsidR="00CF6034" w:rsidRPr="004E70CE" w:rsidRDefault="00066D67" w:rsidP="0095651D">
      <w:pPr>
        <w:rPr>
          <w:b/>
          <w:bCs/>
        </w:rPr>
      </w:pPr>
      <w:r w:rsidRPr="004E70CE">
        <w:t xml:space="preserve">Based on </w:t>
      </w:r>
      <w:r w:rsidR="005365E0" w:rsidRPr="004E70CE">
        <w:t xml:space="preserve">the Review’s </w:t>
      </w:r>
      <w:r w:rsidRPr="004E70CE">
        <w:t>analysis</w:t>
      </w:r>
      <w:r w:rsidR="00185E01" w:rsidRPr="004E70CE">
        <w:t xml:space="preserve">, </w:t>
      </w:r>
      <w:r w:rsidR="005365E0" w:rsidRPr="004E70CE">
        <w:t xml:space="preserve">existing policies </w:t>
      </w:r>
      <w:r w:rsidR="0078510C" w:rsidRPr="004E70CE">
        <w:t xml:space="preserve">currently </w:t>
      </w:r>
      <w:r w:rsidR="005365E0" w:rsidRPr="004E70CE">
        <w:t xml:space="preserve">appear sufficient to address leakage </w:t>
      </w:r>
      <w:r w:rsidR="00365FF2" w:rsidRPr="004E70CE">
        <w:t>risks</w:t>
      </w:r>
      <w:r w:rsidR="005365E0" w:rsidRPr="004E70CE">
        <w:t>.</w:t>
      </w:r>
    </w:p>
    <w:p w14:paraId="1DDEAC4D" w14:textId="7C3AFEEE" w:rsidR="00973258" w:rsidRPr="004E70CE" w:rsidRDefault="00DF3F98" w:rsidP="0095651D">
      <w:pPr>
        <w:rPr>
          <w:b/>
          <w:bCs/>
        </w:rPr>
      </w:pPr>
      <w:r w:rsidRPr="004E70CE">
        <w:rPr>
          <w:b/>
          <w:bCs/>
        </w:rPr>
        <w:t>POLYETHYLENE</w:t>
      </w:r>
      <w:r w:rsidR="00973258" w:rsidRPr="004E70CE">
        <w:rPr>
          <w:b/>
          <w:bCs/>
        </w:rPr>
        <w:t xml:space="preserve"> </w:t>
      </w:r>
    </w:p>
    <w:p w14:paraId="0284B974" w14:textId="316D6B53" w:rsidR="00F8196A" w:rsidRPr="004E70CE" w:rsidRDefault="3339CCE2" w:rsidP="0095651D">
      <w:r w:rsidRPr="004E70CE">
        <w:t xml:space="preserve">Ethane and other </w:t>
      </w:r>
      <w:r w:rsidR="004732A5" w:rsidRPr="004E70CE">
        <w:t>petroleum</w:t>
      </w:r>
      <w:r w:rsidRPr="004E70CE">
        <w:t xml:space="preserve"> products are used as feedstocks to produce ethylene, which is then further processed into polyethylene. Polyethylene can be made into a wide range of plastic products. Safeguard facilities produc</w:t>
      </w:r>
      <w:r w:rsidR="4DB32B95" w:rsidRPr="004E70CE">
        <w:t>e</w:t>
      </w:r>
      <w:r w:rsidRPr="004E70CE">
        <w:t xml:space="preserve"> around 205,000 tonnes of polyethylene annually</w:t>
      </w:r>
      <w:r w:rsidR="002D0A5E" w:rsidRPr="004E70CE">
        <w:t>,</w:t>
      </w:r>
      <w:r w:rsidR="00F8196A" w:rsidRPr="004E70CE">
        <w:rPr>
          <w:rStyle w:val="FootnoteReference"/>
        </w:rPr>
        <w:footnoteReference w:id="71"/>
      </w:r>
      <w:r w:rsidR="00D166F3" w:rsidRPr="004E70CE">
        <w:t xml:space="preserve"> although future production levels are uncertain based on recent industry announcements.</w:t>
      </w:r>
      <w:r w:rsidRPr="004E70CE">
        <w:t xml:space="preserve"> </w:t>
      </w:r>
    </w:p>
    <w:p w14:paraId="38CB4273" w14:textId="031E63C8" w:rsidR="00F8196A" w:rsidRPr="004E70CE" w:rsidRDefault="00F8196A" w:rsidP="0095651D">
      <w:r w:rsidRPr="004E70CE">
        <w:t>Polyethylene is trade</w:t>
      </w:r>
      <w:r w:rsidR="00933CFD" w:rsidRPr="004E70CE">
        <w:t>-</w:t>
      </w:r>
      <w:r w:rsidRPr="004E70CE">
        <w:t xml:space="preserve">exposed in domestic markets, with </w:t>
      </w:r>
      <w:r w:rsidR="00685014" w:rsidRPr="004E70CE">
        <w:t xml:space="preserve">imports equivalent to </w:t>
      </w:r>
      <w:r w:rsidR="00B537A3">
        <w:t>1.0-1.2 times the volume</w:t>
      </w:r>
      <w:r w:rsidR="00685014" w:rsidRPr="004E70CE">
        <w:t xml:space="preserve"> of domestic production</w:t>
      </w:r>
      <w:r w:rsidRPr="004E70CE">
        <w:t xml:space="preserve">. Exports are negligible. </w:t>
      </w:r>
      <w:r w:rsidR="00685014" w:rsidRPr="004E70CE">
        <w:t>Imports are modestly price sensitive (elasticity of -0.</w:t>
      </w:r>
      <w:r w:rsidR="00995088" w:rsidRPr="004E70CE">
        <w:t>5</w:t>
      </w:r>
      <w:r w:rsidR="00685014" w:rsidRPr="004E70CE">
        <w:t xml:space="preserve">). Carbon costs in 2030 are estimated to be </w:t>
      </w:r>
      <w:r w:rsidR="00F10D3C" w:rsidRPr="004E70CE">
        <w:t>between 0-</w:t>
      </w:r>
      <w:r w:rsidR="0035469F" w:rsidRPr="004E70CE">
        <w:t>1</w:t>
      </w:r>
      <w:r w:rsidR="00685014" w:rsidRPr="004E70CE">
        <w:t xml:space="preserve">% of prices. Under </w:t>
      </w:r>
      <w:r w:rsidR="0035469F" w:rsidRPr="004E70CE">
        <w:t xml:space="preserve">a </w:t>
      </w:r>
      <w:r w:rsidR="00685014" w:rsidRPr="004E70CE">
        <w:t>maximum</w:t>
      </w:r>
      <w:r w:rsidR="00685014" w:rsidRPr="004E70CE" w:rsidDel="0035469F">
        <w:t xml:space="preserve"> </w:t>
      </w:r>
      <w:r w:rsidR="0035469F" w:rsidRPr="004E70CE">
        <w:t xml:space="preserve">carbon cost difference </w:t>
      </w:r>
      <w:r w:rsidR="00685014" w:rsidRPr="004E70CE">
        <w:t xml:space="preserve">scenario, </w:t>
      </w:r>
      <w:r w:rsidR="0041053A" w:rsidRPr="004E70CE">
        <w:t>Safeguard</w:t>
      </w:r>
      <w:r w:rsidR="00685014" w:rsidRPr="004E70CE">
        <w:t xml:space="preserve"> production is estimated to decline by </w:t>
      </w:r>
      <w:r w:rsidR="00F10D3C" w:rsidRPr="004E70CE">
        <w:t>less than 1</w:t>
      </w:r>
      <w:r w:rsidR="00685014" w:rsidRPr="004E70CE">
        <w:t xml:space="preserve">% based on 2030 carbon constraints. </w:t>
      </w:r>
    </w:p>
    <w:p w14:paraId="68C10F2B" w14:textId="3FE692F3" w:rsidR="00144A3E" w:rsidRPr="004E70CE" w:rsidRDefault="00700FDC" w:rsidP="0095651D">
      <w:r w:rsidRPr="004E70CE">
        <w:t>The Review notes that o</w:t>
      </w:r>
      <w:r w:rsidR="00F8196A" w:rsidRPr="004E70CE">
        <w:t xml:space="preserve">ther </w:t>
      </w:r>
      <w:r w:rsidR="004B1E4F" w:rsidRPr="004E70CE">
        <w:t xml:space="preserve">supply chain </w:t>
      </w:r>
      <w:r w:rsidR="00F8196A" w:rsidRPr="004E70CE">
        <w:t>factors beyond the Safeguard Mechanism</w:t>
      </w:r>
      <w:r w:rsidR="00376058" w:rsidRPr="004E70CE">
        <w:t xml:space="preserve"> </w:t>
      </w:r>
      <w:r w:rsidR="004B1E4F" w:rsidRPr="004E70CE">
        <w:t>may have</w:t>
      </w:r>
      <w:r w:rsidRPr="004E70CE">
        <w:t xml:space="preserve"> a significant </w:t>
      </w:r>
      <w:r w:rsidR="005D73EE" w:rsidRPr="004E70CE">
        <w:t>influence</w:t>
      </w:r>
      <w:r w:rsidR="00F8196A" w:rsidRPr="004E70CE">
        <w:t xml:space="preserve"> on </w:t>
      </w:r>
      <w:r w:rsidRPr="004E70CE">
        <w:t xml:space="preserve">future </w:t>
      </w:r>
      <w:r w:rsidR="00F8196A" w:rsidRPr="004E70CE">
        <w:t xml:space="preserve">production decisions. </w:t>
      </w:r>
      <w:r w:rsidR="00144A3E" w:rsidRPr="004E70CE">
        <w:t xml:space="preserve">In </w:t>
      </w:r>
      <w:r w:rsidR="004B1E4F" w:rsidRPr="004E70CE">
        <w:t xml:space="preserve">relation </w:t>
      </w:r>
      <w:r w:rsidR="00144A3E" w:rsidRPr="004E70CE">
        <w:t xml:space="preserve">to rising energy prices, the </w:t>
      </w:r>
      <w:r w:rsidR="009424BA" w:rsidRPr="004E70CE">
        <w:t>government</w:t>
      </w:r>
      <w:r w:rsidR="00144A3E" w:rsidRPr="004E70CE">
        <w:t xml:space="preserve"> has implemented </w:t>
      </w:r>
      <w:r w:rsidR="00A360EB" w:rsidRPr="004E70CE">
        <w:t>several</w:t>
      </w:r>
      <w:r w:rsidR="00144A3E" w:rsidRPr="004E70CE">
        <w:t xml:space="preserve"> measures as part of the Energy Price Relief Plan, including a temporary wholesale gas price </w:t>
      </w:r>
      <w:r w:rsidR="002652F1">
        <w:t>c</w:t>
      </w:r>
      <w:r w:rsidR="00144A3E" w:rsidRPr="004E70CE">
        <w:t>ap which has been superseded by the Gas Market Code. The Gas Market Code is designed to facilitate a well-functioning domestic wholesale gas market with adequate gas supply at reasonable prices and on reasonable terms.</w:t>
      </w:r>
    </w:p>
    <w:p w14:paraId="516FC9D9" w14:textId="77777777" w:rsidR="000F59D0" w:rsidRPr="004E70CE" w:rsidRDefault="000F59D0" w:rsidP="0095651D">
      <w:r w:rsidRPr="004E70CE">
        <w:t xml:space="preserve">Based on the analysis, </w:t>
      </w:r>
      <w:r w:rsidR="00D166F3" w:rsidRPr="004E70CE">
        <w:t xml:space="preserve">the Review </w:t>
      </w:r>
      <w:r w:rsidR="00234BAA" w:rsidRPr="004E70CE">
        <w:t>is</w:t>
      </w:r>
      <w:r w:rsidR="00D166F3" w:rsidRPr="004E70CE">
        <w:t xml:space="preserve"> not propos</w:t>
      </w:r>
      <w:r w:rsidR="00234BAA" w:rsidRPr="004E70CE">
        <w:t>ing</w:t>
      </w:r>
      <w:r w:rsidR="00D166F3" w:rsidRPr="004E70CE">
        <w:t xml:space="preserve"> additional </w:t>
      </w:r>
      <w:r w:rsidRPr="004E70CE">
        <w:t xml:space="preserve">policies </w:t>
      </w:r>
      <w:r w:rsidR="00234BAA" w:rsidRPr="004E70CE">
        <w:t>for plastics at this time</w:t>
      </w:r>
      <w:r w:rsidRPr="004E70CE">
        <w:t xml:space="preserve">. </w:t>
      </w:r>
    </w:p>
    <w:p w14:paraId="489F72E2" w14:textId="77777777" w:rsidR="00425028" w:rsidRPr="004E70CE" w:rsidRDefault="00425028" w:rsidP="0095651D">
      <w:pPr>
        <w:rPr>
          <w:b/>
          <w:bCs/>
        </w:rPr>
      </w:pPr>
      <w:r w:rsidRPr="004E70CE">
        <w:rPr>
          <w:b/>
          <w:bCs/>
        </w:rPr>
        <w:t xml:space="preserve">LNG </w:t>
      </w:r>
    </w:p>
    <w:p w14:paraId="280714E8" w14:textId="77777777" w:rsidR="00284F81" w:rsidRPr="004E70CE" w:rsidRDefault="00425028" w:rsidP="0095651D">
      <w:r w:rsidRPr="004E70CE">
        <w:t>Domestic gas production in 2022-23 was around 164 billion cubic metres, with around 68% of this exported as LNG (82 million tonnes). Australia was among the top 3 global exporters of LNG in 2023.</w:t>
      </w:r>
      <w:r w:rsidRPr="004E70CE">
        <w:rPr>
          <w:rStyle w:val="FootnoteReference"/>
        </w:rPr>
        <w:footnoteReference w:id="72"/>
      </w:r>
      <w:r w:rsidRPr="004E70CE">
        <w:t xml:space="preserve"> </w:t>
      </w:r>
    </w:p>
    <w:p w14:paraId="32B9C2BA" w14:textId="0BA03CF7" w:rsidR="00425028" w:rsidRPr="004E70CE" w:rsidRDefault="005C7773" w:rsidP="0095651D">
      <w:r w:rsidRPr="004E70CE">
        <w:t xml:space="preserve">Around 80% </w:t>
      </w:r>
      <w:r w:rsidR="00425028" w:rsidRPr="004E70CE">
        <w:t>of Australia’s LNG is supplied under long</w:t>
      </w:r>
      <w:r w:rsidR="00933CFD" w:rsidRPr="004E70CE">
        <w:t>-</w:t>
      </w:r>
      <w:r w:rsidR="00425028" w:rsidRPr="004E70CE">
        <w:t xml:space="preserve">term contracts, and exports are </w:t>
      </w:r>
      <w:r w:rsidRPr="004E70CE">
        <w:t>moderately</w:t>
      </w:r>
      <w:r w:rsidR="00425028" w:rsidRPr="004E70CE">
        <w:t xml:space="preserve"> sensitive to price changes (elasticity of -0.6).</w:t>
      </w:r>
      <w:r w:rsidR="00425028" w:rsidRPr="004E70CE">
        <w:rPr>
          <w:rStyle w:val="FootnoteReference"/>
        </w:rPr>
        <w:footnoteReference w:id="73"/>
      </w:r>
      <w:r w:rsidR="00425028" w:rsidRPr="004E70CE">
        <w:t xml:space="preserve"> Carbon costs in 2030 are estimated to be </w:t>
      </w:r>
      <w:r w:rsidR="00091E73" w:rsidRPr="004E70CE">
        <w:t>between 1-3</w:t>
      </w:r>
      <w:r w:rsidR="00425028" w:rsidRPr="004E70CE">
        <w:t xml:space="preserve">% of prices and resulting declines in </w:t>
      </w:r>
      <w:r w:rsidRPr="004E70CE">
        <w:t xml:space="preserve">Safeguard </w:t>
      </w:r>
      <w:r w:rsidR="00425028" w:rsidRPr="004E70CE">
        <w:t xml:space="preserve">production from export leakage under </w:t>
      </w:r>
      <w:r w:rsidR="00835605" w:rsidRPr="004E70CE">
        <w:t xml:space="preserve">a </w:t>
      </w:r>
      <w:r w:rsidR="00425028" w:rsidRPr="004E70CE">
        <w:t xml:space="preserve">maximum </w:t>
      </w:r>
      <w:r w:rsidR="00835605" w:rsidRPr="004E70CE">
        <w:t xml:space="preserve">carbon cost difference </w:t>
      </w:r>
      <w:r w:rsidR="00425028" w:rsidRPr="004E70CE">
        <w:t xml:space="preserve">scenario are estimated to be </w:t>
      </w:r>
      <w:r w:rsidR="00091E73" w:rsidRPr="004E70CE">
        <w:t>1</w:t>
      </w:r>
      <w:r w:rsidR="00425028" w:rsidRPr="004E70CE">
        <w:t xml:space="preserve">%. </w:t>
      </w:r>
      <w:r w:rsidR="00B53F3C" w:rsidRPr="004E70CE">
        <w:t xml:space="preserve">Analysis of profits finds LNG to be among </w:t>
      </w:r>
      <w:r w:rsidR="001D5677" w:rsidRPr="004E70CE">
        <w:t>the groups of industries with relatively lower risks of investment leakage</w:t>
      </w:r>
      <w:r w:rsidR="00A82B0E" w:rsidRPr="004E70CE">
        <w:t xml:space="preserve"> (see </w:t>
      </w:r>
      <w:r w:rsidR="00D26B40" w:rsidRPr="004E70CE">
        <w:rPr>
          <w:b/>
          <w:bCs/>
        </w:rPr>
        <w:t>S</w:t>
      </w:r>
      <w:r w:rsidR="00A82B0E" w:rsidRPr="004E70CE">
        <w:rPr>
          <w:b/>
          <w:bCs/>
        </w:rPr>
        <w:t>ection 2.5</w:t>
      </w:r>
      <w:r w:rsidR="00A82B0E" w:rsidRPr="004E70CE">
        <w:t xml:space="preserve">). </w:t>
      </w:r>
    </w:p>
    <w:p w14:paraId="1B702720" w14:textId="52EB4AE5" w:rsidR="00EC3C4A" w:rsidRPr="004E70CE" w:rsidRDefault="000E0F5D" w:rsidP="0095651D">
      <w:r w:rsidRPr="004E70CE">
        <w:t xml:space="preserve">While Australia’s gas industry has been </w:t>
      </w:r>
      <w:r w:rsidR="00655015" w:rsidRPr="004E70CE">
        <w:t xml:space="preserve">significantly export-focused to date, </w:t>
      </w:r>
      <w:r w:rsidR="00B739B3" w:rsidRPr="004E70CE">
        <w:t xml:space="preserve">the Future Gas Strategy identified that there is potential to use </w:t>
      </w:r>
      <w:r w:rsidR="007D3754" w:rsidRPr="004E70CE">
        <w:t>LNG import terminals</w:t>
      </w:r>
      <w:r w:rsidR="00BA47B6" w:rsidRPr="004E70CE">
        <w:t xml:space="preserve"> </w:t>
      </w:r>
      <w:r w:rsidR="00B739B3" w:rsidRPr="004E70CE">
        <w:t>in the future</w:t>
      </w:r>
      <w:r w:rsidR="007D3754" w:rsidRPr="004E70CE">
        <w:t>.</w:t>
      </w:r>
      <w:r w:rsidR="00AD31B1" w:rsidRPr="004E70CE">
        <w:rPr>
          <w:rStyle w:val="FootnoteReference"/>
        </w:rPr>
        <w:footnoteReference w:id="74"/>
      </w:r>
      <w:r w:rsidR="009F7A9D" w:rsidRPr="004E70CE">
        <w:t xml:space="preserve"> </w:t>
      </w:r>
    </w:p>
    <w:p w14:paraId="3899AA07" w14:textId="77777777" w:rsidR="00A22B0C" w:rsidRPr="004E70CE" w:rsidRDefault="00A22B0C" w:rsidP="0095651D">
      <w:r w:rsidRPr="004E70CE">
        <w:t xml:space="preserve">Based on the Review’s analysis, existing policies </w:t>
      </w:r>
      <w:r w:rsidR="0078510C" w:rsidRPr="004E70CE">
        <w:t xml:space="preserve">currently </w:t>
      </w:r>
      <w:r w:rsidRPr="004E70CE">
        <w:t xml:space="preserve">appear </w:t>
      </w:r>
      <w:r w:rsidR="00950DAE" w:rsidRPr="004E70CE">
        <w:t>adequate</w:t>
      </w:r>
      <w:r w:rsidRPr="004E70CE">
        <w:t xml:space="preserve"> to address leakage risks. </w:t>
      </w:r>
    </w:p>
    <w:p w14:paraId="62891E12" w14:textId="77777777" w:rsidR="006A66A8" w:rsidRDefault="006A66A8">
      <w:pPr>
        <w:spacing w:after="0" w:line="240" w:lineRule="auto"/>
        <w:rPr>
          <w:b/>
          <w:bCs/>
        </w:rPr>
      </w:pPr>
      <w:r>
        <w:rPr>
          <w:b/>
          <w:bCs/>
        </w:rPr>
        <w:br w:type="page"/>
      </w:r>
    </w:p>
    <w:p w14:paraId="7A1C993E" w14:textId="00309322" w:rsidR="00415934" w:rsidRPr="004E70CE" w:rsidRDefault="00415934" w:rsidP="0095651D">
      <w:pPr>
        <w:rPr>
          <w:b/>
          <w:bCs/>
        </w:rPr>
      </w:pPr>
      <w:r w:rsidRPr="004E70CE">
        <w:rPr>
          <w:b/>
          <w:bCs/>
        </w:rPr>
        <w:lastRenderedPageBreak/>
        <w:t>ETHANOL AND DRIED DISTILLERS GRAIN</w:t>
      </w:r>
      <w:r w:rsidRPr="004E70CE">
        <w:rPr>
          <w:rStyle w:val="FootnoteReference"/>
          <w:b/>
          <w:bCs/>
        </w:rPr>
        <w:footnoteReference w:id="75"/>
      </w:r>
      <w:r w:rsidRPr="004E70CE">
        <w:rPr>
          <w:b/>
          <w:bCs/>
        </w:rPr>
        <w:t xml:space="preserve">  </w:t>
      </w:r>
    </w:p>
    <w:p w14:paraId="362FE366" w14:textId="449B6215" w:rsidR="00645DDD" w:rsidRPr="004E70CE" w:rsidRDefault="00415934" w:rsidP="0095651D">
      <w:r w:rsidRPr="004E70CE">
        <w:t xml:space="preserve">Leakage risks primarily arise from trade exposure in export markets, given </w:t>
      </w:r>
      <w:r w:rsidR="00AF7217">
        <w:t xml:space="preserve">exports relative to </w:t>
      </w:r>
      <w:r w:rsidR="00BF5AEC" w:rsidRPr="004E70CE">
        <w:t xml:space="preserve">Safeguard </w:t>
      </w:r>
      <w:r w:rsidRPr="004E70CE">
        <w:t xml:space="preserve">production </w:t>
      </w:r>
      <w:r w:rsidR="00AF7217">
        <w:t>are between 0.2-0.4</w:t>
      </w:r>
      <w:r w:rsidR="0071674F" w:rsidRPr="004E70CE">
        <w:t xml:space="preserve">. </w:t>
      </w:r>
      <w:r w:rsidRPr="004E70CE">
        <w:t xml:space="preserve">Exports are </w:t>
      </w:r>
      <w:r w:rsidR="00FA357B" w:rsidRPr="004E70CE">
        <w:t xml:space="preserve">moderately </w:t>
      </w:r>
      <w:r w:rsidRPr="004E70CE">
        <w:t xml:space="preserve">sensitive to price changes (elasticity of -0.6). Imports are equivalent to </w:t>
      </w:r>
      <w:r w:rsidR="00761DC6">
        <w:t>0-0.2 times the volume</w:t>
      </w:r>
      <w:r w:rsidRPr="004E70CE">
        <w:t xml:space="preserve"> of </w:t>
      </w:r>
      <w:r w:rsidR="00BF5AEC" w:rsidRPr="004E70CE">
        <w:t xml:space="preserve">Safeguard </w:t>
      </w:r>
      <w:r w:rsidRPr="004E70CE">
        <w:t xml:space="preserve">production and sensitive to price changes (elasticity of -1.4). </w:t>
      </w:r>
    </w:p>
    <w:p w14:paraId="66338DE7" w14:textId="2E59404C" w:rsidR="00645DDD" w:rsidRPr="004E70CE" w:rsidRDefault="00415934" w:rsidP="0095651D">
      <w:r w:rsidRPr="004E70CE">
        <w:t xml:space="preserve">Carbon costs in 2030 are estimated to be </w:t>
      </w:r>
      <w:r w:rsidR="00BB4AC9" w:rsidRPr="004E70CE">
        <w:t>between 0-1</w:t>
      </w:r>
      <w:r w:rsidRPr="004E70CE">
        <w:t xml:space="preserve">% of prices. The estimated declines in </w:t>
      </w:r>
      <w:r w:rsidR="00BF5AEC" w:rsidRPr="004E70CE">
        <w:t xml:space="preserve">Safeguard </w:t>
      </w:r>
      <w:r w:rsidRPr="004E70CE">
        <w:t xml:space="preserve">production under the maximum </w:t>
      </w:r>
      <w:r w:rsidR="004C7C10" w:rsidRPr="004E70CE">
        <w:t xml:space="preserve">carbon cost difference </w:t>
      </w:r>
      <w:r w:rsidRPr="004E70CE">
        <w:t xml:space="preserve">scenario </w:t>
      </w:r>
      <w:r w:rsidR="00933CFD" w:rsidRPr="004E70CE">
        <w:t xml:space="preserve">are </w:t>
      </w:r>
      <w:r w:rsidR="00BB4AC9" w:rsidRPr="004E70CE">
        <w:t>less than 1</w:t>
      </w:r>
      <w:r w:rsidRPr="004E70CE">
        <w:t>% from import exposure and export exposure.</w:t>
      </w:r>
      <w:r w:rsidR="00FF6086" w:rsidRPr="004E70CE">
        <w:t xml:space="preserve"> </w:t>
      </w:r>
      <w:r w:rsidR="00645DDD" w:rsidRPr="004E70CE">
        <w:t>Analysis of profits suggests grain</w:t>
      </w:r>
      <w:r w:rsidR="00D92B22" w:rsidRPr="004E70CE">
        <w:t xml:space="preserve"> </w:t>
      </w:r>
      <w:r w:rsidR="000C54C1" w:rsidRPr="004E70CE">
        <w:t>product manufacturing</w:t>
      </w:r>
      <w:r w:rsidR="00FF6086" w:rsidRPr="004E70CE">
        <w:t xml:space="preserve"> is among a group of sectors that is second most susceptible to investment leakage.</w:t>
      </w:r>
    </w:p>
    <w:p w14:paraId="62D7CC8E" w14:textId="77777777" w:rsidR="009957B2" w:rsidRPr="004E70CE" w:rsidRDefault="00E93288" w:rsidP="0095651D">
      <w:r w:rsidRPr="004E70CE">
        <w:t xml:space="preserve">Based on the </w:t>
      </w:r>
      <w:r w:rsidR="004A7145" w:rsidRPr="004E70CE">
        <w:t>Review’s</w:t>
      </w:r>
      <w:r w:rsidR="009957B2" w:rsidRPr="004E70CE">
        <w:t xml:space="preserve"> analysis</w:t>
      </w:r>
      <w:r w:rsidRPr="004E70CE">
        <w:t xml:space="preserve">, </w:t>
      </w:r>
      <w:r w:rsidR="009957B2" w:rsidRPr="004E70CE">
        <w:t xml:space="preserve">existing policies </w:t>
      </w:r>
      <w:r w:rsidR="004A7145" w:rsidRPr="004E70CE">
        <w:t>currently appear</w:t>
      </w:r>
      <w:r w:rsidRPr="004E70CE">
        <w:t xml:space="preserve"> </w:t>
      </w:r>
      <w:r w:rsidR="009957B2" w:rsidRPr="004E70CE">
        <w:t xml:space="preserve">adequate to address leakage risks. </w:t>
      </w:r>
    </w:p>
    <w:p w14:paraId="0BCF442C" w14:textId="77777777" w:rsidR="003A3238" w:rsidRPr="004E70CE" w:rsidRDefault="003A3238" w:rsidP="0095651D">
      <w:pPr>
        <w:rPr>
          <w:b/>
          <w:bCs/>
        </w:rPr>
      </w:pPr>
      <w:r w:rsidRPr="004E70CE">
        <w:rPr>
          <w:b/>
          <w:bCs/>
        </w:rPr>
        <w:t>MANGANESE ORE</w:t>
      </w:r>
    </w:p>
    <w:p w14:paraId="297704A2" w14:textId="77777777" w:rsidR="001C47F2" w:rsidRPr="004E70CE" w:rsidRDefault="003A3238" w:rsidP="0095651D">
      <w:r w:rsidRPr="004E70CE">
        <w:t>Manganese ore is processed into various manganese products. Over 90% of manganese is used in steel as an alloying agent, but there are growing uses in batteries an</w:t>
      </w:r>
      <w:r w:rsidR="0031573E" w:rsidRPr="004E70CE">
        <w:t>d</w:t>
      </w:r>
      <w:r w:rsidRPr="004E70CE">
        <w:t xml:space="preserve"> EVs.</w:t>
      </w:r>
      <w:r w:rsidRPr="004E70CE">
        <w:rPr>
          <w:rStyle w:val="FootnoteReference"/>
        </w:rPr>
        <w:footnoteReference w:id="76"/>
      </w:r>
      <w:r w:rsidRPr="004E70CE">
        <w:t xml:space="preserve"> Manganese is included on the Critical Minerals List</w:t>
      </w:r>
      <w:r w:rsidR="008B1EE7" w:rsidRPr="004E70CE">
        <w:t>, based on</w:t>
      </w:r>
      <w:r w:rsidR="00AB0BB5" w:rsidRPr="004E70CE">
        <w:t xml:space="preserve"> </w:t>
      </w:r>
      <w:r w:rsidR="00481CAF" w:rsidRPr="004E70CE">
        <w:t>it</w:t>
      </w:r>
      <w:r w:rsidR="006E70B2" w:rsidRPr="004E70CE">
        <w:t xml:space="preserve">s use in </w:t>
      </w:r>
      <w:r w:rsidR="006B1E9E" w:rsidRPr="004E70CE">
        <w:t>technologies of economic and security impor</w:t>
      </w:r>
      <w:r w:rsidR="00BD11A8" w:rsidRPr="004E70CE">
        <w:t>t</w:t>
      </w:r>
      <w:r w:rsidR="006B1E9E" w:rsidRPr="004E70CE">
        <w:t>ance</w:t>
      </w:r>
      <w:r w:rsidR="008B1EE7" w:rsidRPr="004E70CE">
        <w:t xml:space="preserve">, Australia’s </w:t>
      </w:r>
      <w:r w:rsidR="00B87F20" w:rsidRPr="004E70CE">
        <w:t>resource potential</w:t>
      </w:r>
      <w:r w:rsidR="005668EA" w:rsidRPr="004E70CE">
        <w:t xml:space="preserve">, </w:t>
      </w:r>
      <w:r w:rsidR="00AA10DD" w:rsidRPr="004E70CE">
        <w:t xml:space="preserve">demand </w:t>
      </w:r>
      <w:r w:rsidR="00533D55" w:rsidRPr="004E70CE">
        <w:t>from strategic international partners, and vulnerability to supply chain disruption</w:t>
      </w:r>
      <w:r w:rsidRPr="004E70CE">
        <w:t xml:space="preserve">. </w:t>
      </w:r>
    </w:p>
    <w:p w14:paraId="55F97A9D" w14:textId="0F0166B1" w:rsidR="00C06357" w:rsidRPr="004E70CE" w:rsidRDefault="00C06357" w:rsidP="0095651D">
      <w:pPr>
        <w:rPr>
          <w:b/>
          <w:bCs/>
        </w:rPr>
      </w:pPr>
      <w:r w:rsidRPr="004E70CE">
        <w:t xml:space="preserve">Carbon costs in 2030 are estimated to be </w:t>
      </w:r>
      <w:r w:rsidR="00D21E14" w:rsidRPr="004E70CE">
        <w:t>between 3-5</w:t>
      </w:r>
      <w:r w:rsidRPr="004E70CE">
        <w:t>% of prices. Australia appears to export manganese ore, but data on export volumes is limited. Estimates of export sensitivity to prices has not been established, and therefore production leakage could not be estimated. Imports are small</w:t>
      </w:r>
      <w:r w:rsidR="008E165C">
        <w:t>,</w:t>
      </w:r>
      <w:r w:rsidRPr="004E70CE">
        <w:t xml:space="preserve"> </w:t>
      </w:r>
      <w:r w:rsidR="008E165C">
        <w:t>equivalent to</w:t>
      </w:r>
      <w:r w:rsidR="008E165C" w:rsidRPr="004E70CE">
        <w:t xml:space="preserve"> </w:t>
      </w:r>
      <w:r w:rsidR="00CB2D18">
        <w:t>0-0.2 times the volume</w:t>
      </w:r>
      <w:r w:rsidRPr="004E70CE">
        <w:t xml:space="preserve"> of production</w:t>
      </w:r>
      <w:r w:rsidR="008E165C">
        <w:t>,</w:t>
      </w:r>
      <w:r w:rsidRPr="004E70CE">
        <w:t xml:space="preserve"> but </w:t>
      </w:r>
      <w:r w:rsidR="008E165C">
        <w:t xml:space="preserve">are </w:t>
      </w:r>
      <w:r w:rsidRPr="004E70CE">
        <w:t xml:space="preserve">sensitive to prices (elasticity of -1.5). Estimated </w:t>
      </w:r>
      <w:r w:rsidR="00D75D61" w:rsidRPr="004E70CE">
        <w:t>Safeguard</w:t>
      </w:r>
      <w:r w:rsidRPr="004E70CE">
        <w:t xml:space="preserve"> production leakage due to import competition is </w:t>
      </w:r>
      <w:r w:rsidR="00B5654D" w:rsidRPr="004E70CE">
        <w:t>less than 1</w:t>
      </w:r>
      <w:r w:rsidRPr="004E70CE">
        <w:t>%.</w:t>
      </w:r>
    </w:p>
    <w:p w14:paraId="5EE1C8FA" w14:textId="77777777" w:rsidR="007A1DA7" w:rsidRPr="004E70CE" w:rsidRDefault="004A7145" w:rsidP="0095651D">
      <w:r w:rsidRPr="004E70CE">
        <w:t>Based on the Review’s analysis, existing policies currently appear adequate to address leakage risks</w:t>
      </w:r>
      <w:r w:rsidR="007A1DA7" w:rsidRPr="004E70CE">
        <w:t xml:space="preserve">. </w:t>
      </w:r>
    </w:p>
    <w:p w14:paraId="16E806E6" w14:textId="77777777" w:rsidR="00733791" w:rsidRPr="004E70CE" w:rsidRDefault="00A53DEF" w:rsidP="0095651D">
      <w:pPr>
        <w:rPr>
          <w:b/>
          <w:bCs/>
        </w:rPr>
      </w:pPr>
      <w:r w:rsidRPr="004E70CE">
        <w:rPr>
          <w:b/>
          <w:bCs/>
        </w:rPr>
        <w:t>SILICON</w:t>
      </w:r>
    </w:p>
    <w:p w14:paraId="5E5D647E" w14:textId="77777777" w:rsidR="001837ED" w:rsidRPr="004E70CE" w:rsidRDefault="00D059D0" w:rsidP="0095651D">
      <w:r w:rsidRPr="004E70CE">
        <w:t xml:space="preserve">Silicon is used in a variety of applications, including </w:t>
      </w:r>
      <w:r w:rsidR="000A52E2" w:rsidRPr="004E70CE">
        <w:t xml:space="preserve">manufacture of </w:t>
      </w:r>
      <w:r w:rsidR="00272EDC" w:rsidRPr="004E70CE">
        <w:t>products</w:t>
      </w:r>
      <w:r w:rsidRPr="004E70CE">
        <w:t xml:space="preserve"> important </w:t>
      </w:r>
      <w:r w:rsidR="000A52E2" w:rsidRPr="004E70CE">
        <w:t>for</w:t>
      </w:r>
      <w:r w:rsidRPr="004E70CE">
        <w:t xml:space="preserve"> the net zero transition such as aluminium, silicon chips and solar panels. </w:t>
      </w:r>
      <w:r w:rsidR="000A52E2" w:rsidRPr="004E70CE">
        <w:t>Silicon is listed on the Critical Minerals List, reflecting its importance</w:t>
      </w:r>
      <w:r w:rsidR="00E769B7" w:rsidRPr="004E70CE">
        <w:t xml:space="preserve"> to strategic technologies, Australia’s </w:t>
      </w:r>
      <w:r w:rsidR="00884EEE" w:rsidRPr="004E70CE">
        <w:t xml:space="preserve">geological </w:t>
      </w:r>
      <w:r w:rsidR="00E769B7" w:rsidRPr="004E70CE">
        <w:t>resource</w:t>
      </w:r>
      <w:r w:rsidR="00884EEE" w:rsidRPr="004E70CE">
        <w:t>s</w:t>
      </w:r>
      <w:r w:rsidR="00F710F9" w:rsidRPr="004E70CE">
        <w:t>, demand from strategic partners</w:t>
      </w:r>
      <w:r w:rsidR="00884EEE" w:rsidRPr="004E70CE">
        <w:t xml:space="preserve"> and vulnerability to supply chain disruption</w:t>
      </w:r>
      <w:r w:rsidR="000A52E2" w:rsidRPr="004E70CE">
        <w:t xml:space="preserve">. </w:t>
      </w:r>
      <w:r w:rsidR="005A2802" w:rsidRPr="004E70CE">
        <w:t xml:space="preserve">The 2024-25 Budget included </w:t>
      </w:r>
      <w:r w:rsidR="00036653" w:rsidRPr="004E70CE">
        <w:t xml:space="preserve">funding to study solar PV value chain </w:t>
      </w:r>
      <w:r w:rsidR="009400F2" w:rsidRPr="004E70CE">
        <w:t>opportunities from developing a green polysilicon industry in Australia.</w:t>
      </w:r>
      <w:r w:rsidR="0095782D" w:rsidRPr="004E70CE">
        <w:rPr>
          <w:rStyle w:val="FootnoteReference"/>
        </w:rPr>
        <w:footnoteReference w:id="77"/>
      </w:r>
    </w:p>
    <w:p w14:paraId="3FE525CB" w14:textId="1072DD6E" w:rsidR="00343C83" w:rsidRPr="004E70CE" w:rsidRDefault="00750F91" w:rsidP="0095651D">
      <w:r w:rsidRPr="004E70CE">
        <w:t xml:space="preserve">Leakage risks </w:t>
      </w:r>
      <w:r w:rsidR="00343C83" w:rsidRPr="004E70CE">
        <w:t xml:space="preserve">are </w:t>
      </w:r>
      <w:r w:rsidRPr="004E70CE">
        <w:t xml:space="preserve">mainly </w:t>
      </w:r>
      <w:r w:rsidR="00343C83" w:rsidRPr="004E70CE">
        <w:t>relevant in</w:t>
      </w:r>
      <w:r w:rsidRPr="004E70CE">
        <w:t xml:space="preserve"> export markets</w:t>
      </w:r>
      <w:r w:rsidR="00915E55" w:rsidRPr="004E70CE">
        <w:t xml:space="preserve">, with exports </w:t>
      </w:r>
      <w:r w:rsidR="002C40F2">
        <w:t xml:space="preserve">relative to Safeguard production of between 0.8-1.0. </w:t>
      </w:r>
      <w:r w:rsidR="00343C83" w:rsidRPr="004E70CE">
        <w:t xml:space="preserve">Carbon costs are estimated at </w:t>
      </w:r>
      <w:r w:rsidR="00942503" w:rsidRPr="004E70CE">
        <w:t>between 0-</w:t>
      </w:r>
      <w:r w:rsidR="00343C83" w:rsidRPr="004E70CE">
        <w:t xml:space="preserve">1% of prices. </w:t>
      </w:r>
      <w:r w:rsidR="00FE1964" w:rsidRPr="004E70CE">
        <w:t>E</w:t>
      </w:r>
      <w:r w:rsidR="00DC3DA3" w:rsidRPr="004E70CE">
        <w:t xml:space="preserve">xports </w:t>
      </w:r>
      <w:r w:rsidR="00FE1964" w:rsidRPr="004E70CE">
        <w:t xml:space="preserve">are not </w:t>
      </w:r>
      <w:r w:rsidR="004B498D" w:rsidRPr="004E70CE">
        <w:t xml:space="preserve">sensitive </w:t>
      </w:r>
      <w:r w:rsidR="00DC3DA3" w:rsidRPr="004E70CE">
        <w:t xml:space="preserve">to price changes </w:t>
      </w:r>
      <w:r w:rsidR="004B498D" w:rsidRPr="004E70CE">
        <w:t xml:space="preserve">(elasticity of -0.2) and </w:t>
      </w:r>
      <w:r w:rsidR="00343C83" w:rsidRPr="004E70CE">
        <w:t xml:space="preserve">production </w:t>
      </w:r>
      <w:r w:rsidR="007B02D8" w:rsidRPr="004E70CE">
        <w:t xml:space="preserve">is estimated to decline by </w:t>
      </w:r>
      <w:r w:rsidR="00942503" w:rsidRPr="004E70CE">
        <w:t>less than 1</w:t>
      </w:r>
      <w:r w:rsidR="007B02D8" w:rsidRPr="004E70CE">
        <w:t xml:space="preserve">% </w:t>
      </w:r>
      <w:r w:rsidR="007514E1" w:rsidRPr="004E70CE">
        <w:t xml:space="preserve">from export competition. </w:t>
      </w:r>
    </w:p>
    <w:p w14:paraId="54E7A56D" w14:textId="622D07D3" w:rsidR="0043164D" w:rsidRPr="004E70CE" w:rsidRDefault="00343C83" w:rsidP="0095651D">
      <w:r w:rsidRPr="004E70CE">
        <w:lastRenderedPageBreak/>
        <w:t xml:space="preserve">In domestic markets, imports are </w:t>
      </w:r>
      <w:r w:rsidR="00520B84" w:rsidRPr="004E70CE">
        <w:t xml:space="preserve">equivalent to </w:t>
      </w:r>
      <w:r w:rsidR="009D64BA">
        <w:t>0-0.2 times the volume</w:t>
      </w:r>
      <w:r w:rsidR="00520B84" w:rsidRPr="004E70CE">
        <w:t xml:space="preserve"> of production and are </w:t>
      </w:r>
      <w:r w:rsidR="007E565B" w:rsidRPr="004E70CE">
        <w:t xml:space="preserve">moderately </w:t>
      </w:r>
      <w:r w:rsidR="00520B84" w:rsidRPr="004E70CE">
        <w:t>sensitive to price changes (elasticity of -</w:t>
      </w:r>
      <w:r w:rsidR="00244EF2" w:rsidRPr="004E70CE">
        <w:t>0.7</w:t>
      </w:r>
      <w:r w:rsidR="00520B84" w:rsidRPr="004E70CE">
        <w:t xml:space="preserve">). </w:t>
      </w:r>
      <w:r w:rsidR="00C82D72" w:rsidRPr="004E70CE">
        <w:t xml:space="preserve">Overall, </w:t>
      </w:r>
      <w:r w:rsidR="00AE18D1" w:rsidRPr="004E70CE">
        <w:t xml:space="preserve">under </w:t>
      </w:r>
      <w:r w:rsidR="007E565B" w:rsidRPr="004E70CE">
        <w:t xml:space="preserve">a </w:t>
      </w:r>
      <w:r w:rsidR="00AE18D1" w:rsidRPr="004E70CE">
        <w:t>maximum</w:t>
      </w:r>
      <w:r w:rsidR="00AE18D1" w:rsidRPr="004E70CE" w:rsidDel="007E565B">
        <w:t xml:space="preserve"> </w:t>
      </w:r>
      <w:r w:rsidR="007E565B" w:rsidRPr="004E70CE">
        <w:t xml:space="preserve">carbon cost difference </w:t>
      </w:r>
      <w:r w:rsidR="00AE18D1" w:rsidRPr="004E70CE">
        <w:t>scenario</w:t>
      </w:r>
      <w:r w:rsidR="00C82D72" w:rsidRPr="004E70CE">
        <w:t xml:space="preserve">, estimated decline in production based on 2030 carbon costs is </w:t>
      </w:r>
      <w:r w:rsidR="00A74973" w:rsidRPr="004E70CE">
        <w:t>less than 1</w:t>
      </w:r>
      <w:r w:rsidR="00C82D72" w:rsidRPr="004E70CE">
        <w:t xml:space="preserve">%. </w:t>
      </w:r>
    </w:p>
    <w:p w14:paraId="55C227C7" w14:textId="77777777" w:rsidR="00BA65DF" w:rsidRPr="004E70CE" w:rsidRDefault="00BA65DF" w:rsidP="0095651D">
      <w:r w:rsidRPr="004E70CE">
        <w:t xml:space="preserve">On balance, </w:t>
      </w:r>
      <w:r w:rsidR="004A7145" w:rsidRPr="004E70CE">
        <w:t xml:space="preserve">based on </w:t>
      </w:r>
      <w:r w:rsidR="0028637D" w:rsidRPr="004E70CE">
        <w:t xml:space="preserve">the </w:t>
      </w:r>
      <w:r w:rsidR="004A7145" w:rsidRPr="004E70CE">
        <w:t>Review’s analysis,</w:t>
      </w:r>
      <w:r w:rsidR="0028637D" w:rsidRPr="004E70CE">
        <w:t xml:space="preserve"> </w:t>
      </w:r>
      <w:r w:rsidRPr="004E70CE">
        <w:t xml:space="preserve">existing policies </w:t>
      </w:r>
      <w:r w:rsidR="004A7145" w:rsidRPr="004E70CE">
        <w:t>currently appear</w:t>
      </w:r>
      <w:r w:rsidR="0028637D" w:rsidRPr="004E70CE">
        <w:t xml:space="preserve"> </w:t>
      </w:r>
      <w:r w:rsidRPr="004E70CE">
        <w:t xml:space="preserve">adequate </w:t>
      </w:r>
      <w:r w:rsidR="004A7145" w:rsidRPr="004E70CE">
        <w:t>to address</w:t>
      </w:r>
      <w:r w:rsidRPr="004E70CE">
        <w:t xml:space="preserve"> leakage risks.</w:t>
      </w:r>
    </w:p>
    <w:p w14:paraId="147CEDB0" w14:textId="17877777" w:rsidR="00B63FA0" w:rsidRPr="004E70CE" w:rsidRDefault="00B63FA0" w:rsidP="0095651D">
      <w:r w:rsidRPr="004E70CE">
        <w:rPr>
          <w:b/>
          <w:bCs/>
        </w:rPr>
        <w:t>BAUXITE</w:t>
      </w:r>
    </w:p>
    <w:p w14:paraId="17B73E19" w14:textId="77777777" w:rsidR="0040770C" w:rsidRPr="004E70CE" w:rsidRDefault="00B63FA0" w:rsidP="0095651D">
      <w:r w:rsidRPr="004E70CE">
        <w:t>Globally, Australia is a major producer of bauxite, and was the second largest exporter in 2023.</w:t>
      </w:r>
      <w:r w:rsidRPr="004E70CE">
        <w:rPr>
          <w:rStyle w:val="FootnoteReference"/>
        </w:rPr>
        <w:footnoteReference w:id="78"/>
      </w:r>
      <w:r w:rsidRPr="004E70CE">
        <w:t xml:space="preserve"> </w:t>
      </w:r>
    </w:p>
    <w:p w14:paraId="6BD611A8" w14:textId="2F1C1DC4" w:rsidR="0008092B" w:rsidRPr="004E70CE" w:rsidRDefault="0070269C" w:rsidP="0095651D">
      <w:r>
        <w:t>E</w:t>
      </w:r>
      <w:r w:rsidR="0048159F">
        <w:t xml:space="preserve">xports </w:t>
      </w:r>
      <w:r>
        <w:t xml:space="preserve">relative to Safeguard production </w:t>
      </w:r>
      <w:r w:rsidR="0048159F">
        <w:t>are b</w:t>
      </w:r>
      <w:r w:rsidR="00A00C4E" w:rsidRPr="004E70CE">
        <w:t xml:space="preserve">etween </w:t>
      </w:r>
      <w:r w:rsidR="0048159F">
        <w:t xml:space="preserve">0.4-0.6 </w:t>
      </w:r>
      <w:r w:rsidR="00B63FA0" w:rsidRPr="004E70CE">
        <w:t xml:space="preserve">and the remainder is domestically refined into alumina. Exports are </w:t>
      </w:r>
      <w:r w:rsidR="0011591D" w:rsidRPr="004E70CE">
        <w:t xml:space="preserve">somewhat </w:t>
      </w:r>
      <w:r w:rsidR="00B63FA0" w:rsidRPr="004E70CE">
        <w:t>sensitiv</w:t>
      </w:r>
      <w:r w:rsidR="0011591D" w:rsidRPr="004E70CE">
        <w:t>e</w:t>
      </w:r>
      <w:r w:rsidR="00B63FA0" w:rsidRPr="004E70CE">
        <w:t xml:space="preserve"> to price changes (elasticity of -0.8). Bauxite production is less emissions</w:t>
      </w:r>
      <w:r w:rsidR="008F67B5" w:rsidRPr="004E70CE">
        <w:t>-</w:t>
      </w:r>
      <w:r w:rsidR="00B63FA0" w:rsidRPr="004E70CE">
        <w:t xml:space="preserve">intensive relative to other parts of the aluminium value chain, and 2030 carbon costs are estimated to be </w:t>
      </w:r>
      <w:r w:rsidR="006706D0" w:rsidRPr="004E70CE">
        <w:t>between 0-1</w:t>
      </w:r>
      <w:r w:rsidR="00B63FA0" w:rsidRPr="004E70CE">
        <w:t xml:space="preserve">% of prices. Under </w:t>
      </w:r>
      <w:r w:rsidR="00A00C4E" w:rsidRPr="004E70CE">
        <w:t>a</w:t>
      </w:r>
      <w:r w:rsidR="00B63FA0" w:rsidRPr="004E70CE">
        <w:t xml:space="preserve"> maximum </w:t>
      </w:r>
      <w:r w:rsidR="00A00C4E" w:rsidRPr="004E70CE">
        <w:t xml:space="preserve">carbon cost difference </w:t>
      </w:r>
      <w:r w:rsidR="00B63FA0" w:rsidRPr="004E70CE">
        <w:t xml:space="preserve">scenario, production is estimated to decline by </w:t>
      </w:r>
      <w:r w:rsidR="006706D0" w:rsidRPr="004E70CE">
        <w:t>less than 1</w:t>
      </w:r>
      <w:r w:rsidR="00B63FA0" w:rsidRPr="004E70CE">
        <w:t xml:space="preserve">%. </w:t>
      </w:r>
    </w:p>
    <w:p w14:paraId="0E704C4D" w14:textId="77777777" w:rsidR="00B63FA0" w:rsidRPr="004E70CE" w:rsidRDefault="004A6BA1" w:rsidP="0095651D">
      <w:r w:rsidRPr="004E70CE">
        <w:t xml:space="preserve">Industry </w:t>
      </w:r>
      <w:r w:rsidR="00B63FA0" w:rsidRPr="004E70CE">
        <w:t xml:space="preserve">stakeholders have noted that the vertically integrated nature of the </w:t>
      </w:r>
      <w:r w:rsidRPr="004E70CE">
        <w:t xml:space="preserve">aluminium </w:t>
      </w:r>
      <w:r w:rsidR="00B63FA0" w:rsidRPr="004E70CE">
        <w:t xml:space="preserve">sector means any </w:t>
      </w:r>
      <w:r w:rsidRPr="004E70CE">
        <w:t xml:space="preserve">leakage </w:t>
      </w:r>
      <w:r w:rsidR="006951D6" w:rsidRPr="004E70CE">
        <w:t xml:space="preserve">risks </w:t>
      </w:r>
      <w:r w:rsidR="00B63FA0" w:rsidRPr="004E70CE">
        <w:t>affecting alumina refineries could also impact the bauxite facilities that supply them.</w:t>
      </w:r>
    </w:p>
    <w:p w14:paraId="052BD99A" w14:textId="77777777" w:rsidR="006951D6" w:rsidRPr="004E70CE" w:rsidRDefault="006951D6" w:rsidP="0095651D">
      <w:r w:rsidRPr="004E70CE">
        <w:t xml:space="preserve">On balance, based on the </w:t>
      </w:r>
      <w:r w:rsidR="004A7145" w:rsidRPr="004E70CE">
        <w:t>Review’s</w:t>
      </w:r>
      <w:r w:rsidRPr="004E70CE">
        <w:t xml:space="preserve"> analysis, existing policies </w:t>
      </w:r>
      <w:r w:rsidR="004A7145" w:rsidRPr="004E70CE">
        <w:t>currently appear adequate</w:t>
      </w:r>
      <w:r w:rsidRPr="004E70CE">
        <w:t xml:space="preserve"> to address leakage risks. </w:t>
      </w:r>
    </w:p>
    <w:p w14:paraId="7E47A230" w14:textId="3260F203" w:rsidR="00E06FBB" w:rsidRPr="004E70CE" w:rsidRDefault="00E06FBB" w:rsidP="0095651D">
      <w:pPr>
        <w:rPr>
          <w:b/>
          <w:bCs/>
        </w:rPr>
      </w:pPr>
      <w:r w:rsidRPr="004E70CE">
        <w:rPr>
          <w:b/>
          <w:bCs/>
        </w:rPr>
        <w:t>SYNTHETIC RUTILE</w:t>
      </w:r>
      <w:r w:rsidR="003D3166" w:rsidRPr="004E70CE">
        <w:rPr>
          <w:b/>
          <w:bCs/>
        </w:rPr>
        <w:t xml:space="preserve"> </w:t>
      </w:r>
      <w:r w:rsidR="00BB1226" w:rsidRPr="004E70CE">
        <w:rPr>
          <w:b/>
          <w:bCs/>
        </w:rPr>
        <w:t>AND</w:t>
      </w:r>
      <w:r w:rsidR="003D3166" w:rsidRPr="004E70CE">
        <w:rPr>
          <w:b/>
          <w:bCs/>
        </w:rPr>
        <w:t xml:space="preserve"> TITANIUM </w:t>
      </w:r>
      <w:r w:rsidR="008F054B" w:rsidRPr="004E70CE">
        <w:rPr>
          <w:b/>
          <w:bCs/>
        </w:rPr>
        <w:t>DI</w:t>
      </w:r>
      <w:r w:rsidR="003D3166" w:rsidRPr="004E70CE">
        <w:rPr>
          <w:b/>
          <w:bCs/>
        </w:rPr>
        <w:t>OXIDE</w:t>
      </w:r>
    </w:p>
    <w:p w14:paraId="1D2602F3" w14:textId="77777777" w:rsidR="001837ED" w:rsidRPr="004E70CE" w:rsidRDefault="003D3166" w:rsidP="0095651D">
      <w:r w:rsidRPr="004E70CE">
        <w:t>Synthetic rutile is</w:t>
      </w:r>
      <w:r w:rsidRPr="004E70CE" w:rsidDel="002B3B3A">
        <w:t xml:space="preserve"> </w:t>
      </w:r>
      <w:r w:rsidRPr="004E70CE">
        <w:t xml:space="preserve">produced by upgrading mineral ilmenite in a kiln and is </w:t>
      </w:r>
      <w:r w:rsidR="00896F30" w:rsidRPr="004E70CE">
        <w:t>a</w:t>
      </w:r>
      <w:r w:rsidRPr="004E70CE">
        <w:t xml:space="preserve"> feedstock for titanium </w:t>
      </w:r>
      <w:r w:rsidR="0066645B" w:rsidRPr="004E70CE">
        <w:t>di</w:t>
      </w:r>
      <w:r w:rsidRPr="004E70CE">
        <w:t xml:space="preserve">oxide production. </w:t>
      </w:r>
      <w:r w:rsidR="008F054B" w:rsidRPr="004E70CE">
        <w:t>Titanium dioxide is used in the manufacture of paint and other products</w:t>
      </w:r>
      <w:r w:rsidR="0058065D" w:rsidRPr="004E70CE">
        <w:t xml:space="preserve"> and is listed on the Critical Minerals List</w:t>
      </w:r>
      <w:r w:rsidR="008F054B" w:rsidRPr="004E70CE">
        <w:t xml:space="preserve">. </w:t>
      </w:r>
      <w:r w:rsidR="004B4C6A" w:rsidRPr="004E70CE">
        <w:t xml:space="preserve">Minerals </w:t>
      </w:r>
      <w:r w:rsidR="00B251D0" w:rsidRPr="004E70CE">
        <w:t>are included in this list based on their importance to</w:t>
      </w:r>
      <w:r w:rsidR="00D97F5F" w:rsidRPr="004E70CE">
        <w:t xml:space="preserve"> technologies of economic and security significance, </w:t>
      </w:r>
      <w:r w:rsidR="007E72CA" w:rsidRPr="004E70CE">
        <w:t>Australia’s resource potential, demand from strategic international partners and vulnerability to supply chain disruptions.</w:t>
      </w:r>
    </w:p>
    <w:p w14:paraId="564BF353" w14:textId="269DF4BA" w:rsidR="00305F75" w:rsidRPr="004E70CE" w:rsidRDefault="00013350" w:rsidP="0095651D">
      <w:r>
        <w:t>Exports relative to production are b</w:t>
      </w:r>
      <w:r w:rsidR="009E156E" w:rsidRPr="004E70CE">
        <w:t xml:space="preserve">etween </w:t>
      </w:r>
      <w:r>
        <w:t>0.2-0.4</w:t>
      </w:r>
      <w:r w:rsidR="009C6D5A">
        <w:t>,</w:t>
      </w:r>
      <w:r>
        <w:t xml:space="preserve"> </w:t>
      </w:r>
      <w:r w:rsidR="007730A6" w:rsidRPr="004E70CE">
        <w:t xml:space="preserve">and </w:t>
      </w:r>
      <w:r w:rsidR="001837ED" w:rsidRPr="004E70CE">
        <w:t>exports are sensitive to price changes (elasticity of -</w:t>
      </w:r>
      <w:r w:rsidR="00C851EB" w:rsidRPr="004E70CE">
        <w:t>1.2</w:t>
      </w:r>
      <w:r w:rsidR="001837ED" w:rsidRPr="004E70CE">
        <w:t xml:space="preserve">). </w:t>
      </w:r>
      <w:r w:rsidR="00305F75" w:rsidRPr="004E70CE">
        <w:t xml:space="preserve">Exports of titanium </w:t>
      </w:r>
      <w:r w:rsidR="008F0F9B">
        <w:t>di</w:t>
      </w:r>
      <w:r w:rsidR="00305F75" w:rsidRPr="004E70CE">
        <w:t xml:space="preserve">oxide are negligible. </w:t>
      </w:r>
    </w:p>
    <w:p w14:paraId="3AC2A932" w14:textId="7BA0E3B0" w:rsidR="005370EB" w:rsidRPr="004E70CE" w:rsidRDefault="001837ED" w:rsidP="0095651D">
      <w:r w:rsidRPr="004E70CE">
        <w:t>I</w:t>
      </w:r>
      <w:r w:rsidR="007730A6" w:rsidRPr="004E70CE">
        <w:t xml:space="preserve">mports </w:t>
      </w:r>
      <w:r w:rsidR="00305F75" w:rsidRPr="004E70CE">
        <w:t xml:space="preserve">of synthetic rutile </w:t>
      </w:r>
      <w:r w:rsidR="003D1581" w:rsidRPr="004E70CE">
        <w:t xml:space="preserve">are </w:t>
      </w:r>
      <w:r w:rsidR="007730A6" w:rsidRPr="004E70CE">
        <w:t xml:space="preserve">equivalent to </w:t>
      </w:r>
      <w:r w:rsidR="00240C52">
        <w:t>0-0.2 times the volume</w:t>
      </w:r>
      <w:r w:rsidR="007730A6" w:rsidRPr="004E70CE">
        <w:t xml:space="preserve"> of production</w:t>
      </w:r>
      <w:r w:rsidRPr="004E70CE">
        <w:t xml:space="preserve"> </w:t>
      </w:r>
      <w:r w:rsidR="000C7DB4" w:rsidRPr="004E70CE">
        <w:t>but price sensitivity is low (-0.2).</w:t>
      </w:r>
      <w:r w:rsidR="005370EB" w:rsidRPr="004E70CE">
        <w:t xml:space="preserve"> </w:t>
      </w:r>
      <w:r w:rsidR="007730A6" w:rsidRPr="004E70CE">
        <w:t xml:space="preserve">Imports of titanium dioxide </w:t>
      </w:r>
      <w:r w:rsidR="003D1581" w:rsidRPr="004E70CE">
        <w:t>are</w:t>
      </w:r>
      <w:r w:rsidR="007730A6" w:rsidRPr="004E70CE">
        <w:t xml:space="preserve"> </w:t>
      </w:r>
      <w:r w:rsidR="00530259" w:rsidRPr="004E70CE">
        <w:t>negligible</w:t>
      </w:r>
      <w:r w:rsidR="007730A6" w:rsidRPr="004E70CE">
        <w:t>.</w:t>
      </w:r>
    </w:p>
    <w:p w14:paraId="58E1A82C" w14:textId="441B2DC7" w:rsidR="003D3166" w:rsidRPr="004E70CE" w:rsidRDefault="000A50FF" w:rsidP="0095651D">
      <w:r w:rsidRPr="004E70CE">
        <w:t>Coal use as a reductant and for heating accounts for the bulk of emissions</w:t>
      </w:r>
      <w:r w:rsidR="005D4803" w:rsidRPr="004E70CE">
        <w:t xml:space="preserve"> in synthetic rutile production</w:t>
      </w:r>
      <w:r w:rsidRPr="004E70CE">
        <w:t xml:space="preserve">. Clean hydrogen could </w:t>
      </w:r>
      <w:r w:rsidR="002F7091" w:rsidRPr="004E70CE">
        <w:t xml:space="preserve">replace the use of </w:t>
      </w:r>
      <w:r w:rsidR="00A525A5" w:rsidRPr="004E70CE">
        <w:t>c</w:t>
      </w:r>
      <w:r w:rsidR="00D50F19" w:rsidRPr="004E70CE">
        <w:t xml:space="preserve">oal </w:t>
      </w:r>
      <w:r w:rsidRPr="004E70CE">
        <w:t xml:space="preserve">but is not expected to be viable </w:t>
      </w:r>
      <w:r w:rsidR="005D4803" w:rsidRPr="004E70CE">
        <w:t>in the near</w:t>
      </w:r>
      <w:r w:rsidR="00B1208E" w:rsidRPr="004E70CE">
        <w:t>-</w:t>
      </w:r>
      <w:r w:rsidR="005D4803" w:rsidRPr="004E70CE">
        <w:t>term</w:t>
      </w:r>
      <w:r w:rsidR="005D2689" w:rsidRPr="004E70CE">
        <w:t>, which could result in increased leakage risks over time</w:t>
      </w:r>
      <w:r w:rsidR="00D50F19" w:rsidRPr="004E70CE">
        <w:t xml:space="preserve">. </w:t>
      </w:r>
      <w:r w:rsidR="007C5A8D" w:rsidRPr="004E70CE">
        <w:t>C</w:t>
      </w:r>
      <w:r w:rsidR="005D4803" w:rsidRPr="004E70CE">
        <w:t xml:space="preserve">arbon costs in 2030 </w:t>
      </w:r>
      <w:r w:rsidR="007C5A8D" w:rsidRPr="004E70CE">
        <w:t>are estimated to be</w:t>
      </w:r>
      <w:r w:rsidR="005D4803" w:rsidRPr="004E70CE">
        <w:t xml:space="preserve"> </w:t>
      </w:r>
      <w:r w:rsidR="00530259" w:rsidRPr="004E70CE">
        <w:t xml:space="preserve">between </w:t>
      </w:r>
      <w:r w:rsidR="004D0064" w:rsidRPr="004E70CE">
        <w:t>0-1%</w:t>
      </w:r>
      <w:r w:rsidR="00530259" w:rsidRPr="004E70CE">
        <w:t xml:space="preserve"> of the </w:t>
      </w:r>
      <w:r w:rsidR="005D4803" w:rsidRPr="004E70CE">
        <w:t>value</w:t>
      </w:r>
      <w:r w:rsidR="00530259" w:rsidRPr="004E70CE">
        <w:t xml:space="preserve"> of these commodities</w:t>
      </w:r>
      <w:r w:rsidR="005D4803" w:rsidRPr="004E70CE">
        <w:t xml:space="preserve">. </w:t>
      </w:r>
      <w:r w:rsidR="00AE18D1" w:rsidRPr="004E70CE">
        <w:t xml:space="preserve">Under </w:t>
      </w:r>
      <w:r w:rsidR="00E0386D" w:rsidRPr="004E70CE">
        <w:t>a</w:t>
      </w:r>
      <w:r w:rsidR="00AE18D1" w:rsidRPr="004E70CE">
        <w:t xml:space="preserve"> maximum </w:t>
      </w:r>
      <w:r w:rsidR="00E0386D" w:rsidRPr="004E70CE">
        <w:t xml:space="preserve">carbon cost difference </w:t>
      </w:r>
      <w:r w:rsidR="00AE18D1" w:rsidRPr="004E70CE">
        <w:t>scenario, d</w:t>
      </w:r>
      <w:r w:rsidR="007C5A8D" w:rsidRPr="004E70CE">
        <w:t xml:space="preserve">eclines in production </w:t>
      </w:r>
      <w:r w:rsidR="00650DA7" w:rsidRPr="004E70CE">
        <w:t xml:space="preserve">for all commodities </w:t>
      </w:r>
      <w:r w:rsidR="007C5A8D" w:rsidRPr="004E70CE">
        <w:t xml:space="preserve">are estimated to be </w:t>
      </w:r>
      <w:r w:rsidR="00E04805" w:rsidRPr="004E70CE">
        <w:t>less than</w:t>
      </w:r>
      <w:r w:rsidR="007C5A8D" w:rsidRPr="004E70CE">
        <w:t xml:space="preserve"> 1%.</w:t>
      </w:r>
    </w:p>
    <w:p w14:paraId="63FD84FC" w14:textId="77777777" w:rsidR="00552A24" w:rsidRPr="004E70CE" w:rsidRDefault="003D13B0" w:rsidP="0095651D">
      <w:r w:rsidRPr="004E70CE">
        <w:t xml:space="preserve">Based on </w:t>
      </w:r>
      <w:r w:rsidR="004A7145" w:rsidRPr="004E70CE">
        <w:t>the Review’s</w:t>
      </w:r>
      <w:r w:rsidRPr="004E70CE">
        <w:t xml:space="preserve"> analysis, existing policies </w:t>
      </w:r>
      <w:r w:rsidR="004A7145" w:rsidRPr="004E70CE">
        <w:t>currently appear adequate</w:t>
      </w:r>
      <w:r w:rsidRPr="004E70CE">
        <w:t xml:space="preserve"> to address leakage risks. </w:t>
      </w:r>
    </w:p>
    <w:p w14:paraId="60ADE26D" w14:textId="77777777" w:rsidR="00863B52" w:rsidRDefault="00863B52">
      <w:pPr>
        <w:spacing w:after="0" w:line="240" w:lineRule="auto"/>
        <w:rPr>
          <w:b/>
          <w:bCs/>
        </w:rPr>
      </w:pPr>
      <w:r>
        <w:rPr>
          <w:b/>
          <w:bCs/>
        </w:rPr>
        <w:br w:type="page"/>
      </w:r>
    </w:p>
    <w:p w14:paraId="0FE3B20F" w14:textId="3EC32D4E" w:rsidR="007D3720" w:rsidRPr="004E70CE" w:rsidRDefault="007D3720" w:rsidP="0095651D">
      <w:pPr>
        <w:rPr>
          <w:b/>
          <w:bCs/>
        </w:rPr>
      </w:pPr>
      <w:r w:rsidRPr="004E70CE">
        <w:rPr>
          <w:b/>
          <w:bCs/>
        </w:rPr>
        <w:lastRenderedPageBreak/>
        <w:t>FERRO AND SILICOMANGANESE ALLOY</w:t>
      </w:r>
    </w:p>
    <w:p w14:paraId="2D329C41" w14:textId="367A256D" w:rsidR="00753FE6" w:rsidRPr="004E70CE" w:rsidRDefault="767687E2" w:rsidP="0095651D">
      <w:r w:rsidRPr="004E70CE">
        <w:t>Ferro and silicomanganese are used as an alloying element in steel.</w:t>
      </w:r>
      <w:r w:rsidR="04FEDC5C" w:rsidRPr="004E70CE">
        <w:t xml:space="preserve"> </w:t>
      </w:r>
      <w:r w:rsidR="1F43015F" w:rsidRPr="004E70CE">
        <w:t xml:space="preserve">Ferro and silicomanganese imports </w:t>
      </w:r>
      <w:r w:rsidR="00B1208E" w:rsidRPr="004E70CE">
        <w:t xml:space="preserve">are </w:t>
      </w:r>
      <w:r w:rsidR="1F43015F" w:rsidRPr="004E70CE">
        <w:t xml:space="preserve">equivalent to </w:t>
      </w:r>
      <w:r w:rsidR="006C2258">
        <w:t>0-0.2 times the volume</w:t>
      </w:r>
      <w:r w:rsidR="00B1208E" w:rsidRPr="004E70CE">
        <w:t xml:space="preserve"> of </w:t>
      </w:r>
      <w:r w:rsidR="009C43EF" w:rsidRPr="004E70CE">
        <w:t xml:space="preserve">Safeguard </w:t>
      </w:r>
      <w:r w:rsidR="00B1208E" w:rsidRPr="004E70CE">
        <w:t>production</w:t>
      </w:r>
      <w:r w:rsidR="1F43015F" w:rsidRPr="004E70CE">
        <w:t xml:space="preserve">. Exports </w:t>
      </w:r>
      <w:r w:rsidR="4195CCFC" w:rsidRPr="004E70CE">
        <w:t>are</w:t>
      </w:r>
      <w:r w:rsidR="1F43015F" w:rsidRPr="004E70CE">
        <w:t xml:space="preserve"> significantly more trade</w:t>
      </w:r>
      <w:r w:rsidR="00B1208E" w:rsidRPr="004E70CE">
        <w:t>-</w:t>
      </w:r>
      <w:r w:rsidR="1F43015F" w:rsidRPr="004E70CE">
        <w:t xml:space="preserve">exposed, </w:t>
      </w:r>
      <w:r w:rsidR="00670926">
        <w:t>at</w:t>
      </w:r>
      <w:r w:rsidR="00D171BA" w:rsidRPr="004E70CE">
        <w:t xml:space="preserve"> </w:t>
      </w:r>
      <w:r w:rsidR="00670926">
        <w:t xml:space="preserve">0.8-1.0 times the volume of production. </w:t>
      </w:r>
      <w:r w:rsidR="1B20E2F4" w:rsidRPr="004E70CE">
        <w:t>Trade sensitivity</w:t>
      </w:r>
      <w:r w:rsidR="1596739F" w:rsidRPr="004E70CE">
        <w:t xml:space="preserve"> </w:t>
      </w:r>
      <w:r w:rsidR="64D9947C" w:rsidRPr="004E70CE">
        <w:t xml:space="preserve">for ferromanganese is low for imports (-0.18) and exports (-0.01). Trade sensitivity for silicomanganese </w:t>
      </w:r>
      <w:r w:rsidR="1596739F" w:rsidRPr="004E70CE">
        <w:t>could not be estimated.</w:t>
      </w:r>
      <w:r w:rsidR="297AD619" w:rsidRPr="004E70CE">
        <w:t xml:space="preserve"> </w:t>
      </w:r>
    </w:p>
    <w:p w14:paraId="09A122F0" w14:textId="04959BE5" w:rsidR="001976B3" w:rsidRPr="004E70CE" w:rsidRDefault="297AD619" w:rsidP="0095651D">
      <w:r w:rsidRPr="004E70CE">
        <w:t xml:space="preserve">Australian production appears </w:t>
      </w:r>
      <w:r w:rsidR="4BC12B04" w:rsidRPr="004E70CE">
        <w:t xml:space="preserve">to have </w:t>
      </w:r>
      <w:r w:rsidRPr="004E70CE">
        <w:t>relatively low emissions</w:t>
      </w:r>
      <w:r w:rsidR="4BC12B04" w:rsidRPr="004E70CE">
        <w:t xml:space="preserve"> intensity</w:t>
      </w:r>
      <w:r w:rsidRPr="004E70CE">
        <w:t>, as electric arc furnaces powered by hydroelectricity are used for smelting.</w:t>
      </w:r>
      <w:r w:rsidR="00C7272D" w:rsidRPr="004E70CE">
        <w:rPr>
          <w:rStyle w:val="FootnoteReference"/>
        </w:rPr>
        <w:footnoteReference w:id="79"/>
      </w:r>
      <w:r w:rsidRPr="004E70CE">
        <w:t xml:space="preserve"> C</w:t>
      </w:r>
      <w:r w:rsidR="617D8D51" w:rsidRPr="004E70CE">
        <w:t xml:space="preserve">arbon costs </w:t>
      </w:r>
      <w:r w:rsidRPr="004E70CE">
        <w:t xml:space="preserve">in 2030 </w:t>
      </w:r>
      <w:r w:rsidR="617D8D51" w:rsidRPr="004E70CE">
        <w:t xml:space="preserve">are </w:t>
      </w:r>
      <w:r w:rsidRPr="004E70CE">
        <w:t xml:space="preserve">estimated to be modest at </w:t>
      </w:r>
      <w:r w:rsidR="617D8D51" w:rsidRPr="004E70CE">
        <w:t>1</w:t>
      </w:r>
      <w:r w:rsidRPr="004E70CE">
        <w:t>-</w:t>
      </w:r>
      <w:r w:rsidR="00287D07" w:rsidRPr="004E70CE">
        <w:t>3</w:t>
      </w:r>
      <w:r w:rsidR="617D8D51" w:rsidRPr="004E70CE">
        <w:t>% of price</w:t>
      </w:r>
      <w:r w:rsidRPr="004E70CE">
        <w:t xml:space="preserve">s. </w:t>
      </w:r>
      <w:r w:rsidR="00790677" w:rsidRPr="004E70CE">
        <w:t>Trade l</w:t>
      </w:r>
      <w:r w:rsidR="04FC209F" w:rsidRPr="004E70CE">
        <w:t xml:space="preserve">eakage </w:t>
      </w:r>
      <w:r w:rsidR="00790677" w:rsidRPr="004E70CE">
        <w:t>is estimated t</w:t>
      </w:r>
      <w:r w:rsidR="009A5520" w:rsidRPr="004E70CE">
        <w:t xml:space="preserve">o be </w:t>
      </w:r>
      <w:r w:rsidR="00287D07" w:rsidRPr="004E70CE">
        <w:t>less than 1</w:t>
      </w:r>
      <w:r w:rsidR="009A5520" w:rsidRPr="004E70CE">
        <w:t xml:space="preserve">% due to import competition </w:t>
      </w:r>
      <w:r w:rsidR="2CA69F42" w:rsidRPr="004E70CE">
        <w:t xml:space="preserve">and </w:t>
      </w:r>
      <w:r w:rsidR="005E0DBE" w:rsidRPr="004E70CE">
        <w:t xml:space="preserve">less than 1% in </w:t>
      </w:r>
      <w:r w:rsidR="2CA69F42" w:rsidRPr="004E70CE">
        <w:t>export markets</w:t>
      </w:r>
      <w:r w:rsidR="04FC209F" w:rsidRPr="004E70CE">
        <w:t xml:space="preserve"> </w:t>
      </w:r>
      <w:r w:rsidR="62277D0A" w:rsidRPr="004E70CE">
        <w:t>for ferromanganese</w:t>
      </w:r>
      <w:r w:rsidR="005E0DBE" w:rsidRPr="004E70CE">
        <w:t>.</w:t>
      </w:r>
      <w:r w:rsidR="62277D0A" w:rsidRPr="004E70CE">
        <w:t xml:space="preserve"> </w:t>
      </w:r>
      <w:r w:rsidR="005E0DBE" w:rsidRPr="004E70CE">
        <w:t xml:space="preserve">Leakage is not estimated for </w:t>
      </w:r>
      <w:r w:rsidR="62277D0A" w:rsidRPr="004E70CE">
        <w:t>silicomanganese</w:t>
      </w:r>
      <w:r w:rsidR="005E0DBE" w:rsidRPr="004E70CE">
        <w:t xml:space="preserve"> as trade sensitivities could not be</w:t>
      </w:r>
      <w:r w:rsidR="00242FD9" w:rsidRPr="004E70CE">
        <w:t xml:space="preserve"> established</w:t>
      </w:r>
      <w:r w:rsidR="62277D0A" w:rsidRPr="004E70CE">
        <w:t>.</w:t>
      </w:r>
    </w:p>
    <w:p w14:paraId="05C602F2" w14:textId="77777777" w:rsidR="001976B3" w:rsidRPr="004E70CE" w:rsidRDefault="001976B3" w:rsidP="0095651D">
      <w:r w:rsidRPr="004E70CE">
        <w:t xml:space="preserve">On balance, </w:t>
      </w:r>
      <w:r w:rsidR="004A7145" w:rsidRPr="004E70CE">
        <w:t xml:space="preserve">based on </w:t>
      </w:r>
      <w:r w:rsidRPr="004E70CE">
        <w:t xml:space="preserve">the </w:t>
      </w:r>
      <w:r w:rsidR="004A7145" w:rsidRPr="004E70CE">
        <w:t>Review’s analysis,</w:t>
      </w:r>
      <w:r w:rsidRPr="004E70CE">
        <w:t xml:space="preserve"> existing </w:t>
      </w:r>
      <w:r w:rsidR="00977C94" w:rsidRPr="004E70CE">
        <w:t xml:space="preserve">policies </w:t>
      </w:r>
      <w:r w:rsidR="004A7145" w:rsidRPr="004E70CE">
        <w:t>currently appear adequate</w:t>
      </w:r>
      <w:r w:rsidR="00977C94" w:rsidRPr="004E70CE">
        <w:t xml:space="preserve"> to address leakage </w:t>
      </w:r>
      <w:r w:rsidR="004A7145" w:rsidRPr="004E70CE">
        <w:t>risks</w:t>
      </w:r>
      <w:r w:rsidR="0072343F" w:rsidRPr="004E70CE">
        <w:t>.</w:t>
      </w:r>
    </w:p>
    <w:p w14:paraId="186BA268" w14:textId="77777777" w:rsidR="00F20DED" w:rsidRPr="004E70CE" w:rsidRDefault="00F20DED" w:rsidP="0095651D">
      <w:pPr>
        <w:rPr>
          <w:b/>
          <w:bCs/>
        </w:rPr>
      </w:pPr>
      <w:r w:rsidRPr="004E70CE">
        <w:rPr>
          <w:b/>
          <w:bCs/>
        </w:rPr>
        <w:t xml:space="preserve">LITHIUM HYDROXIDE AND LITHIUM ORE </w:t>
      </w:r>
    </w:p>
    <w:p w14:paraId="744234DD" w14:textId="2831535D" w:rsidR="00A35F31" w:rsidRPr="004E70CE" w:rsidRDefault="00F20DED" w:rsidP="0095651D">
      <w:r w:rsidRPr="004E70CE">
        <w:t>Lithium hydroxide is used in the production of lithium</w:t>
      </w:r>
      <w:r w:rsidR="00363213" w:rsidRPr="004E70CE">
        <w:t xml:space="preserve"> </w:t>
      </w:r>
      <w:r w:rsidRPr="004E70CE">
        <w:t>ion batteries. It is produced by refining spodumene, a lithium mineral, into lithium hydroxide. Australia was the world’s largest producer of spodumene in 2021, supplying over 50% of global demand.</w:t>
      </w:r>
      <w:r w:rsidRPr="004E70CE">
        <w:rPr>
          <w:rStyle w:val="FootnoteReference"/>
        </w:rPr>
        <w:footnoteReference w:id="80"/>
      </w:r>
      <w:r w:rsidR="007B6403" w:rsidRPr="004E70CE">
        <w:t xml:space="preserve"> </w:t>
      </w:r>
      <w:r w:rsidRPr="004E70CE">
        <w:t xml:space="preserve">Lithium is listed on the </w:t>
      </w:r>
      <w:r w:rsidR="009424BA" w:rsidRPr="004E70CE">
        <w:t>government</w:t>
      </w:r>
      <w:r w:rsidRPr="004E70CE">
        <w:t>’s Critical Minerals List, and it is estimated that Australia could represent 15% of global lithium hydroxide production by 2029.</w:t>
      </w:r>
      <w:r w:rsidRPr="004E70CE">
        <w:rPr>
          <w:rStyle w:val="FootnoteReference"/>
        </w:rPr>
        <w:footnoteReference w:id="81"/>
      </w:r>
      <w:r w:rsidRPr="004E70CE">
        <w:t xml:space="preserve"> </w:t>
      </w:r>
      <w:r w:rsidR="00834584" w:rsidRPr="004E70CE">
        <w:t xml:space="preserve">The </w:t>
      </w:r>
      <w:r w:rsidR="009424BA" w:rsidRPr="004E70CE">
        <w:t>government</w:t>
      </w:r>
      <w:r w:rsidR="00834584" w:rsidRPr="004E70CE">
        <w:t xml:space="preserve"> has identified critical minerals processing as aligned with the Economic Resilience and Security Stream of the National Interest Framework under its Future Made in Australia agenda.</w:t>
      </w:r>
      <w:r w:rsidR="00B81D30" w:rsidRPr="004E70CE">
        <w:rPr>
          <w:rStyle w:val="FootnoteReference"/>
        </w:rPr>
        <w:footnoteReference w:id="82"/>
      </w:r>
    </w:p>
    <w:p w14:paraId="2AF2EE42" w14:textId="77777777" w:rsidR="00AE3BED" w:rsidRPr="004E70CE" w:rsidRDefault="00F20DED" w:rsidP="0095651D">
      <w:r w:rsidRPr="004E70CE">
        <w:t>The first domestic production of lithium hydroxide recently commenced, primarily for export.</w:t>
      </w:r>
      <w:r w:rsidRPr="004E70CE">
        <w:rPr>
          <w:rStyle w:val="FootnoteReference"/>
        </w:rPr>
        <w:footnoteReference w:id="83"/>
      </w:r>
      <w:r w:rsidRPr="004E70CE">
        <w:t xml:space="preserve"> </w:t>
      </w:r>
      <w:r w:rsidR="00DE4C93" w:rsidRPr="004E70CE">
        <w:t>Given this</w:t>
      </w:r>
      <w:r w:rsidR="007E5C00" w:rsidRPr="004E70CE">
        <w:t xml:space="preserve">, </w:t>
      </w:r>
      <w:r w:rsidR="00C45284" w:rsidRPr="004E70CE">
        <w:t xml:space="preserve">leakage risks are not </w:t>
      </w:r>
      <w:r w:rsidR="00BA34B9" w:rsidRPr="004E70CE">
        <w:t>quantitative</w:t>
      </w:r>
      <w:r w:rsidR="00C45284" w:rsidRPr="004E70CE">
        <w:t>ly</w:t>
      </w:r>
      <w:r w:rsidR="00BA34B9" w:rsidRPr="004E70CE">
        <w:t xml:space="preserve"> </w:t>
      </w:r>
      <w:r w:rsidR="00C45284" w:rsidRPr="004E70CE">
        <w:t xml:space="preserve">assessed </w:t>
      </w:r>
      <w:r w:rsidR="00DE4C93" w:rsidRPr="004E70CE">
        <w:t>for lithium hydroxide</w:t>
      </w:r>
      <w:r w:rsidR="00C45284" w:rsidRPr="004E70CE">
        <w:t xml:space="preserve"> at this time</w:t>
      </w:r>
      <w:r w:rsidR="00DE4C93" w:rsidRPr="004E70CE">
        <w:t xml:space="preserve">. </w:t>
      </w:r>
    </w:p>
    <w:p w14:paraId="44AB2A13" w14:textId="3C2FBFCD" w:rsidR="00F20DED" w:rsidRPr="004E70CE" w:rsidRDefault="00F20DED" w:rsidP="0095651D">
      <w:r w:rsidRPr="004E70CE">
        <w:t>Lithium ore exports are sensitive to prices (elasticity of -1.2).</w:t>
      </w:r>
      <w:r w:rsidRPr="004E70CE">
        <w:rPr>
          <w:rStyle w:val="FootnoteReference"/>
        </w:rPr>
        <w:footnoteReference w:id="84"/>
      </w:r>
      <w:r w:rsidRPr="004E70CE">
        <w:t xml:space="preserve"> </w:t>
      </w:r>
      <w:r w:rsidR="00CD50B7" w:rsidRPr="004E70CE">
        <w:t>C</w:t>
      </w:r>
      <w:r w:rsidRPr="004E70CE">
        <w:t xml:space="preserve">arbon costs </w:t>
      </w:r>
      <w:r w:rsidR="00FD7B84" w:rsidRPr="004E70CE">
        <w:t xml:space="preserve">in 2030 </w:t>
      </w:r>
      <w:r w:rsidRPr="004E70CE">
        <w:t xml:space="preserve">are estimated to be </w:t>
      </w:r>
      <w:r w:rsidR="003C3758" w:rsidRPr="004E70CE">
        <w:t>between 0-1</w:t>
      </w:r>
      <w:r w:rsidR="0034224A" w:rsidRPr="004E70CE">
        <w:t>%</w:t>
      </w:r>
      <w:r w:rsidR="00E036C1" w:rsidRPr="004E70CE">
        <w:t xml:space="preserve">, reflecting </w:t>
      </w:r>
      <w:r w:rsidRPr="004E70CE">
        <w:t xml:space="preserve">the high prices for lithium </w:t>
      </w:r>
      <w:r w:rsidR="00D92FBE" w:rsidRPr="004E70CE">
        <w:t>ore</w:t>
      </w:r>
      <w:r w:rsidRPr="004E70CE">
        <w:t xml:space="preserve">. As such, under the maximum </w:t>
      </w:r>
      <w:r w:rsidR="00D92FBE" w:rsidRPr="004E70CE">
        <w:t xml:space="preserve">carbon cost difference </w:t>
      </w:r>
      <w:r w:rsidRPr="004E70CE">
        <w:t xml:space="preserve">scenario, declines in production are estimated to be </w:t>
      </w:r>
      <w:r w:rsidR="003C3758" w:rsidRPr="004E70CE">
        <w:t xml:space="preserve">less than </w:t>
      </w:r>
      <w:r w:rsidRPr="004E70CE">
        <w:t>1%.</w:t>
      </w:r>
    </w:p>
    <w:p w14:paraId="7579FB68" w14:textId="16BCBB1F" w:rsidR="004A7145" w:rsidRPr="004E70CE" w:rsidRDefault="004A7145" w:rsidP="0095651D">
      <w:pPr>
        <w:rPr>
          <w:b/>
          <w:bCs/>
        </w:rPr>
      </w:pPr>
      <w:r w:rsidRPr="004E70CE">
        <w:t>Based on the Review’s analysis, existing policies currently appear adequate to address leakage risks</w:t>
      </w:r>
      <w:r w:rsidR="00163E3A" w:rsidRPr="004E70CE">
        <w:t>.</w:t>
      </w:r>
      <w:r w:rsidRPr="004E70CE">
        <w:rPr>
          <w:b/>
          <w:bCs/>
        </w:rPr>
        <w:t xml:space="preserve"> </w:t>
      </w:r>
    </w:p>
    <w:p w14:paraId="2FE7014D" w14:textId="77777777" w:rsidR="00863B52" w:rsidRDefault="00863B52">
      <w:pPr>
        <w:spacing w:after="0" w:line="240" w:lineRule="auto"/>
        <w:rPr>
          <w:b/>
          <w:bCs/>
        </w:rPr>
      </w:pPr>
      <w:r>
        <w:rPr>
          <w:b/>
          <w:bCs/>
        </w:rPr>
        <w:br w:type="page"/>
      </w:r>
    </w:p>
    <w:p w14:paraId="63AEC32F" w14:textId="09D44851" w:rsidR="00F051D2" w:rsidRPr="004E70CE" w:rsidRDefault="00F051D2" w:rsidP="0095651D">
      <w:pPr>
        <w:rPr>
          <w:b/>
          <w:bCs/>
        </w:rPr>
      </w:pPr>
      <w:r w:rsidRPr="004E70CE">
        <w:rPr>
          <w:b/>
          <w:bCs/>
        </w:rPr>
        <w:lastRenderedPageBreak/>
        <w:t>COAL</w:t>
      </w:r>
    </w:p>
    <w:p w14:paraId="4282CC66" w14:textId="77777777" w:rsidR="00B1201B" w:rsidRPr="004E70CE" w:rsidRDefault="00F051D2" w:rsidP="0095651D">
      <w:r w:rsidRPr="004E70CE">
        <w:t>Australia is the world’s largest exporter of metallurgical coal and second largest exporter of thermal coal. Nearly all metallurgical coal production is exported, while around 75-80% of thermal coal production is exported.</w:t>
      </w:r>
      <w:r w:rsidRPr="004E70CE">
        <w:rPr>
          <w:rStyle w:val="FootnoteReference"/>
        </w:rPr>
        <w:footnoteReference w:id="85"/>
      </w:r>
      <w:r w:rsidRPr="004E70CE">
        <w:t xml:space="preserve"> </w:t>
      </w:r>
    </w:p>
    <w:p w14:paraId="2EE8353B" w14:textId="748EAA6E" w:rsidR="00F051D2" w:rsidRPr="004E70CE" w:rsidRDefault="00F051D2" w:rsidP="0095651D">
      <w:r w:rsidRPr="004E70CE">
        <w:t xml:space="preserve">Estimates of export sensitivity to prices </w:t>
      </w:r>
      <w:r w:rsidR="000A35EE" w:rsidRPr="004E70CE">
        <w:t>are uncertain</w:t>
      </w:r>
      <w:r w:rsidR="000E4366" w:rsidRPr="004E70CE">
        <w:t>, and therefore</w:t>
      </w:r>
      <w:r w:rsidRPr="004E70CE" w:rsidDel="000E4366">
        <w:t xml:space="preserve"> </w:t>
      </w:r>
      <w:r w:rsidR="000E4366" w:rsidRPr="004E70CE">
        <w:t xml:space="preserve">trade </w:t>
      </w:r>
      <w:r w:rsidRPr="004E70CE">
        <w:t>leakage ha</w:t>
      </w:r>
      <w:r w:rsidR="000A35EE" w:rsidRPr="004E70CE">
        <w:t xml:space="preserve">s </w:t>
      </w:r>
      <w:r w:rsidRPr="004E70CE">
        <w:t xml:space="preserve">not been </w:t>
      </w:r>
      <w:r w:rsidR="000A35EE" w:rsidRPr="004E70CE">
        <w:t>estimated</w:t>
      </w:r>
      <w:r w:rsidRPr="004E70CE">
        <w:rPr>
          <w:b/>
          <w:bCs/>
        </w:rPr>
        <w:t xml:space="preserve">. </w:t>
      </w:r>
      <w:r w:rsidR="00421E77" w:rsidRPr="004E70CE">
        <w:t>C</w:t>
      </w:r>
      <w:r w:rsidRPr="004E70CE">
        <w:t xml:space="preserve">arbon costs in 2030 </w:t>
      </w:r>
      <w:r w:rsidR="00421E77" w:rsidRPr="004E70CE">
        <w:t xml:space="preserve">as a share of price are estimated to be low, at </w:t>
      </w:r>
      <w:r w:rsidR="00823631" w:rsidRPr="004E70CE">
        <w:t>between 0-1</w:t>
      </w:r>
      <w:r w:rsidRPr="004E70CE">
        <w:t>% of price.</w:t>
      </w:r>
      <w:r w:rsidR="000A35EE" w:rsidRPr="004E70CE">
        <w:t xml:space="preserve"> Analysis of profits finds coal mining to </w:t>
      </w:r>
      <w:r w:rsidR="00BD53B0" w:rsidRPr="004E70CE">
        <w:t>be at lower risk of investment leakage relative to other industries, particularly manufacturing</w:t>
      </w:r>
      <w:r w:rsidR="002A5F5C" w:rsidRPr="004E70CE">
        <w:t xml:space="preserve"> (see </w:t>
      </w:r>
      <w:r w:rsidR="00F170A2" w:rsidRPr="004E70CE">
        <w:rPr>
          <w:b/>
          <w:bCs/>
        </w:rPr>
        <w:t>S</w:t>
      </w:r>
      <w:r w:rsidR="002A5F5C" w:rsidRPr="004E70CE">
        <w:rPr>
          <w:b/>
          <w:bCs/>
        </w:rPr>
        <w:t>ection 2.5</w:t>
      </w:r>
      <w:r w:rsidR="002A5F5C" w:rsidRPr="004E70CE">
        <w:t>).</w:t>
      </w:r>
    </w:p>
    <w:p w14:paraId="1D4ED98C" w14:textId="1AA6151E" w:rsidR="004A7145" w:rsidRPr="004E70CE" w:rsidRDefault="004A7145" w:rsidP="0095651D">
      <w:pPr>
        <w:rPr>
          <w:b/>
          <w:bCs/>
        </w:rPr>
      </w:pPr>
      <w:r w:rsidRPr="004E70CE">
        <w:t>Based on the Review’s analysis, existing policies currently appear adequate to address leakage risks</w:t>
      </w:r>
      <w:r w:rsidR="009E7A51" w:rsidRPr="004E70CE">
        <w:t>.</w:t>
      </w:r>
      <w:r w:rsidRPr="004E70CE">
        <w:rPr>
          <w:b/>
          <w:bCs/>
        </w:rPr>
        <w:t xml:space="preserve"> </w:t>
      </w:r>
    </w:p>
    <w:p w14:paraId="74FCA3C7" w14:textId="77777777" w:rsidR="00FB6538" w:rsidRPr="004E70CE" w:rsidRDefault="00FB6538" w:rsidP="0095651D">
      <w:pPr>
        <w:rPr>
          <w:b/>
          <w:bCs/>
        </w:rPr>
      </w:pPr>
      <w:r w:rsidRPr="004E70CE">
        <w:rPr>
          <w:b/>
          <w:bCs/>
        </w:rPr>
        <w:t>OTHER METAL ORES</w:t>
      </w:r>
      <w:r w:rsidRPr="004E70CE">
        <w:rPr>
          <w:rStyle w:val="FootnoteReference"/>
          <w:b/>
          <w:bCs/>
        </w:rPr>
        <w:footnoteReference w:id="86"/>
      </w:r>
    </w:p>
    <w:p w14:paraId="1B23F3EB" w14:textId="77777777" w:rsidR="0086726B" w:rsidRPr="004E70CE" w:rsidRDefault="00FB6538" w:rsidP="0095651D">
      <w:r w:rsidRPr="004E70CE">
        <w:t>This covers the mining and onsite processing of ores that contain one or more metals that are not already covered by other Safeguard production variables.</w:t>
      </w:r>
      <w:r w:rsidRPr="004E70CE">
        <w:rPr>
          <w:rStyle w:val="FootnoteReference"/>
        </w:rPr>
        <w:footnoteReference w:id="87"/>
      </w:r>
      <w:r w:rsidRPr="004E70CE">
        <w:t xml:space="preserve"> </w:t>
      </w:r>
    </w:p>
    <w:p w14:paraId="4D514421" w14:textId="57E3FA9E" w:rsidR="00FB6538" w:rsidRPr="004E70CE" w:rsidRDefault="00FB6538" w:rsidP="0095651D">
      <w:r w:rsidRPr="004E70CE">
        <w:t>Trade</w:t>
      </w:r>
      <w:r w:rsidR="00BE0297" w:rsidRPr="004E70CE">
        <w:t>-</w:t>
      </w:r>
      <w:r w:rsidRPr="004E70CE">
        <w:t>exposure appears low</w:t>
      </w:r>
      <w:r w:rsidR="00BE0297" w:rsidRPr="004E70CE">
        <w:t>, with</w:t>
      </w:r>
      <w:r w:rsidRPr="004E70CE">
        <w:t xml:space="preserve"> imports </w:t>
      </w:r>
      <w:r w:rsidR="00231C9A" w:rsidRPr="004E70CE">
        <w:t xml:space="preserve">and exports </w:t>
      </w:r>
      <w:r w:rsidR="00F03793">
        <w:t xml:space="preserve">both </w:t>
      </w:r>
      <w:r w:rsidR="00FC62AB" w:rsidRPr="004E70CE">
        <w:t xml:space="preserve">equivalent to </w:t>
      </w:r>
      <w:r w:rsidR="00FD01C8">
        <w:t>0-0.2 times the volume</w:t>
      </w:r>
      <w:r w:rsidR="000B51DE" w:rsidRPr="004E70CE">
        <w:t xml:space="preserve"> of production</w:t>
      </w:r>
      <w:r w:rsidRPr="004E70CE">
        <w:t xml:space="preserve">. The sensitivity of imports to price changes was estimated to be -0.4, but a sensitivity for exports could not be estimated. Carbon costs in 2030 are estimated to be </w:t>
      </w:r>
      <w:r w:rsidR="00483A0D" w:rsidRPr="004E70CE">
        <w:t xml:space="preserve">low, at </w:t>
      </w:r>
      <w:r w:rsidR="007F4D56" w:rsidRPr="004E70CE">
        <w:t>between 0-1</w:t>
      </w:r>
      <w:r w:rsidRPr="004E70CE">
        <w:t>% of prices. Under</w:t>
      </w:r>
      <w:r w:rsidRPr="004E70CE" w:rsidDel="00F8641A">
        <w:t xml:space="preserve"> </w:t>
      </w:r>
      <w:r w:rsidR="00F8641A" w:rsidRPr="004E70CE">
        <w:t xml:space="preserve">a </w:t>
      </w:r>
      <w:r w:rsidRPr="004E70CE">
        <w:t xml:space="preserve">maximum </w:t>
      </w:r>
      <w:r w:rsidR="00F8641A" w:rsidRPr="004E70CE">
        <w:t xml:space="preserve">carbon cost difference </w:t>
      </w:r>
      <w:r w:rsidRPr="004E70CE">
        <w:t xml:space="preserve">scenario, estimated declines in production from import competition are negligible. Export-related leakage </w:t>
      </w:r>
      <w:r w:rsidR="00304D5C" w:rsidRPr="004E70CE">
        <w:t xml:space="preserve">has </w:t>
      </w:r>
      <w:r w:rsidRPr="004E70CE">
        <w:t xml:space="preserve">not </w:t>
      </w:r>
      <w:r w:rsidR="00304D5C" w:rsidRPr="004E70CE">
        <w:t xml:space="preserve">been </w:t>
      </w:r>
      <w:r w:rsidRPr="004E70CE">
        <w:t>estimated as trade sensitivity could not be established</w:t>
      </w:r>
      <w:r w:rsidRPr="004E70CE">
        <w:rPr>
          <w:b/>
          <w:bCs/>
        </w:rPr>
        <w:t>.</w:t>
      </w:r>
      <w:r w:rsidR="00B06F61" w:rsidRPr="004E70CE">
        <w:rPr>
          <w:b/>
          <w:bCs/>
        </w:rPr>
        <w:t xml:space="preserve"> </w:t>
      </w:r>
      <w:r w:rsidR="00F065D8" w:rsidRPr="004E70CE">
        <w:t>A</w:t>
      </w:r>
      <w:r w:rsidR="005E44A9" w:rsidRPr="004E70CE">
        <w:t xml:space="preserve">nalysis </w:t>
      </w:r>
      <w:r w:rsidR="00F065D8" w:rsidRPr="004E70CE">
        <w:t>of profits suggests</w:t>
      </w:r>
      <w:r w:rsidR="005E44A9" w:rsidRPr="004E70CE">
        <w:t xml:space="preserve"> metal ores are in the </w:t>
      </w:r>
      <w:r w:rsidR="00D01A1B" w:rsidRPr="004E70CE">
        <w:t xml:space="preserve">group of industries with the lowest </w:t>
      </w:r>
      <w:r w:rsidR="00F065D8" w:rsidRPr="004E70CE">
        <w:t xml:space="preserve">level of investment leakage risk (see </w:t>
      </w:r>
      <w:r w:rsidR="00F065D8" w:rsidRPr="004E70CE">
        <w:rPr>
          <w:b/>
          <w:bCs/>
        </w:rPr>
        <w:t>Section 2.5</w:t>
      </w:r>
      <w:r w:rsidR="00F065D8" w:rsidRPr="004E70CE">
        <w:t>).</w:t>
      </w:r>
    </w:p>
    <w:p w14:paraId="41AF83F3" w14:textId="77777777" w:rsidR="000429DC" w:rsidRPr="004E70CE" w:rsidRDefault="007E7C8C" w:rsidP="0095651D">
      <w:r w:rsidRPr="004E70CE">
        <w:t xml:space="preserve">There is some uncertainty regarding </w:t>
      </w:r>
      <w:r w:rsidR="00D62592" w:rsidRPr="004E70CE">
        <w:t xml:space="preserve">this </w:t>
      </w:r>
      <w:r w:rsidR="005A2FE6" w:rsidRPr="004E70CE">
        <w:t>analysis</w:t>
      </w:r>
      <w:r w:rsidR="009765F2" w:rsidRPr="004E70CE">
        <w:t xml:space="preserve">, </w:t>
      </w:r>
      <w:r w:rsidR="00A2194D" w:rsidRPr="004E70CE">
        <w:t>as</w:t>
      </w:r>
      <w:r w:rsidR="00F17B07" w:rsidRPr="004E70CE">
        <w:t xml:space="preserve"> the </w:t>
      </w:r>
      <w:r w:rsidR="00A2194D" w:rsidRPr="004E70CE">
        <w:t xml:space="preserve">broadly defined nature of </w:t>
      </w:r>
      <w:r w:rsidR="005A2FE6" w:rsidRPr="004E70CE">
        <w:t>this commodity</w:t>
      </w:r>
      <w:r w:rsidR="00F17B07" w:rsidRPr="004E70CE">
        <w:t xml:space="preserve"> </w:t>
      </w:r>
      <w:r w:rsidR="00A2194D" w:rsidRPr="004E70CE">
        <w:t>under</w:t>
      </w:r>
      <w:r w:rsidR="00F17B07" w:rsidRPr="004E70CE">
        <w:t xml:space="preserve"> the Safeguard Mechanism </w:t>
      </w:r>
      <w:r w:rsidR="00A2194D" w:rsidRPr="004E70CE">
        <w:t xml:space="preserve">means </w:t>
      </w:r>
      <w:r w:rsidR="006855F2" w:rsidRPr="004E70CE">
        <w:t xml:space="preserve">that </w:t>
      </w:r>
      <w:r w:rsidR="0075295C" w:rsidRPr="004E70CE">
        <w:t>the types and volumes of</w:t>
      </w:r>
      <w:r w:rsidR="00407764" w:rsidRPr="004E70CE">
        <w:t xml:space="preserve"> </w:t>
      </w:r>
      <w:r w:rsidR="006855F2" w:rsidRPr="004E70CE">
        <w:t xml:space="preserve">relevant </w:t>
      </w:r>
      <w:r w:rsidR="00930964" w:rsidRPr="004E70CE">
        <w:t>metal</w:t>
      </w:r>
      <w:r w:rsidR="003F0AF2" w:rsidRPr="004E70CE">
        <w:t xml:space="preserve"> ore</w:t>
      </w:r>
      <w:r w:rsidR="006877F5" w:rsidRPr="004E70CE">
        <w:t>s</w:t>
      </w:r>
      <w:r w:rsidR="003F0AF2" w:rsidRPr="004E70CE">
        <w:t xml:space="preserve"> </w:t>
      </w:r>
      <w:r w:rsidR="00CC6D54" w:rsidRPr="004E70CE">
        <w:t xml:space="preserve">produced </w:t>
      </w:r>
      <w:r w:rsidR="000B47C3" w:rsidRPr="004E70CE">
        <w:t>can</w:t>
      </w:r>
      <w:r w:rsidR="00CC6D54" w:rsidRPr="004E70CE">
        <w:t xml:space="preserve"> vary </w:t>
      </w:r>
      <w:r w:rsidR="005A1BD2" w:rsidRPr="004E70CE">
        <w:t>from year to year</w:t>
      </w:r>
      <w:r w:rsidR="003F0AF2" w:rsidRPr="004E70CE">
        <w:t>.</w:t>
      </w:r>
      <w:r w:rsidR="005A2FE6" w:rsidRPr="004E70CE">
        <w:t xml:space="preserve"> </w:t>
      </w:r>
      <w:r w:rsidR="000429DC" w:rsidRPr="004E70CE">
        <w:t xml:space="preserve">Based on </w:t>
      </w:r>
      <w:r w:rsidR="004A7145" w:rsidRPr="004E70CE">
        <w:t>the Review’s</w:t>
      </w:r>
      <w:r w:rsidR="000429DC" w:rsidRPr="004E70CE">
        <w:t xml:space="preserve"> analysis, existing policies </w:t>
      </w:r>
      <w:r w:rsidR="004A7145" w:rsidRPr="004E70CE">
        <w:t>currently appear adequate</w:t>
      </w:r>
      <w:r w:rsidR="000429DC" w:rsidRPr="004E70CE">
        <w:t xml:space="preserve"> to address leakage risks</w:t>
      </w:r>
      <w:r w:rsidR="00392BEF" w:rsidRPr="004E70CE">
        <w:t>.</w:t>
      </w:r>
    </w:p>
    <w:p w14:paraId="0565D294" w14:textId="77777777" w:rsidR="00FB6538" w:rsidRPr="004E70CE" w:rsidRDefault="00FB6538" w:rsidP="0095651D">
      <w:pPr>
        <w:rPr>
          <w:b/>
          <w:bCs/>
        </w:rPr>
      </w:pPr>
      <w:r w:rsidRPr="004E70CE">
        <w:rPr>
          <w:b/>
          <w:bCs/>
        </w:rPr>
        <w:t>CRUDE OIL</w:t>
      </w:r>
    </w:p>
    <w:p w14:paraId="2E4C2E51" w14:textId="65C4604D" w:rsidR="0015763D" w:rsidRPr="004E70CE" w:rsidRDefault="00FB6538" w:rsidP="0095651D">
      <w:pPr>
        <w:rPr>
          <w:color w:val="000000" w:themeColor="text1"/>
        </w:rPr>
      </w:pPr>
      <w:r w:rsidRPr="004E70CE">
        <w:t>Australia produced 291,000 barrels a day of crude oil in 2022-23. Crude oil and condensates are trade</w:t>
      </w:r>
      <w:r w:rsidR="00BE0297" w:rsidRPr="004E70CE">
        <w:t>-</w:t>
      </w:r>
      <w:r w:rsidRPr="004E70CE">
        <w:t>exposed in domestic and export markets. Around 98% of production was exported, and imports were equivalent to almost 60% of production in 2022-23.</w:t>
      </w:r>
      <w:r w:rsidRPr="004E70CE">
        <w:rPr>
          <w:rStyle w:val="FootnoteReference"/>
        </w:rPr>
        <w:footnoteReference w:id="88"/>
      </w:r>
      <w:r w:rsidRPr="004E70CE">
        <w:t xml:space="preserve">  Imports of crude oil are somewhat sensitive to price changes </w:t>
      </w:r>
      <w:r w:rsidRPr="004E70CE">
        <w:rPr>
          <w:color w:val="000000" w:themeColor="text1"/>
        </w:rPr>
        <w:t xml:space="preserve">(elasticity of -0.6), but a </w:t>
      </w:r>
      <w:r w:rsidR="00BE0297" w:rsidRPr="004E70CE">
        <w:rPr>
          <w:color w:val="000000" w:themeColor="text1"/>
        </w:rPr>
        <w:t xml:space="preserve">price </w:t>
      </w:r>
      <w:r w:rsidRPr="004E70CE">
        <w:rPr>
          <w:color w:val="000000" w:themeColor="text1"/>
        </w:rPr>
        <w:t xml:space="preserve">sensitivity could not be established for exports. </w:t>
      </w:r>
    </w:p>
    <w:p w14:paraId="3B9995E5" w14:textId="0D3E34BB" w:rsidR="00FB6538" w:rsidRPr="004E70CE" w:rsidRDefault="5FDAE575" w:rsidP="0095651D">
      <w:r w:rsidRPr="004E70CE">
        <w:rPr>
          <w:rFonts w:ascii="Calibri" w:eastAsia="Calibri" w:hAnsi="Calibri" w:cs="Calibri"/>
          <w:color w:val="000000" w:themeColor="text1"/>
        </w:rPr>
        <w:t>The</w:t>
      </w:r>
      <w:r w:rsidR="00FB6538" w:rsidRPr="004E70CE">
        <w:rPr>
          <w:rFonts w:ascii="Calibri" w:eastAsia="Calibri" w:hAnsi="Calibri" w:cs="Calibri"/>
          <w:color w:val="000000" w:themeColor="text1"/>
        </w:rPr>
        <w:t xml:space="preserve"> carbon </w:t>
      </w:r>
      <w:r w:rsidRPr="004E70CE">
        <w:rPr>
          <w:rFonts w:ascii="Calibri" w:eastAsia="Calibri" w:hAnsi="Calibri" w:cs="Calibri"/>
          <w:color w:val="000000" w:themeColor="text1"/>
        </w:rPr>
        <w:t>cost</w:t>
      </w:r>
      <w:r w:rsidR="00FB6538" w:rsidRPr="004E70CE">
        <w:rPr>
          <w:rFonts w:ascii="Calibri" w:eastAsia="Calibri" w:hAnsi="Calibri" w:cs="Calibri"/>
          <w:color w:val="000000" w:themeColor="text1"/>
        </w:rPr>
        <w:t xml:space="preserve"> as a share of price</w:t>
      </w:r>
      <w:r w:rsidRPr="004E70CE">
        <w:rPr>
          <w:rFonts w:ascii="Calibri" w:eastAsia="Calibri" w:hAnsi="Calibri" w:cs="Calibri"/>
          <w:color w:val="000000" w:themeColor="text1"/>
        </w:rPr>
        <w:t xml:space="preserve"> is estimated to be </w:t>
      </w:r>
      <w:r w:rsidR="007F4D56" w:rsidRPr="004E70CE">
        <w:rPr>
          <w:rFonts w:ascii="Calibri" w:eastAsia="Calibri" w:hAnsi="Calibri" w:cs="Calibri"/>
          <w:color w:val="000000" w:themeColor="text1"/>
        </w:rPr>
        <w:t>between 0-1</w:t>
      </w:r>
      <w:r w:rsidRPr="004E70CE">
        <w:rPr>
          <w:rFonts w:ascii="Calibri" w:eastAsia="Calibri" w:hAnsi="Calibri" w:cs="Calibri"/>
          <w:color w:val="000000" w:themeColor="text1"/>
        </w:rPr>
        <w:t>%</w:t>
      </w:r>
      <w:r w:rsidR="00FB6538" w:rsidRPr="004E70CE">
        <w:rPr>
          <w:color w:val="000000" w:themeColor="text1"/>
        </w:rPr>
        <w:t xml:space="preserve">. Estimated </w:t>
      </w:r>
      <w:r w:rsidR="0079569A" w:rsidRPr="004E70CE">
        <w:rPr>
          <w:color w:val="000000" w:themeColor="text1"/>
        </w:rPr>
        <w:t xml:space="preserve">trade </w:t>
      </w:r>
      <w:r w:rsidR="00FB6538" w:rsidRPr="004E70CE">
        <w:rPr>
          <w:color w:val="000000" w:themeColor="text1"/>
        </w:rPr>
        <w:t xml:space="preserve">leakage is </w:t>
      </w:r>
      <w:r w:rsidR="007F4D56" w:rsidRPr="004E70CE">
        <w:rPr>
          <w:color w:val="000000" w:themeColor="text1"/>
        </w:rPr>
        <w:t>below 1</w:t>
      </w:r>
      <w:r w:rsidR="0079569A" w:rsidRPr="004E70CE">
        <w:rPr>
          <w:color w:val="000000" w:themeColor="text1"/>
        </w:rPr>
        <w:t>%</w:t>
      </w:r>
      <w:r w:rsidR="00C708C3" w:rsidRPr="004E70CE">
        <w:rPr>
          <w:color w:val="000000" w:themeColor="text1"/>
        </w:rPr>
        <w:t xml:space="preserve"> and is </w:t>
      </w:r>
      <w:r w:rsidR="00FB6538" w:rsidRPr="004E70CE">
        <w:rPr>
          <w:color w:val="000000" w:themeColor="text1"/>
        </w:rPr>
        <w:t>considered small in the context of other factors driving production</w:t>
      </w:r>
      <w:r w:rsidR="00FB6538" w:rsidRPr="004E70CE">
        <w:t xml:space="preserve">. For example, crude oil and condensate production in Australia is estimated to </w:t>
      </w:r>
      <w:r w:rsidR="00635A35">
        <w:t xml:space="preserve">have </w:t>
      </w:r>
      <w:r w:rsidR="00FB6538" w:rsidRPr="004E70CE">
        <w:t>fall</w:t>
      </w:r>
      <w:r w:rsidR="00635A35">
        <w:t>en</w:t>
      </w:r>
      <w:r w:rsidR="00FB6538" w:rsidRPr="004E70CE">
        <w:t xml:space="preserve"> by 10% in 2023 due to oil fields in the Carnarvon Basin approaching their end of life.</w:t>
      </w:r>
      <w:r w:rsidR="00FB6538" w:rsidRPr="004E70CE">
        <w:rPr>
          <w:rStyle w:val="FootnoteReference"/>
        </w:rPr>
        <w:footnoteReference w:id="89"/>
      </w:r>
      <w:r w:rsidR="00FB6538" w:rsidRPr="004E70CE">
        <w:t xml:space="preserve"> </w:t>
      </w:r>
      <w:r w:rsidR="0015763D" w:rsidRPr="004E70CE">
        <w:t xml:space="preserve"> Analysis of profits suggests oil and gas </w:t>
      </w:r>
      <w:r w:rsidR="0015763D" w:rsidRPr="004E70CE">
        <w:lastRenderedPageBreak/>
        <w:t xml:space="preserve">sectors are at lower risks of investment leakage compared to other </w:t>
      </w:r>
      <w:r w:rsidR="008F40EE" w:rsidRPr="004E70CE">
        <w:t>sectors, particularly manufacturing industries.</w:t>
      </w:r>
    </w:p>
    <w:p w14:paraId="0E183C13" w14:textId="77777777" w:rsidR="00845D80" w:rsidRPr="004E70CE" w:rsidRDefault="004A7145" w:rsidP="0095651D">
      <w:r w:rsidRPr="004E70CE">
        <w:t>Based on the Review’s analysis, existing policies currently appear adequate to address leakage risks</w:t>
      </w:r>
    </w:p>
    <w:p w14:paraId="52C55C20" w14:textId="0D08BA8B" w:rsidR="00186937" w:rsidRPr="004E70CE" w:rsidRDefault="00186937" w:rsidP="0095651D">
      <w:r w:rsidRPr="004E70CE">
        <w:rPr>
          <w:b/>
          <w:bCs/>
        </w:rPr>
        <w:t>IRON ORE</w:t>
      </w:r>
    </w:p>
    <w:p w14:paraId="786C0C71" w14:textId="77777777" w:rsidR="00E265E7" w:rsidRPr="004E70CE" w:rsidRDefault="00186937" w:rsidP="0095651D">
      <w:r w:rsidRPr="004E70CE">
        <w:t>Australia is the world’s largest producer and exporter of iron ore.</w:t>
      </w:r>
      <w:r w:rsidRPr="004E70CE">
        <w:rPr>
          <w:rStyle w:val="FootnoteReference"/>
        </w:rPr>
        <w:footnoteReference w:id="90"/>
      </w:r>
      <w:r w:rsidRPr="004E70CE">
        <w:t xml:space="preserve"> Iron ore is primarily export-exposed</w:t>
      </w:r>
      <w:r w:rsidR="00E907E2" w:rsidRPr="004E70CE">
        <w:t xml:space="preserve">. Virtually all production is exported, </w:t>
      </w:r>
      <w:r w:rsidRPr="004E70CE">
        <w:t>though estimates of export trade sensitivity have not been established</w:t>
      </w:r>
      <w:r w:rsidRPr="004E70CE" w:rsidDel="00547504">
        <w:t>.</w:t>
      </w:r>
    </w:p>
    <w:p w14:paraId="64263C91" w14:textId="417C53AC" w:rsidR="00186937" w:rsidRPr="004E70CE" w:rsidRDefault="00186937" w:rsidP="0095651D">
      <w:r w:rsidRPr="004E70CE">
        <w:t xml:space="preserve">Carbon costs in 2030 are estimated to be </w:t>
      </w:r>
      <w:r w:rsidR="00B703F4" w:rsidRPr="004E70CE">
        <w:t>between 0-1</w:t>
      </w:r>
      <w:r w:rsidRPr="004E70CE">
        <w:t>% of prices</w:t>
      </w:r>
      <w:r w:rsidR="00547504" w:rsidRPr="004E70CE">
        <w:t>, but trade leakage is not estimated given uncertainty over the trade sensitivity</w:t>
      </w:r>
      <w:r w:rsidRPr="004E70CE">
        <w:t xml:space="preserve">. </w:t>
      </w:r>
      <w:r w:rsidR="00C05464" w:rsidRPr="004E70CE">
        <w:t xml:space="preserve">Analysis of profits finds that iron ore is among the group of sectors least at risk of investment leakage, out of all </w:t>
      </w:r>
      <w:r w:rsidR="00E265E7" w:rsidRPr="004E70CE">
        <w:t>industries assessed</w:t>
      </w:r>
      <w:r w:rsidR="00860851" w:rsidRPr="004E70CE">
        <w:t xml:space="preserve"> (see </w:t>
      </w:r>
      <w:r w:rsidR="005E6889" w:rsidRPr="004E70CE">
        <w:rPr>
          <w:b/>
          <w:bCs/>
        </w:rPr>
        <w:t>S</w:t>
      </w:r>
      <w:r w:rsidR="00860851" w:rsidRPr="004E70CE">
        <w:rPr>
          <w:b/>
          <w:bCs/>
        </w:rPr>
        <w:t>ection 2.5</w:t>
      </w:r>
      <w:r w:rsidR="00860851" w:rsidRPr="004E70CE">
        <w:t>)</w:t>
      </w:r>
      <w:r w:rsidR="00E265E7" w:rsidRPr="004E70CE">
        <w:t xml:space="preserve">. </w:t>
      </w:r>
    </w:p>
    <w:p w14:paraId="29EE67B6" w14:textId="77777777" w:rsidR="00E265E7" w:rsidRPr="004E70CE" w:rsidRDefault="004A7145" w:rsidP="0095651D">
      <w:r w:rsidRPr="004E70CE">
        <w:t>Based on</w:t>
      </w:r>
      <w:r w:rsidR="00E265E7" w:rsidRPr="004E70CE">
        <w:t xml:space="preserve"> the </w:t>
      </w:r>
      <w:r w:rsidRPr="004E70CE">
        <w:t>Review’s analysis,</w:t>
      </w:r>
      <w:r w:rsidR="00E265E7" w:rsidRPr="004E70CE">
        <w:t xml:space="preserve"> existing policies </w:t>
      </w:r>
      <w:r w:rsidRPr="004E70CE">
        <w:t xml:space="preserve">currently appear </w:t>
      </w:r>
      <w:r w:rsidR="00E265E7" w:rsidRPr="004E70CE">
        <w:t>adequate to address leakage risks.</w:t>
      </w:r>
    </w:p>
    <w:p w14:paraId="3A0D6D36" w14:textId="77777777" w:rsidR="00A973F7" w:rsidRPr="004E70CE" w:rsidRDefault="6B26C307" w:rsidP="0095651D">
      <w:pPr>
        <w:rPr>
          <w:b/>
          <w:bCs/>
        </w:rPr>
      </w:pPr>
      <w:r w:rsidRPr="004E70CE">
        <w:rPr>
          <w:b/>
          <w:bCs/>
        </w:rPr>
        <w:t>NICKEL</w:t>
      </w:r>
      <w:r w:rsidR="00A973F7" w:rsidRPr="004E70CE">
        <w:rPr>
          <w:rStyle w:val="FootnoteReference"/>
          <w:b/>
          <w:bCs/>
        </w:rPr>
        <w:footnoteReference w:id="91"/>
      </w:r>
    </w:p>
    <w:p w14:paraId="30237E05" w14:textId="668DECDF" w:rsidR="00BE3378" w:rsidRPr="004E70CE" w:rsidRDefault="6B26C307" w:rsidP="0095651D">
      <w:r w:rsidRPr="004E70CE">
        <w:t>Nickel is used in the production of stainless steel, and increasingly in EV batteries and other clean energy technologies</w:t>
      </w:r>
      <w:r w:rsidR="00860851" w:rsidRPr="004E70CE">
        <w:t>.</w:t>
      </w:r>
      <w:r w:rsidR="00CE1F7F" w:rsidRPr="004E70CE">
        <w:t xml:space="preserve"> </w:t>
      </w:r>
      <w:r w:rsidR="00860851" w:rsidRPr="004E70CE">
        <w:t>It</w:t>
      </w:r>
      <w:r w:rsidR="00CE1F7F" w:rsidRPr="004E70CE" w:rsidDel="00860851">
        <w:t xml:space="preserve"> </w:t>
      </w:r>
      <w:r w:rsidR="00CE1F7F" w:rsidRPr="004E70CE">
        <w:t>is included on the Critical Minerals List</w:t>
      </w:r>
      <w:r w:rsidR="00860851" w:rsidRPr="004E70CE">
        <w:t xml:space="preserve"> ba</w:t>
      </w:r>
      <w:r w:rsidR="00002E47" w:rsidRPr="004E70CE">
        <w:t xml:space="preserve">sed </w:t>
      </w:r>
      <w:r w:rsidR="00040BE2" w:rsidRPr="004E70CE">
        <w:t xml:space="preserve">on </w:t>
      </w:r>
      <w:r w:rsidR="00002E47" w:rsidRPr="004E70CE">
        <w:t>its use in technologies of economic and security importance, Australia’s geological resources and vulnerability to supply chain disruptions</w:t>
      </w:r>
      <w:r w:rsidRPr="004E70CE">
        <w:t>.</w:t>
      </w:r>
      <w:r w:rsidR="00585D31" w:rsidRPr="004E70CE">
        <w:t xml:space="preserve"> Analysis focuses on refined nickel products rather than nickel ore which is cover</w:t>
      </w:r>
      <w:r w:rsidR="00FC36B6" w:rsidRPr="004E70CE">
        <w:t>ed</w:t>
      </w:r>
      <w:r w:rsidR="00585D31" w:rsidRPr="004E70CE">
        <w:t xml:space="preserve"> by the run-of-mine metal ores </w:t>
      </w:r>
      <w:r w:rsidR="00AA1E77" w:rsidRPr="004E70CE">
        <w:t xml:space="preserve">Safeguard Mechanism </w:t>
      </w:r>
      <w:r w:rsidR="00585D31" w:rsidRPr="004E70CE">
        <w:t>production variable.</w:t>
      </w:r>
    </w:p>
    <w:p w14:paraId="5CA651A4" w14:textId="23D2B6C4" w:rsidR="00BE3378" w:rsidRPr="004E70CE" w:rsidRDefault="6B26C307" w:rsidP="0095651D">
      <w:r w:rsidRPr="004E70CE">
        <w:t xml:space="preserve">Australia </w:t>
      </w:r>
      <w:r w:rsidR="00D66D1D" w:rsidRPr="004E70CE">
        <w:t>has been</w:t>
      </w:r>
      <w:r w:rsidRPr="004E70CE">
        <w:t xml:space="preserve"> a major global producer of nickel and</w:t>
      </w:r>
      <w:r w:rsidR="00D66D1D" w:rsidRPr="004E70CE">
        <w:t xml:space="preserve"> was</w:t>
      </w:r>
      <w:r w:rsidRPr="004E70CE">
        <w:t xml:space="preserve"> the third largest exporter in 2022.</w:t>
      </w:r>
      <w:r w:rsidR="00A973F7" w:rsidRPr="004E70CE">
        <w:rPr>
          <w:rStyle w:val="FootnoteReference"/>
        </w:rPr>
        <w:footnoteReference w:id="92"/>
      </w:r>
      <w:r w:rsidRPr="004E70CE">
        <w:t xml:space="preserve">  </w:t>
      </w:r>
      <w:r w:rsidR="00856F70">
        <w:t>Exports of refined nickel products relative to Safeguard production are b</w:t>
      </w:r>
      <w:r w:rsidR="00FB719E" w:rsidRPr="004E70CE">
        <w:t xml:space="preserve">etween </w:t>
      </w:r>
      <w:r w:rsidR="00856F70">
        <w:t>0.2-0.4</w:t>
      </w:r>
      <w:r w:rsidRPr="004E70CE">
        <w:t xml:space="preserve">, </w:t>
      </w:r>
      <w:r w:rsidR="0F34C6AA" w:rsidRPr="004E70CE">
        <w:t xml:space="preserve">but an estimate of export </w:t>
      </w:r>
      <w:r w:rsidRPr="004E70CE">
        <w:t>sensitivity</w:t>
      </w:r>
      <w:r w:rsidR="0F34C6AA" w:rsidRPr="004E70CE">
        <w:t xml:space="preserve"> has not yet been established</w:t>
      </w:r>
      <w:r w:rsidRPr="004E70CE">
        <w:t xml:space="preserve">. </w:t>
      </w:r>
    </w:p>
    <w:p w14:paraId="7396F9E2" w14:textId="19928D90" w:rsidR="00992F07" w:rsidRPr="004E70CE" w:rsidRDefault="6B26C307" w:rsidP="0095651D">
      <w:r w:rsidRPr="004E70CE">
        <w:t xml:space="preserve">Carbon costs are estimated to be </w:t>
      </w:r>
      <w:r w:rsidR="007E7D5B" w:rsidRPr="004E70CE">
        <w:t>between 1-3</w:t>
      </w:r>
      <w:r w:rsidRPr="004E70CE">
        <w:t>% of prices</w:t>
      </w:r>
      <w:r w:rsidR="56027608" w:rsidRPr="004E70CE">
        <w:t>. D</w:t>
      </w:r>
      <w:r w:rsidRPr="004E70CE">
        <w:t xml:space="preserve">eclines in production </w:t>
      </w:r>
      <w:r w:rsidR="56027608" w:rsidRPr="004E70CE">
        <w:t>have not been</w:t>
      </w:r>
      <w:r w:rsidRPr="004E70CE">
        <w:t xml:space="preserve"> estimated </w:t>
      </w:r>
      <w:r w:rsidR="2BF2E546" w:rsidRPr="004E70CE">
        <w:t xml:space="preserve">due </w:t>
      </w:r>
      <w:r w:rsidRPr="004E70CE">
        <w:t xml:space="preserve">to </w:t>
      </w:r>
      <w:r w:rsidR="56027608" w:rsidRPr="004E70CE">
        <w:t>uncertainty about the trade</w:t>
      </w:r>
      <w:r w:rsidR="00641C7D" w:rsidRPr="004E70CE">
        <w:t>-price</w:t>
      </w:r>
      <w:r w:rsidR="56027608" w:rsidRPr="004E70CE">
        <w:t xml:space="preserve"> sensitivity.</w:t>
      </w:r>
      <w:r w:rsidRPr="004E70CE">
        <w:t xml:space="preserve"> Excess international nickel supply and lower prices</w:t>
      </w:r>
      <w:r w:rsidR="0DA7D892" w:rsidRPr="004E70CE">
        <w:t xml:space="preserve"> </w:t>
      </w:r>
      <w:r w:rsidRPr="004E70CE">
        <w:t xml:space="preserve">are more significant </w:t>
      </w:r>
      <w:r w:rsidR="5A66BBB3" w:rsidRPr="004E70CE">
        <w:t xml:space="preserve">risks for </w:t>
      </w:r>
      <w:r w:rsidRPr="004E70CE">
        <w:t>Australian production.</w:t>
      </w:r>
      <w:r w:rsidR="00E239DC" w:rsidRPr="004E70CE">
        <w:rPr>
          <w:rStyle w:val="FootnoteReference"/>
        </w:rPr>
        <w:footnoteReference w:id="93"/>
      </w:r>
      <w:r w:rsidR="00700D82" w:rsidRPr="004E70CE">
        <w:t xml:space="preserve"> Analysis of profits finds nickel to be in the group of </w:t>
      </w:r>
      <w:r w:rsidR="009F4B9C" w:rsidRPr="004E70CE">
        <w:t xml:space="preserve">industries with </w:t>
      </w:r>
      <w:r w:rsidR="00545131" w:rsidRPr="004E70CE">
        <w:t xml:space="preserve">the </w:t>
      </w:r>
      <w:r w:rsidR="00E2362E" w:rsidRPr="004E70CE">
        <w:t>low</w:t>
      </w:r>
      <w:r w:rsidR="00545131" w:rsidRPr="004E70CE">
        <w:t>est</w:t>
      </w:r>
      <w:r w:rsidR="00E2362E" w:rsidRPr="004E70CE">
        <w:t xml:space="preserve"> </w:t>
      </w:r>
      <w:r w:rsidR="009F4B9C" w:rsidRPr="004E70CE">
        <w:t xml:space="preserve">level of </w:t>
      </w:r>
      <w:r w:rsidR="00E2362E" w:rsidRPr="004E70CE">
        <w:t xml:space="preserve">investment leakage risk compared to other industries, particularly manufacturing. </w:t>
      </w:r>
    </w:p>
    <w:p w14:paraId="01FD563B" w14:textId="77777777" w:rsidR="00A973F7" w:rsidRPr="004E70CE" w:rsidRDefault="004A7145" w:rsidP="0095651D">
      <w:r w:rsidRPr="004E70CE">
        <w:t>Based on the Review’s analysis, existing policies currently appear adequate to address leakage risks.</w:t>
      </w:r>
    </w:p>
    <w:p w14:paraId="051A62CE" w14:textId="77777777" w:rsidR="007616B9" w:rsidRDefault="007616B9">
      <w:pPr>
        <w:spacing w:after="0" w:line="240" w:lineRule="auto"/>
        <w:rPr>
          <w:b/>
          <w:bCs/>
        </w:rPr>
      </w:pPr>
      <w:r>
        <w:rPr>
          <w:b/>
          <w:bCs/>
        </w:rPr>
        <w:br w:type="page"/>
      </w:r>
    </w:p>
    <w:p w14:paraId="6EE1C41D" w14:textId="2E97801B" w:rsidR="009753A0" w:rsidRPr="004E70CE" w:rsidRDefault="009753A0" w:rsidP="0095651D">
      <w:r w:rsidRPr="004E70CE">
        <w:rPr>
          <w:b/>
          <w:bCs/>
        </w:rPr>
        <w:lastRenderedPageBreak/>
        <w:t>BASIC NON-FERROUS METALS</w:t>
      </w:r>
      <w:r w:rsidRPr="004E70CE">
        <w:t xml:space="preserve"> </w:t>
      </w:r>
    </w:p>
    <w:p w14:paraId="662D6C98" w14:textId="3D6AE473" w:rsidR="00E148DC" w:rsidRPr="004E70CE" w:rsidRDefault="5CA1BE7B" w:rsidP="0095651D">
      <w:r w:rsidRPr="004E70CE">
        <w:t xml:space="preserve">This category includes lead bullion and refined lead, zinc in fume and copper anode. These </w:t>
      </w:r>
      <w:r w:rsidR="2A69888C" w:rsidRPr="004E70CE">
        <w:t>commodities</w:t>
      </w:r>
      <w:r w:rsidRPr="004E70CE">
        <w:t xml:space="preserve"> are primarily export</w:t>
      </w:r>
      <w:r w:rsidR="00641C7D" w:rsidRPr="004E70CE">
        <w:t>-</w:t>
      </w:r>
      <w:r w:rsidRPr="004E70CE">
        <w:t xml:space="preserve">competing, with </w:t>
      </w:r>
      <w:r w:rsidR="00181365">
        <w:t>exports relative to Safeguard production between 0.4-0.6</w:t>
      </w:r>
      <w:r w:rsidR="00983C93">
        <w:t>.</w:t>
      </w:r>
      <w:r w:rsidR="00181365">
        <w:t xml:space="preserve"> </w:t>
      </w:r>
      <w:r w:rsidR="00983C93">
        <w:t>I</w:t>
      </w:r>
      <w:r w:rsidRPr="004E70CE">
        <w:t>mports</w:t>
      </w:r>
      <w:r w:rsidR="001244FE" w:rsidRPr="004E70CE">
        <w:t xml:space="preserve"> </w:t>
      </w:r>
      <w:r w:rsidR="00983C93">
        <w:t>relative to</w:t>
      </w:r>
      <w:r w:rsidR="001244FE" w:rsidRPr="004E70CE">
        <w:t xml:space="preserve"> </w:t>
      </w:r>
      <w:r w:rsidR="009561FA">
        <w:t xml:space="preserve">Safeguard </w:t>
      </w:r>
      <w:r w:rsidR="001244FE" w:rsidRPr="004E70CE">
        <w:t>production</w:t>
      </w:r>
      <w:r w:rsidR="00983C93">
        <w:t xml:space="preserve"> are between 0-0.2</w:t>
      </w:r>
      <w:r w:rsidRPr="004E70CE">
        <w:t>. Australia was the largest exporter of zinc and fourth largest exporter of copper in 2022.</w:t>
      </w:r>
      <w:r w:rsidR="009753A0" w:rsidRPr="004E70CE">
        <w:rPr>
          <w:rStyle w:val="FootnoteReference"/>
        </w:rPr>
        <w:footnoteReference w:id="94"/>
      </w:r>
      <w:r w:rsidRPr="004E70CE">
        <w:t xml:space="preserve"> Copper and zinc are included in the Strategic Materials List</w:t>
      </w:r>
      <w:r w:rsidR="00E148DC" w:rsidRPr="004E70CE">
        <w:t>, on the basis of their importance to technologies critical to the net zero transition, Australia’s resource potential, and demand from strategic international partners</w:t>
      </w:r>
      <w:r w:rsidRPr="004E70CE">
        <w:t xml:space="preserve">. </w:t>
      </w:r>
    </w:p>
    <w:p w14:paraId="77ABEEE3" w14:textId="27A5C19D" w:rsidR="0067098C" w:rsidRPr="004E70CE" w:rsidRDefault="4F7F4CA6" w:rsidP="0095651D">
      <w:r w:rsidRPr="004E70CE">
        <w:t xml:space="preserve">Export </w:t>
      </w:r>
      <w:r w:rsidR="4420C4E0" w:rsidRPr="004E70CE">
        <w:t>sensitivity to price changes could not be estimated.</w:t>
      </w:r>
      <w:r w:rsidRPr="004E70CE">
        <w:t xml:space="preserve"> </w:t>
      </w:r>
      <w:r w:rsidR="5CA1BE7B" w:rsidRPr="004E70CE">
        <w:t xml:space="preserve">Carbon costs in 2030 are estimated to be </w:t>
      </w:r>
      <w:r w:rsidR="0035541D" w:rsidRPr="004E70CE">
        <w:t>between 0-</w:t>
      </w:r>
      <w:r w:rsidRPr="004E70CE">
        <w:t>1% of prices</w:t>
      </w:r>
      <w:r w:rsidR="02A53F20" w:rsidRPr="004E70CE">
        <w:t>. P</w:t>
      </w:r>
      <w:r w:rsidR="53673AF3" w:rsidRPr="004E70CE">
        <w:t xml:space="preserve">roduction declines from export leakage </w:t>
      </w:r>
      <w:r w:rsidR="02A53F20" w:rsidRPr="004E70CE">
        <w:t xml:space="preserve">could not be established due to uncertainty about trade-price sensitivity. </w:t>
      </w:r>
      <w:r w:rsidR="00FE7FDB" w:rsidRPr="004E70CE">
        <w:t>Based on profit analysis, b</w:t>
      </w:r>
      <w:r w:rsidR="0067098C" w:rsidRPr="004E70CE">
        <w:t xml:space="preserve">asic non-ferrous metals were </w:t>
      </w:r>
      <w:r w:rsidR="00FE7FDB" w:rsidRPr="004E70CE">
        <w:t>among the group of industries with the third</w:t>
      </w:r>
      <w:r w:rsidR="00641C7D" w:rsidRPr="004E70CE">
        <w:t xml:space="preserve"> </w:t>
      </w:r>
      <w:r w:rsidR="00FE7FDB" w:rsidRPr="004E70CE">
        <w:t xml:space="preserve">highest level of investment leakage risk (see </w:t>
      </w:r>
      <w:r w:rsidR="00094F82" w:rsidRPr="004E70CE">
        <w:rPr>
          <w:b/>
          <w:bCs/>
        </w:rPr>
        <w:t>S</w:t>
      </w:r>
      <w:r w:rsidR="00FE7FDB" w:rsidRPr="004E70CE">
        <w:rPr>
          <w:b/>
          <w:bCs/>
        </w:rPr>
        <w:t>ection 2.5</w:t>
      </w:r>
      <w:r w:rsidR="00FE7FDB" w:rsidRPr="004E70CE">
        <w:t>).</w:t>
      </w:r>
    </w:p>
    <w:p w14:paraId="19F87B58" w14:textId="77777777" w:rsidR="009753A0" w:rsidRPr="004E70CE" w:rsidRDefault="53673AF3" w:rsidP="0095651D">
      <w:r w:rsidRPr="004E70CE">
        <w:t>Industry f</w:t>
      </w:r>
      <w:r w:rsidR="5CA1BE7B" w:rsidRPr="004E70CE">
        <w:t xml:space="preserve">eedback highlighted </w:t>
      </w:r>
      <w:r w:rsidRPr="004E70CE">
        <w:t>several</w:t>
      </w:r>
      <w:r w:rsidR="5CA1BE7B" w:rsidRPr="004E70CE">
        <w:t xml:space="preserve"> factors beyond climate policy that</w:t>
      </w:r>
      <w:r w:rsidR="511F2D2F" w:rsidRPr="004E70CE">
        <w:t xml:space="preserve"> are</w:t>
      </w:r>
      <w:r w:rsidR="5CA1BE7B" w:rsidRPr="004E70CE">
        <w:t xml:space="preserve"> </w:t>
      </w:r>
      <w:r w:rsidRPr="004E70CE">
        <w:t>i</w:t>
      </w:r>
      <w:r w:rsidR="5CA1BE7B" w:rsidRPr="004E70CE">
        <w:t>mportan</w:t>
      </w:r>
      <w:r w:rsidRPr="004E70CE">
        <w:t>t</w:t>
      </w:r>
      <w:r w:rsidR="5CA1BE7B" w:rsidRPr="004E70CE">
        <w:t xml:space="preserve"> for competitiveness, including: fiscal settings; permitting processes; enabling infrastructure; a strong supporting services sector; and a skilled workforce. </w:t>
      </w:r>
    </w:p>
    <w:p w14:paraId="6CA0A2A0" w14:textId="77777777" w:rsidR="00710EE9" w:rsidRPr="004E70CE" w:rsidRDefault="00A50C6C" w:rsidP="0095651D">
      <w:r w:rsidRPr="004E70CE">
        <w:t xml:space="preserve">On balance, </w:t>
      </w:r>
      <w:r w:rsidR="004A7145" w:rsidRPr="004E70CE">
        <w:t xml:space="preserve">based on </w:t>
      </w:r>
      <w:r w:rsidRPr="004E70CE">
        <w:t xml:space="preserve">the </w:t>
      </w:r>
      <w:r w:rsidR="004A7145" w:rsidRPr="004E70CE">
        <w:t>Review’s analysis,</w:t>
      </w:r>
      <w:r w:rsidR="00765C25" w:rsidRPr="004E70CE">
        <w:t xml:space="preserve"> existing policies </w:t>
      </w:r>
      <w:r w:rsidR="004A7145" w:rsidRPr="004E70CE">
        <w:t xml:space="preserve">currently appear </w:t>
      </w:r>
      <w:r w:rsidR="00765C25" w:rsidRPr="004E70CE">
        <w:t>adequate to address leaka</w:t>
      </w:r>
      <w:r w:rsidR="00311166" w:rsidRPr="004E70CE">
        <w:t>ge risks.</w:t>
      </w:r>
    </w:p>
    <w:p w14:paraId="698BD526" w14:textId="77777777" w:rsidR="00345D4E" w:rsidRPr="004E70CE" w:rsidRDefault="00345D4E" w:rsidP="39005A84">
      <w:pPr>
        <w:pStyle w:val="Heading2"/>
        <w:rPr>
          <w:color w:val="197C7D" w:themeColor="accent1"/>
        </w:rPr>
      </w:pPr>
      <w:bookmarkStart w:id="19" w:name="_Toc173997662"/>
      <w:r w:rsidRPr="004E70CE">
        <w:lastRenderedPageBreak/>
        <w:t>Border carbon adjustment</w:t>
      </w:r>
      <w:bookmarkEnd w:id="19"/>
    </w:p>
    <w:p w14:paraId="347D0AEA" w14:textId="77777777" w:rsidR="00345D4E" w:rsidRPr="004E70CE" w:rsidRDefault="00233836" w:rsidP="00BB51BE">
      <w:pPr>
        <w:pStyle w:val="Heading3"/>
        <w:spacing w:line="276" w:lineRule="auto"/>
      </w:pPr>
      <w:bookmarkStart w:id="20" w:name="_Toc173997663"/>
      <w:r w:rsidRPr="004E70CE">
        <w:t>Principles and objectives</w:t>
      </w:r>
      <w:bookmarkEnd w:id="20"/>
      <w:r w:rsidR="00345D4E" w:rsidRPr="004E70CE">
        <w:t xml:space="preserve"> </w:t>
      </w:r>
    </w:p>
    <w:p w14:paraId="3C18935E" w14:textId="77777777" w:rsidR="00427B6A" w:rsidRPr="004E70CE" w:rsidRDefault="00427B6A" w:rsidP="00BB51BE">
      <w:pPr>
        <w:pStyle w:val="Calloutbox"/>
        <w:pBdr>
          <w:bottom w:val="single" w:sz="4" w:space="0" w:color="B8DCD7"/>
        </w:pBdr>
        <w:spacing w:after="200" w:line="276" w:lineRule="auto"/>
        <w:rPr>
          <w:b/>
          <w:bCs/>
        </w:rPr>
      </w:pPr>
      <w:r w:rsidRPr="004E70CE">
        <w:rPr>
          <w:b/>
          <w:bCs/>
        </w:rPr>
        <w:t>Preliminary finding</w:t>
      </w:r>
      <w:r w:rsidR="00FC53D1" w:rsidRPr="004E70CE">
        <w:rPr>
          <w:b/>
          <w:bCs/>
        </w:rPr>
        <w:t>s</w:t>
      </w:r>
      <w:r w:rsidR="00074A06" w:rsidRPr="004E70CE">
        <w:rPr>
          <w:b/>
          <w:bCs/>
        </w:rPr>
        <w:t xml:space="preserve"> for consultation</w:t>
      </w:r>
    </w:p>
    <w:p w14:paraId="15DA4741" w14:textId="48CAE33F" w:rsidR="00B71740" w:rsidRPr="004E70CE" w:rsidRDefault="0098632C" w:rsidP="00BB51BE">
      <w:pPr>
        <w:pStyle w:val="Calloutbox"/>
        <w:pBdr>
          <w:bottom w:val="single" w:sz="4" w:space="0" w:color="B8DCD7"/>
        </w:pBdr>
        <w:spacing w:after="200" w:line="276" w:lineRule="auto"/>
      </w:pPr>
      <w:r w:rsidRPr="004E70CE">
        <w:t>A border carbon adjustment applied to imports c</w:t>
      </w:r>
      <w:r w:rsidR="00D66D1D" w:rsidRPr="004E70CE">
        <w:t>ould</w:t>
      </w:r>
      <w:r w:rsidRPr="004E70CE">
        <w:t xml:space="preserve"> be an appropriate policy measure for selected Safeguard</w:t>
      </w:r>
      <w:r w:rsidR="000E7B40">
        <w:t>-</w:t>
      </w:r>
      <w:r w:rsidRPr="004E70CE">
        <w:t>covered commodities with high carbon leakage risk from imports. It could provide a robust underpinning of the Safeguard Mechanism for commodities where carbon leakage risk is material, and efficiently support industrial decarbonisation.</w:t>
      </w:r>
    </w:p>
    <w:p w14:paraId="71EC54BD" w14:textId="77777777" w:rsidR="0098632C" w:rsidRPr="004E70CE" w:rsidRDefault="0098632C" w:rsidP="00BB51BE">
      <w:pPr>
        <w:pStyle w:val="Calloutbox"/>
        <w:pBdr>
          <w:bottom w:val="single" w:sz="4" w:space="0" w:color="B8DCD7"/>
        </w:pBdr>
        <w:spacing w:after="200" w:line="276" w:lineRule="auto"/>
      </w:pPr>
      <w:r w:rsidRPr="004E70CE">
        <w:t xml:space="preserve">Implementation </w:t>
      </w:r>
      <w:r w:rsidR="00746249" w:rsidRPr="004E70CE">
        <w:t xml:space="preserve">could </w:t>
      </w:r>
      <w:r w:rsidRPr="004E70CE">
        <w:t xml:space="preserve">be phased and could involve </w:t>
      </w:r>
      <w:r w:rsidR="003E0132" w:rsidRPr="004E70CE">
        <w:t xml:space="preserve">the </w:t>
      </w:r>
      <w:r w:rsidR="00074A06" w:rsidRPr="004E70CE">
        <w:t xml:space="preserve">removal or </w:t>
      </w:r>
      <w:r w:rsidR="003E0132" w:rsidRPr="004E70CE">
        <w:t xml:space="preserve">phase out </w:t>
      </w:r>
      <w:r w:rsidRPr="004E70CE">
        <w:t>of TEBA provisions for commodities where a border carbon adjustment is introduced.</w:t>
      </w:r>
    </w:p>
    <w:p w14:paraId="127BC57B" w14:textId="71381801" w:rsidR="007B11A2" w:rsidRPr="004E70CE" w:rsidRDefault="00194049" w:rsidP="00BB51BE">
      <w:pPr>
        <w:pStyle w:val="Calloutbox"/>
        <w:pBdr>
          <w:bottom w:val="single" w:sz="4" w:space="0" w:color="B8DCD7"/>
        </w:pBdr>
        <w:spacing w:after="200" w:line="276" w:lineRule="auto"/>
      </w:pPr>
      <w:r w:rsidRPr="004E70CE">
        <w:t>A b</w:t>
      </w:r>
      <w:r w:rsidR="018418B6" w:rsidRPr="004E70CE">
        <w:t>order carbon adjustment that provide</w:t>
      </w:r>
      <w:r w:rsidR="00D15162">
        <w:t>s</w:t>
      </w:r>
      <w:r w:rsidR="018418B6" w:rsidRPr="004E70CE">
        <w:t xml:space="preserve"> rebates for export</w:t>
      </w:r>
      <w:r w:rsidR="32D820DF" w:rsidRPr="004E70CE">
        <w:t>s</w:t>
      </w:r>
      <w:r w:rsidR="018418B6" w:rsidRPr="004E70CE">
        <w:t xml:space="preserve"> would </w:t>
      </w:r>
      <w:r w:rsidRPr="004E70CE">
        <w:t xml:space="preserve">be inconsistent with </w:t>
      </w:r>
      <w:r w:rsidR="007B11A2" w:rsidRPr="004E70CE">
        <w:t>Australia’s emissions reduction targets and could</w:t>
      </w:r>
      <w:r w:rsidR="6532BFB5" w:rsidRPr="004E70CE">
        <w:t xml:space="preserve"> </w:t>
      </w:r>
      <w:r w:rsidR="7C57FCE0" w:rsidRPr="004E70CE">
        <w:t xml:space="preserve">raise </w:t>
      </w:r>
      <w:r w:rsidR="00E44AC8" w:rsidRPr="004E70CE">
        <w:t>considerable</w:t>
      </w:r>
      <w:r w:rsidR="7C57FCE0" w:rsidRPr="004E70CE">
        <w:t xml:space="preserve"> international trade law concerns. </w:t>
      </w:r>
      <w:r w:rsidR="007B11A2" w:rsidRPr="004E70CE">
        <w:t xml:space="preserve">For these reasons a border carbon adjustment for exports is unlikely to be appropriate for Australia or achieve the </w:t>
      </w:r>
      <w:r w:rsidR="00907034" w:rsidRPr="004E70CE">
        <w:t xml:space="preserve">relevant policy </w:t>
      </w:r>
      <w:r w:rsidR="007B11A2" w:rsidRPr="004E70CE">
        <w:t xml:space="preserve">objectives. </w:t>
      </w:r>
      <w:r w:rsidR="003155F6" w:rsidRPr="004E70CE">
        <w:t>Well</w:t>
      </w:r>
      <w:r w:rsidR="00900F9D" w:rsidRPr="004E70CE">
        <w:t>-</w:t>
      </w:r>
      <w:r w:rsidR="003155F6" w:rsidRPr="004E70CE">
        <w:t>designed b</w:t>
      </w:r>
      <w:r w:rsidR="018418B6" w:rsidRPr="004E70CE">
        <w:t>order carbon adjustment</w:t>
      </w:r>
      <w:r w:rsidR="4EE97F77" w:rsidRPr="004E70CE">
        <w:t>s in other countries</w:t>
      </w:r>
      <w:r w:rsidR="5F1A253C" w:rsidRPr="004E70CE">
        <w:t xml:space="preserve"> would provide market premiums</w:t>
      </w:r>
      <w:r w:rsidR="018418B6" w:rsidRPr="004E70CE">
        <w:t xml:space="preserve"> </w:t>
      </w:r>
      <w:r w:rsidR="098928E9" w:rsidRPr="004E70CE">
        <w:t>to Australian low</w:t>
      </w:r>
      <w:r w:rsidR="00CB4230" w:rsidRPr="004E70CE">
        <w:t xml:space="preserve"> </w:t>
      </w:r>
      <w:r w:rsidR="098928E9" w:rsidRPr="004E70CE">
        <w:t xml:space="preserve">emissions export commodities. </w:t>
      </w:r>
    </w:p>
    <w:p w14:paraId="3153CC09" w14:textId="597376AB" w:rsidR="00A26D59" w:rsidRPr="004E70CE" w:rsidRDefault="018418B6" w:rsidP="00BB51BE">
      <w:pPr>
        <w:pStyle w:val="Calloutbox"/>
        <w:pBdr>
          <w:bottom w:val="single" w:sz="4" w:space="0" w:color="B8DCD7"/>
        </w:pBdr>
        <w:spacing w:after="200" w:line="276" w:lineRule="auto"/>
      </w:pPr>
      <w:r w:rsidRPr="004E70CE">
        <w:t>A</w:t>
      </w:r>
      <w:r w:rsidR="00746249" w:rsidRPr="004E70CE">
        <w:t>ny</w:t>
      </w:r>
      <w:r w:rsidRPr="004E70CE">
        <w:t xml:space="preserve"> border carbon adjustment would need to mirror domestic emissions policy settings to imports to provide a level playing field and be designed to minimi</w:t>
      </w:r>
      <w:r w:rsidR="009B2F8A" w:rsidRPr="004E70CE">
        <w:t>s</w:t>
      </w:r>
      <w:r w:rsidRPr="004E70CE">
        <w:t xml:space="preserve">e administrative burdens. It </w:t>
      </w:r>
      <w:r w:rsidR="4C33692B" w:rsidRPr="004E70CE">
        <w:t xml:space="preserve">would need to </w:t>
      </w:r>
      <w:r w:rsidRPr="004E70CE">
        <w:t>be consistent with Australia’s longstanding support of an open, rules-based trading system</w:t>
      </w:r>
      <w:r w:rsidR="00F131A5">
        <w:t xml:space="preserve"> and its international trade law obligations</w:t>
      </w:r>
      <w:r w:rsidRPr="004E70CE">
        <w:t>. Australia could advance relevant work with plurilateral initiatives and support trade partner countries with implementation.</w:t>
      </w:r>
      <w:r w:rsidR="0092080D" w:rsidRPr="004E70CE">
        <w:rPr>
          <w:rStyle w:val="eop"/>
          <w:rFonts w:cs="Calibri"/>
          <w:color w:val="000000"/>
        </w:rPr>
        <w:t> </w:t>
      </w:r>
    </w:p>
    <w:p w14:paraId="76C752A1" w14:textId="4C708E6E" w:rsidR="0092080D" w:rsidRPr="004E70CE" w:rsidRDefault="0092080D" w:rsidP="00BB51BE">
      <w:pPr>
        <w:rPr>
          <w:rStyle w:val="normaltextrun"/>
          <w:rFonts w:ascii="Calibri" w:hAnsi="Calibri" w:cs="Calibri"/>
          <w:color w:val="000000" w:themeColor="text1"/>
        </w:rPr>
      </w:pPr>
      <w:r w:rsidRPr="004E70CE">
        <w:rPr>
          <w:rStyle w:val="normaltextrun"/>
          <w:rFonts w:ascii="Calibri" w:hAnsi="Calibri" w:cs="Calibri"/>
          <w:color w:val="000000"/>
          <w:shd w:val="clear" w:color="auto" w:fill="FFFFFF"/>
        </w:rPr>
        <w:t xml:space="preserve">A border carbon adjustment mechanism </w:t>
      </w:r>
      <w:r w:rsidR="0061470A" w:rsidRPr="004E70CE">
        <w:rPr>
          <w:rStyle w:val="normaltextrun"/>
          <w:rFonts w:ascii="Calibri" w:hAnsi="Calibri" w:cs="Calibri"/>
          <w:color w:val="000000"/>
          <w:shd w:val="clear" w:color="auto" w:fill="FFFFFF"/>
        </w:rPr>
        <w:t xml:space="preserve">could be </w:t>
      </w:r>
      <w:r w:rsidR="00793450" w:rsidRPr="004E70CE">
        <w:rPr>
          <w:rStyle w:val="normaltextrun"/>
          <w:rFonts w:ascii="Calibri" w:hAnsi="Calibri" w:cs="Calibri"/>
          <w:color w:val="000000"/>
          <w:shd w:val="clear" w:color="auto" w:fill="FFFFFF"/>
        </w:rPr>
        <w:t>used</w:t>
      </w:r>
      <w:r w:rsidRPr="004E70CE">
        <w:rPr>
          <w:rStyle w:val="normaltextrun"/>
          <w:rFonts w:ascii="Calibri" w:hAnsi="Calibri" w:cs="Calibri"/>
          <w:color w:val="000000"/>
          <w:shd w:val="clear" w:color="auto" w:fill="FFFFFF"/>
        </w:rPr>
        <w:t xml:space="preserve"> to equalise the effective </w:t>
      </w:r>
      <w:r w:rsidRPr="004E70CE">
        <w:rPr>
          <w:rStyle w:val="normaltextrun"/>
          <w:rFonts w:ascii="Calibri" w:hAnsi="Calibri" w:cs="Calibri"/>
          <w:color w:val="000000" w:themeColor="text1"/>
        </w:rPr>
        <w:t>carbon reduction efforts between Australia and foreign jurisdictions</w:t>
      </w:r>
      <w:r w:rsidRPr="004E70CE">
        <w:rPr>
          <w:rStyle w:val="normaltextrun"/>
          <w:rFonts w:ascii="Calibri" w:hAnsi="Calibri" w:cs="Calibri"/>
          <w:color w:val="000000"/>
          <w:shd w:val="clear" w:color="auto" w:fill="FFFFFF"/>
        </w:rPr>
        <w:t>.</w:t>
      </w:r>
    </w:p>
    <w:p w14:paraId="57B9D0C4" w14:textId="77777777" w:rsidR="00AB26F2" w:rsidRPr="004E70CE" w:rsidRDefault="6A369A6C" w:rsidP="00BB51BE">
      <w:r w:rsidRPr="004E70CE">
        <w:t>T</w:t>
      </w:r>
      <w:r w:rsidR="77EB2D54" w:rsidRPr="004E70CE">
        <w:t xml:space="preserve">he </w:t>
      </w:r>
      <w:r w:rsidRPr="004E70CE">
        <w:t>policy</w:t>
      </w:r>
      <w:r w:rsidR="77EB2D54" w:rsidRPr="004E70CE">
        <w:t xml:space="preserve"> objective of a border carbon adjustment is to </w:t>
      </w:r>
      <w:r w:rsidR="281D78DA" w:rsidRPr="004E70CE">
        <w:t>achieve</w:t>
      </w:r>
      <w:r w:rsidR="77EB2D54" w:rsidRPr="004E70CE">
        <w:t xml:space="preserve"> </w:t>
      </w:r>
      <w:r w:rsidR="0E9EDBBF" w:rsidRPr="004E70CE">
        <w:t xml:space="preserve">climate </w:t>
      </w:r>
      <w:r w:rsidR="38E36B7F" w:rsidRPr="004E70CE">
        <w:t>policy</w:t>
      </w:r>
      <w:r w:rsidR="53F6C61C" w:rsidRPr="004E70CE">
        <w:t xml:space="preserve"> parity between domestically and internationally produced goods</w:t>
      </w:r>
      <w:r w:rsidR="3E87785F" w:rsidRPr="004E70CE">
        <w:t>, thereby avoiding carbon leakage while providing full incentives to decarboni</w:t>
      </w:r>
      <w:r w:rsidR="009B2F8A" w:rsidRPr="004E70CE">
        <w:t>s</w:t>
      </w:r>
      <w:r w:rsidR="3E87785F" w:rsidRPr="004E70CE">
        <w:t>e production</w:t>
      </w:r>
      <w:r w:rsidR="6497F345" w:rsidRPr="004E70CE">
        <w:t xml:space="preserve"> practices</w:t>
      </w:r>
      <w:r w:rsidR="3E87785F" w:rsidRPr="004E70CE">
        <w:t xml:space="preserve"> and invest in low</w:t>
      </w:r>
      <w:r w:rsidR="00593291" w:rsidRPr="004E70CE">
        <w:t xml:space="preserve"> </w:t>
      </w:r>
      <w:r w:rsidR="3E87785F" w:rsidRPr="004E70CE">
        <w:t>emissions</w:t>
      </w:r>
      <w:r w:rsidR="2CC2191C" w:rsidRPr="004E70CE">
        <w:t xml:space="preserve"> facilities.</w:t>
      </w:r>
      <w:r w:rsidR="3E87785F" w:rsidRPr="004E70CE">
        <w:t xml:space="preserve"> </w:t>
      </w:r>
      <w:r w:rsidR="006B4C59" w:rsidRPr="004E70CE">
        <w:t>A b</w:t>
      </w:r>
      <w:r w:rsidR="000FB86A" w:rsidRPr="004E70CE">
        <w:t>order carbon adjustment allows pass</w:t>
      </w:r>
      <w:r w:rsidR="00593291" w:rsidRPr="004E70CE">
        <w:t xml:space="preserve"> </w:t>
      </w:r>
      <w:r w:rsidR="000FB86A" w:rsidRPr="004E70CE">
        <w:t xml:space="preserve">through of carbon costs </w:t>
      </w:r>
      <w:r w:rsidR="2A500ADA" w:rsidRPr="004E70CE">
        <w:t xml:space="preserve">which allows </w:t>
      </w:r>
      <w:r w:rsidR="000FB86A" w:rsidRPr="004E70CE">
        <w:t>low and zero</w:t>
      </w:r>
      <w:r w:rsidR="00593291" w:rsidRPr="004E70CE">
        <w:t xml:space="preserve"> </w:t>
      </w:r>
      <w:r w:rsidR="000FB86A" w:rsidRPr="004E70CE">
        <w:t xml:space="preserve">emissions products </w:t>
      </w:r>
      <w:r w:rsidR="34F9A455" w:rsidRPr="004E70CE">
        <w:t>to</w:t>
      </w:r>
      <w:r w:rsidR="628E59A7" w:rsidRPr="004E70CE">
        <w:t xml:space="preserve"> </w:t>
      </w:r>
      <w:r w:rsidR="000FB86A" w:rsidRPr="004E70CE">
        <w:t>achieve a market price premium</w:t>
      </w:r>
      <w:r w:rsidR="1ACCA875" w:rsidRPr="004E70CE">
        <w:t xml:space="preserve">. It also </w:t>
      </w:r>
      <w:r w:rsidR="302FC2B8" w:rsidRPr="004E70CE">
        <w:t>alleviates the need to support</w:t>
      </w:r>
      <w:r w:rsidR="0F038948" w:rsidRPr="004E70CE">
        <w:t xml:space="preserve"> domestic</w:t>
      </w:r>
      <w:r w:rsidR="302FC2B8" w:rsidRPr="004E70CE">
        <w:t xml:space="preserve"> emissions</w:t>
      </w:r>
      <w:r w:rsidR="00593291" w:rsidRPr="004E70CE">
        <w:t>-</w:t>
      </w:r>
      <w:r w:rsidR="302FC2B8" w:rsidRPr="004E70CE">
        <w:t xml:space="preserve">intensive producers to compete </w:t>
      </w:r>
      <w:r w:rsidR="690D6E3A" w:rsidRPr="004E70CE">
        <w:t>with producers that do not</w:t>
      </w:r>
      <w:r w:rsidR="0B9B75E4" w:rsidRPr="004E70CE">
        <w:t xml:space="preserve"> face carbon costs</w:t>
      </w:r>
      <w:r w:rsidR="000FB86A" w:rsidRPr="004E70CE">
        <w:t>.</w:t>
      </w:r>
    </w:p>
    <w:p w14:paraId="0E8AC6CC" w14:textId="77777777" w:rsidR="00646A28" w:rsidRPr="004E70CE" w:rsidRDefault="00746249" w:rsidP="00BB51BE">
      <w:r w:rsidRPr="004E70CE">
        <w:rPr>
          <w:bCs/>
          <w:lang w:val="en-GB"/>
        </w:rPr>
        <w:t>Should government decide to pursue a border carbon adjustment, t</w:t>
      </w:r>
      <w:r w:rsidR="00C7037A" w:rsidRPr="004E70CE">
        <w:rPr>
          <w:bCs/>
          <w:lang w:val="en-GB"/>
        </w:rPr>
        <w:t>he design of an Australian border carbon adjustment should take into account Australia’s obligations under international trade law. Any measure would need to reflect the key trade law principle of non-discrimination by ensuring that any obligations arising from a border carbon adjustment treated imported and locally</w:t>
      </w:r>
      <w:r w:rsidR="007052AC" w:rsidRPr="004E70CE">
        <w:rPr>
          <w:bCs/>
          <w:lang w:val="en-GB"/>
        </w:rPr>
        <w:t xml:space="preserve"> </w:t>
      </w:r>
      <w:r w:rsidR="00C7037A" w:rsidRPr="004E70CE">
        <w:rPr>
          <w:bCs/>
          <w:lang w:val="en-GB"/>
        </w:rPr>
        <w:t xml:space="preserve">produced commodities equally and ensured equal treatment between Australia’s trade partners. These requirements are actively considered in the treatment of specific issues through the Review. </w:t>
      </w:r>
    </w:p>
    <w:p w14:paraId="7CF9408B" w14:textId="77777777" w:rsidR="00517A18" w:rsidRPr="004E70CE" w:rsidRDefault="1A358EF4" w:rsidP="00BB51BE">
      <w:r w:rsidRPr="004E70CE">
        <w:t>Where suitable,</w:t>
      </w:r>
      <w:r w:rsidR="27495D6E" w:rsidRPr="004E70CE">
        <w:t xml:space="preserve"> </w:t>
      </w:r>
      <w:r w:rsidR="006B4C59" w:rsidRPr="004E70CE">
        <w:t xml:space="preserve">a </w:t>
      </w:r>
      <w:r w:rsidR="65B254D1" w:rsidRPr="004E70CE">
        <w:t>border carbon adjustment</w:t>
      </w:r>
      <w:r w:rsidR="27495D6E" w:rsidRPr="004E70CE">
        <w:t xml:space="preserve"> is a policy option</w:t>
      </w:r>
      <w:r w:rsidR="7C48EBE5" w:rsidRPr="004E70CE">
        <w:t xml:space="preserve"> </w:t>
      </w:r>
      <w:r w:rsidR="197E54F5" w:rsidRPr="004E70CE">
        <w:t>that could be</w:t>
      </w:r>
      <w:r w:rsidR="7C48EBE5" w:rsidRPr="004E70CE">
        <w:t xml:space="preserve"> a </w:t>
      </w:r>
      <w:r w:rsidR="197E54F5" w:rsidRPr="004E70CE">
        <w:t>long-term</w:t>
      </w:r>
      <w:r w:rsidR="7C48EBE5" w:rsidRPr="004E70CE">
        <w:t xml:space="preserve"> solution to carbon leakage</w:t>
      </w:r>
      <w:r w:rsidR="27495D6E" w:rsidRPr="004E70CE">
        <w:t xml:space="preserve">. The adjustment recognises </w:t>
      </w:r>
      <w:r w:rsidR="37A8B49C" w:rsidRPr="004E70CE">
        <w:t xml:space="preserve">both actual emissions intensity and </w:t>
      </w:r>
      <w:r w:rsidR="2A062207" w:rsidRPr="004E70CE">
        <w:t>costs</w:t>
      </w:r>
      <w:r w:rsidR="27495D6E" w:rsidRPr="004E70CE">
        <w:t xml:space="preserve"> already paid</w:t>
      </w:r>
      <w:r w:rsidR="2481D522" w:rsidRPr="004E70CE">
        <w:t xml:space="preserve"> on </w:t>
      </w:r>
      <w:r w:rsidR="2481D522" w:rsidRPr="004E70CE">
        <w:lastRenderedPageBreak/>
        <w:t>embedded emissions</w:t>
      </w:r>
      <w:r w:rsidR="16FB2735" w:rsidRPr="004E70CE">
        <w:t xml:space="preserve">, </w:t>
      </w:r>
      <w:r w:rsidR="50C4BC17" w:rsidRPr="004E70CE">
        <w:t>and thereby automatically adapts</w:t>
      </w:r>
      <w:r w:rsidR="27495D6E" w:rsidRPr="004E70CE">
        <w:t xml:space="preserve"> to changes </w:t>
      </w:r>
      <w:r w:rsidR="382CE6BE" w:rsidRPr="004E70CE">
        <w:t xml:space="preserve">over time </w:t>
      </w:r>
      <w:r w:rsidR="27495D6E" w:rsidRPr="004E70CE">
        <w:t>in domestic and trading partners</w:t>
      </w:r>
      <w:r w:rsidR="0EA3FD5C" w:rsidRPr="004E70CE">
        <w:t>’</w:t>
      </w:r>
      <w:r w:rsidR="005F2C33" w:rsidRPr="004E70CE">
        <w:t xml:space="preserve"> </w:t>
      </w:r>
      <w:r w:rsidR="2A062207" w:rsidRPr="004E70CE">
        <w:t>climate policy</w:t>
      </w:r>
      <w:r w:rsidR="27495D6E" w:rsidRPr="004E70CE">
        <w:t xml:space="preserve">. </w:t>
      </w:r>
    </w:p>
    <w:p w14:paraId="012E1CCB" w14:textId="77777777" w:rsidR="00E3073F" w:rsidRPr="004E70CE" w:rsidRDefault="53F0F5C2" w:rsidP="00BB51BE">
      <w:r w:rsidRPr="004E70CE">
        <w:t>A border carbon adjustment is usually conceptuali</w:t>
      </w:r>
      <w:r w:rsidR="00593291" w:rsidRPr="004E70CE">
        <w:t>s</w:t>
      </w:r>
      <w:r w:rsidRPr="004E70CE">
        <w:t xml:space="preserve">ed, and typically </w:t>
      </w:r>
      <w:r w:rsidR="61332D8A" w:rsidRPr="004E70CE">
        <w:t>designed</w:t>
      </w:r>
      <w:r w:rsidRPr="004E70CE">
        <w:t>,</w:t>
      </w:r>
      <w:r w:rsidR="60C1AF68" w:rsidRPr="004E70CE">
        <w:t xml:space="preserve"> to be</w:t>
      </w:r>
      <w:r w:rsidRPr="004E70CE">
        <w:t xml:space="preserve"> based on the difference in explicit carbon costs between jurisdictions.</w:t>
      </w:r>
      <w:r w:rsidR="69A68444" w:rsidRPr="004E70CE">
        <w:t xml:space="preserve"> The principle of equal treatment of domestic producers and imports implies mirroring of domestic policy</w:t>
      </w:r>
      <w:r w:rsidR="5C06A2CA" w:rsidRPr="004E70CE">
        <w:t xml:space="preserve"> settings to imports, as far as practicable.</w:t>
      </w:r>
    </w:p>
    <w:p w14:paraId="61135ACE" w14:textId="717D8EE8" w:rsidR="009173AA" w:rsidRPr="004E70CE" w:rsidRDefault="00E3073F" w:rsidP="00BB51BE">
      <w:r w:rsidRPr="004E70CE">
        <w:t>I</w:t>
      </w:r>
      <w:r w:rsidR="53F0F5C2" w:rsidRPr="004E70CE">
        <w:t xml:space="preserve">n the Australian context of the Safeguard Mechanism, this would mean that only imports that are higher emissions intensity than the relevant Australian baseline and that face a lower effective carbon cost would be liable for a border carbon adjustment (see </w:t>
      </w:r>
      <w:r w:rsidR="00B209AD" w:rsidRPr="004E70CE">
        <w:rPr>
          <w:b/>
          <w:bCs/>
        </w:rPr>
        <w:t>Section</w:t>
      </w:r>
      <w:r w:rsidR="00B209AD" w:rsidRPr="004E70CE">
        <w:t xml:space="preserve"> </w:t>
      </w:r>
      <w:r w:rsidR="53F0F5C2" w:rsidRPr="004E70CE">
        <w:rPr>
          <w:b/>
          <w:bCs/>
        </w:rPr>
        <w:t>3.5.2</w:t>
      </w:r>
      <w:r w:rsidR="001B5752">
        <w:rPr>
          <w:b/>
          <w:bCs/>
        </w:rPr>
        <w:t xml:space="preserve"> </w:t>
      </w:r>
      <w:r w:rsidR="00787849">
        <w:rPr>
          <w:bCs/>
        </w:rPr>
        <w:t xml:space="preserve">and the </w:t>
      </w:r>
      <w:r w:rsidR="00787849" w:rsidRPr="00787849">
        <w:rPr>
          <w:bCs/>
        </w:rPr>
        <w:t>Appendix</w:t>
      </w:r>
      <w:r w:rsidR="53F0F5C2" w:rsidRPr="004E70CE">
        <w:t xml:space="preserve">). </w:t>
      </w:r>
    </w:p>
    <w:p w14:paraId="3E8F807B" w14:textId="0DBB229E" w:rsidR="009173AA" w:rsidRPr="004E70CE" w:rsidRDefault="009173AA" w:rsidP="00BB51BE">
      <w:r w:rsidRPr="004E70CE">
        <w:t xml:space="preserve">A border carbon adjustment </w:t>
      </w:r>
      <w:r w:rsidR="00076165" w:rsidRPr="004E70CE">
        <w:t xml:space="preserve">can </w:t>
      </w:r>
      <w:r w:rsidR="000D48F9" w:rsidRPr="004E70CE">
        <w:t xml:space="preserve">enable </w:t>
      </w:r>
      <w:r w:rsidRPr="004E70CE">
        <w:t xml:space="preserve">increased domestic climate ambition with </w:t>
      </w:r>
      <w:r w:rsidR="000D48F9" w:rsidRPr="004E70CE">
        <w:t xml:space="preserve">reduced </w:t>
      </w:r>
      <w:r w:rsidRPr="004E70CE">
        <w:t>fiscal outlay</w:t>
      </w:r>
      <w:r w:rsidR="000D48F9" w:rsidRPr="004E70CE">
        <w:t xml:space="preserve"> by </w:t>
      </w:r>
      <w:r w:rsidR="0084478F" w:rsidRPr="004E70CE">
        <w:t>providing a level playing field for domestic industry relative to overseas producers</w:t>
      </w:r>
      <w:r w:rsidRPr="004E70CE">
        <w:t xml:space="preserve">. </w:t>
      </w:r>
    </w:p>
    <w:p w14:paraId="2240C65A" w14:textId="5F2BCDC1" w:rsidR="003772A3" w:rsidRPr="004E70CE" w:rsidRDefault="2F101ABD" w:rsidP="00BB51BE">
      <w:r w:rsidRPr="004E70CE">
        <w:t xml:space="preserve">The implementation of a </w:t>
      </w:r>
      <w:r w:rsidR="65B254D1" w:rsidRPr="004E70CE">
        <w:t>border carbon adjustment</w:t>
      </w:r>
      <w:r w:rsidRPr="004E70CE">
        <w:t xml:space="preserve"> </w:t>
      </w:r>
      <w:r w:rsidR="00A64AC4" w:rsidRPr="004E70CE">
        <w:t>would be</w:t>
      </w:r>
      <w:r w:rsidRPr="004E70CE">
        <w:t xml:space="preserve"> complex</w:t>
      </w:r>
      <w:r w:rsidR="6DB3A43D" w:rsidRPr="004E70CE">
        <w:t>,</w:t>
      </w:r>
      <w:r w:rsidRPr="004E70CE">
        <w:t xml:space="preserve"> and it may be appropriate to phase </w:t>
      </w:r>
      <w:r w:rsidR="323203C5" w:rsidRPr="004E70CE">
        <w:t>its application to</w:t>
      </w:r>
      <w:r w:rsidR="2E79D986" w:rsidRPr="004E70CE">
        <w:t xml:space="preserve"> different </w:t>
      </w:r>
      <w:r w:rsidR="1ABFCD8F" w:rsidRPr="004E70CE">
        <w:t>commodities</w:t>
      </w:r>
      <w:r w:rsidRPr="004E70CE">
        <w:t xml:space="preserve">. </w:t>
      </w:r>
      <w:r w:rsidR="27495D6E" w:rsidRPr="004E70CE">
        <w:t xml:space="preserve">The </w:t>
      </w:r>
      <w:r w:rsidR="6A2253FB" w:rsidRPr="004E70CE">
        <w:t>f</w:t>
      </w:r>
      <w:r w:rsidR="27495D6E" w:rsidRPr="004E70CE">
        <w:t xml:space="preserve">easibility </w:t>
      </w:r>
      <w:r w:rsidR="7F15FA16" w:rsidRPr="004E70CE">
        <w:t xml:space="preserve">of a </w:t>
      </w:r>
      <w:r w:rsidR="65B254D1" w:rsidRPr="004E70CE">
        <w:t>border carbon adjustment</w:t>
      </w:r>
      <w:r w:rsidRPr="004E70CE">
        <w:t xml:space="preserve"> </w:t>
      </w:r>
      <w:r w:rsidR="27495D6E" w:rsidRPr="004E70CE">
        <w:t xml:space="preserve">depends on factors </w:t>
      </w:r>
      <w:r w:rsidR="60F43EB0" w:rsidRPr="004E70CE">
        <w:t xml:space="preserve">including </w:t>
      </w:r>
      <w:r w:rsidR="27495D6E" w:rsidRPr="004E70CE">
        <w:t xml:space="preserve">reliable </w:t>
      </w:r>
      <w:r w:rsidR="50DCDAC0" w:rsidRPr="004E70CE">
        <w:t xml:space="preserve">international </w:t>
      </w:r>
      <w:r w:rsidR="27495D6E" w:rsidRPr="004E70CE">
        <w:t xml:space="preserve">emissions reporting, </w:t>
      </w:r>
      <w:r w:rsidR="50DCDAC0" w:rsidRPr="004E70CE">
        <w:t xml:space="preserve">compliance and </w:t>
      </w:r>
      <w:r w:rsidR="27495D6E" w:rsidRPr="004E70CE">
        <w:t xml:space="preserve">administrative </w:t>
      </w:r>
      <w:r w:rsidR="50DCDAC0" w:rsidRPr="004E70CE">
        <w:t>arrangement</w:t>
      </w:r>
      <w:r w:rsidR="66279292" w:rsidRPr="004E70CE">
        <w:t>s</w:t>
      </w:r>
      <w:r w:rsidR="50DCDAC0" w:rsidRPr="004E70CE">
        <w:t xml:space="preserve">, </w:t>
      </w:r>
      <w:r w:rsidR="27495D6E" w:rsidRPr="004E70CE">
        <w:t xml:space="preserve">and </w:t>
      </w:r>
      <w:r w:rsidR="50DCDAC0" w:rsidRPr="004E70CE">
        <w:t>consistency</w:t>
      </w:r>
      <w:r w:rsidR="27495D6E" w:rsidRPr="004E70CE">
        <w:t xml:space="preserve"> with </w:t>
      </w:r>
      <w:r w:rsidR="7ED24298" w:rsidRPr="004E70CE">
        <w:t>international trade rules and obligations</w:t>
      </w:r>
      <w:r w:rsidR="27495D6E" w:rsidRPr="004E70CE">
        <w:t>.</w:t>
      </w:r>
      <w:r w:rsidR="1F56F8B3" w:rsidRPr="004E70CE">
        <w:t xml:space="preserve"> </w:t>
      </w:r>
    </w:p>
    <w:p w14:paraId="2A06321B" w14:textId="77777777" w:rsidR="004622DD" w:rsidRPr="004E70CE" w:rsidRDefault="004622DD" w:rsidP="00BB51BE">
      <w:r w:rsidRPr="004E70CE">
        <w:rPr>
          <w:lang w:eastAsia="ja-JP"/>
        </w:rPr>
        <w:t>The Review has also considered key issues relating to policy design and implementation of possible carbon border adjustment, particularly related to feasibility (see below). Detailed design would need to be considered and consulted on</w:t>
      </w:r>
      <w:r w:rsidR="00593291" w:rsidRPr="004E70CE">
        <w:rPr>
          <w:lang w:eastAsia="ja-JP"/>
        </w:rPr>
        <w:t>,</w:t>
      </w:r>
      <w:r w:rsidRPr="004E70CE">
        <w:rPr>
          <w:lang w:eastAsia="ja-JP"/>
        </w:rPr>
        <w:t xml:space="preserve"> should </w:t>
      </w:r>
      <w:r w:rsidR="00213396" w:rsidRPr="004E70CE">
        <w:rPr>
          <w:lang w:eastAsia="ja-JP"/>
        </w:rPr>
        <w:t>g</w:t>
      </w:r>
      <w:r w:rsidRPr="004E70CE">
        <w:rPr>
          <w:lang w:eastAsia="ja-JP"/>
        </w:rPr>
        <w:t xml:space="preserve">overnment decide to pursue a border carbon adjustment. </w:t>
      </w:r>
    </w:p>
    <w:p w14:paraId="4ABCED41" w14:textId="77777777" w:rsidR="00D856C0" w:rsidRPr="004E70CE" w:rsidRDefault="323203C5" w:rsidP="00BB51BE">
      <w:pPr>
        <w:rPr>
          <w:rFonts w:ascii="CIDFont+F4" w:hAnsi="CIDFont+F4" w:cs="CIDFont+F4"/>
        </w:rPr>
      </w:pPr>
      <w:r w:rsidRPr="004E70CE">
        <w:t>S</w:t>
      </w:r>
      <w:r w:rsidR="7AAABF4E" w:rsidRPr="004E70CE">
        <w:t>takeholders</w:t>
      </w:r>
      <w:r w:rsidRPr="004E70CE">
        <w:t xml:space="preserve"> </w:t>
      </w:r>
      <w:r w:rsidR="60677697" w:rsidRPr="004E70CE">
        <w:t>from</w:t>
      </w:r>
      <w:r w:rsidR="659967D3" w:rsidRPr="004E70CE">
        <w:t xml:space="preserve"> trade-exposed industrial sectors </w:t>
      </w:r>
      <w:r w:rsidR="637E04B9" w:rsidRPr="004E70CE">
        <w:t xml:space="preserve">by and large </w:t>
      </w:r>
      <w:r w:rsidR="7AAABF4E" w:rsidRPr="004E70CE">
        <w:t>support</w:t>
      </w:r>
      <w:r w:rsidR="526DFA7E" w:rsidRPr="004E70CE">
        <w:t>ed</w:t>
      </w:r>
      <w:r w:rsidR="7AAABF4E" w:rsidRPr="004E70CE">
        <w:t xml:space="preserve"> an Australian </w:t>
      </w:r>
      <w:r w:rsidR="65B254D1" w:rsidRPr="004E70CE">
        <w:t>border carbon adjustment</w:t>
      </w:r>
      <w:r w:rsidR="7AAABF4E" w:rsidRPr="004E70CE">
        <w:t xml:space="preserve">. </w:t>
      </w:r>
    </w:p>
    <w:p w14:paraId="4CE6C056" w14:textId="77777777" w:rsidR="00A21C54" w:rsidRPr="004E70CE" w:rsidRDefault="001432A9" w:rsidP="00BB51BE">
      <w:pPr>
        <w:ind w:left="720"/>
        <w:rPr>
          <w:rFonts w:ascii="CIDFont+F4" w:hAnsi="CIDFont+F4" w:cs="CIDFont+F4"/>
          <w:b/>
          <w:bCs/>
        </w:rPr>
      </w:pPr>
      <w:r w:rsidRPr="004E70CE">
        <w:rPr>
          <w:rFonts w:ascii="CIDFont+F4" w:hAnsi="CIDFont+F4" w:cs="CIDFont+F4"/>
          <w:i/>
          <w:iCs/>
        </w:rPr>
        <w:t xml:space="preserve">A CBAM would be a significant reform and require careful design, international collaboration and domestic policy evolution. </w:t>
      </w:r>
      <w:r w:rsidR="002A35C1" w:rsidRPr="004E70CE">
        <w:rPr>
          <w:rFonts w:ascii="CIDFont+F4" w:hAnsi="CIDFont+F4" w:cs="CIDFont+F4"/>
          <w:i/>
          <w:iCs/>
        </w:rPr>
        <w:t>…</w:t>
      </w:r>
      <w:r w:rsidRPr="004E70CE">
        <w:rPr>
          <w:rFonts w:ascii="CIDFont+F4" w:hAnsi="CIDFont+F4" w:cs="CIDFont+F4"/>
          <w:i/>
          <w:iCs/>
        </w:rPr>
        <w:t xml:space="preserve"> it could be a major and increasingly important element of an effective Australian climate policy suite.</w:t>
      </w:r>
      <w:r w:rsidRPr="004E70CE">
        <w:rPr>
          <w:rFonts w:ascii="CIDFont+F4" w:hAnsi="CIDFont+F4" w:cs="CIDFont+F4"/>
        </w:rPr>
        <w:t xml:space="preserve"> – </w:t>
      </w:r>
      <w:r w:rsidRPr="004E70CE">
        <w:rPr>
          <w:rFonts w:ascii="CIDFont+F4" w:hAnsi="CIDFont+F4" w:cs="CIDFont+F4"/>
          <w:b/>
          <w:bCs/>
        </w:rPr>
        <w:t>Ai Group</w:t>
      </w:r>
    </w:p>
    <w:p w14:paraId="4B6D8865" w14:textId="77777777" w:rsidR="00F615D7" w:rsidRPr="004E70CE" w:rsidRDefault="000279EB" w:rsidP="00BB51BE">
      <w:pPr>
        <w:ind w:left="720"/>
        <w:rPr>
          <w:rFonts w:ascii="CIDFont+F4" w:hAnsi="CIDFont+F4" w:cs="CIDFont+F4"/>
          <w:b/>
          <w:bCs/>
        </w:rPr>
      </w:pPr>
      <w:r w:rsidRPr="004E70CE">
        <w:rPr>
          <w:rFonts w:ascii="CIDFont+F4" w:hAnsi="CIDFont+F4" w:cs="CIDFont+F4"/>
          <w:i/>
          <w:iCs/>
        </w:rPr>
        <w:t>MA</w:t>
      </w:r>
      <w:r w:rsidR="00F615D7" w:rsidRPr="004E70CE">
        <w:rPr>
          <w:rFonts w:ascii="CIDFont+F4" w:hAnsi="CIDFont+F4" w:cs="CIDFont+F4"/>
          <w:i/>
          <w:iCs/>
        </w:rPr>
        <w:t xml:space="preserve"> supports efforts to carefully design a CBAM for trade-exposed manufacturing industries that have liabilities under the Safeguard Mechanism.</w:t>
      </w:r>
      <w:r w:rsidR="00F615D7" w:rsidRPr="004E70CE">
        <w:rPr>
          <w:rFonts w:ascii="CIDFont+F4" w:hAnsi="CIDFont+F4" w:cs="CIDFont+F4"/>
          <w:b/>
          <w:bCs/>
        </w:rPr>
        <w:t xml:space="preserve"> – Manufacturing Australia</w:t>
      </w:r>
    </w:p>
    <w:p w14:paraId="44166CC6" w14:textId="77777777" w:rsidR="002A35C1" w:rsidRPr="004E70CE" w:rsidRDefault="00312FD4" w:rsidP="00BB51BE">
      <w:pPr>
        <w:ind w:left="720"/>
        <w:rPr>
          <w:rFonts w:ascii="CIDFont+F4" w:hAnsi="CIDFont+F4" w:cs="CIDFont+F4"/>
          <w:b/>
          <w:bCs/>
        </w:rPr>
      </w:pPr>
      <w:r w:rsidRPr="004E70CE">
        <w:rPr>
          <w:rFonts w:ascii="CIDFont+F4" w:hAnsi="CIDFont+F4" w:cs="CIDFont+F4"/>
          <w:i/>
          <w:iCs/>
        </w:rPr>
        <w:t xml:space="preserve">[A] </w:t>
      </w:r>
      <w:r w:rsidR="00641D97" w:rsidRPr="004E70CE">
        <w:rPr>
          <w:rFonts w:ascii="CIDFont+F4" w:hAnsi="CIDFont+F4" w:cs="CIDFont+F4"/>
          <w:i/>
          <w:iCs/>
        </w:rPr>
        <w:t>CBAM stands alone in its capacity to address carbon leakage in a direct manner proportionate to emissions pricing imposed by the Safeguard Mechanism.</w:t>
      </w:r>
      <w:r w:rsidR="00641D97" w:rsidRPr="004E70CE">
        <w:rPr>
          <w:rFonts w:ascii="CIDFont+F4" w:hAnsi="CIDFont+F4" w:cs="CIDFont+F4"/>
          <w:b/>
          <w:bCs/>
          <w:i/>
          <w:iCs/>
        </w:rPr>
        <w:t xml:space="preserve"> </w:t>
      </w:r>
      <w:r w:rsidR="00641D97" w:rsidRPr="004E70CE">
        <w:rPr>
          <w:rFonts w:ascii="CIDFont+F4" w:hAnsi="CIDFont+F4" w:cs="CIDFont+F4"/>
          <w:b/>
          <w:bCs/>
        </w:rPr>
        <w:t>– Australian Workers Union</w:t>
      </w:r>
    </w:p>
    <w:p w14:paraId="2B57B8DB" w14:textId="77777777" w:rsidR="00E62C55" w:rsidRPr="004E70CE" w:rsidRDefault="19903C59" w:rsidP="00BB51BE">
      <w:r w:rsidRPr="004E70CE">
        <w:t>Some stakeholders</w:t>
      </w:r>
      <w:r w:rsidR="6377E6E4" w:rsidRPr="004E70CE">
        <w:t xml:space="preserve"> </w:t>
      </w:r>
      <w:r w:rsidRPr="004E70CE">
        <w:t>expressed</w:t>
      </w:r>
      <w:r w:rsidR="292A5ECD" w:rsidRPr="004E70CE">
        <w:t xml:space="preserve"> concern </w:t>
      </w:r>
      <w:r w:rsidRPr="004E70CE">
        <w:t>about an Australian border carbon adjustment</w:t>
      </w:r>
      <w:r w:rsidR="20399B8C" w:rsidRPr="004E70CE">
        <w:t>, including</w:t>
      </w:r>
      <w:r w:rsidR="292A5ECD" w:rsidRPr="004E70CE">
        <w:t xml:space="preserve"> </w:t>
      </w:r>
      <w:r w:rsidRPr="004E70CE">
        <w:t xml:space="preserve">the potential for broader trade consequences and </w:t>
      </w:r>
      <w:r w:rsidR="659967D3" w:rsidRPr="004E70CE">
        <w:t>the cost</w:t>
      </w:r>
      <w:r w:rsidR="5408C832" w:rsidRPr="004E70CE">
        <w:t xml:space="preserve"> </w:t>
      </w:r>
      <w:r w:rsidR="659967D3" w:rsidRPr="004E70CE">
        <w:t xml:space="preserve">impact on downstream </w:t>
      </w:r>
      <w:r w:rsidR="071ED0B6" w:rsidRPr="004E70CE">
        <w:t>users</w:t>
      </w:r>
      <w:r w:rsidRPr="004E70CE">
        <w:t>.</w:t>
      </w:r>
      <w:r w:rsidR="659967D3" w:rsidRPr="004E70CE">
        <w:t xml:space="preserve"> </w:t>
      </w:r>
      <w:r w:rsidR="168859E1" w:rsidRPr="004E70CE">
        <w:t xml:space="preserve">The Review has carefully considered these concerns </w:t>
      </w:r>
      <w:r w:rsidR="00F83069" w:rsidRPr="004E70CE">
        <w:t xml:space="preserve">and </w:t>
      </w:r>
      <w:r w:rsidR="78E2AEF1" w:rsidRPr="004E70CE">
        <w:t>addresses</w:t>
      </w:r>
      <w:r w:rsidR="7AE5A762" w:rsidRPr="004E70CE">
        <w:t xml:space="preserve"> them throughout this chapter.</w:t>
      </w:r>
    </w:p>
    <w:p w14:paraId="5F5B63A0" w14:textId="77777777" w:rsidR="00E070B9" w:rsidRPr="004E70CE" w:rsidRDefault="00751A89" w:rsidP="00BB51BE">
      <w:pPr>
        <w:ind w:left="720"/>
        <w:rPr>
          <w:rFonts w:ascii="CIDFont+F4" w:hAnsi="CIDFont+F4" w:cs="CIDFont+F4"/>
          <w:b/>
          <w:bCs/>
          <w:i/>
          <w:iCs/>
        </w:rPr>
      </w:pPr>
      <w:r w:rsidRPr="004E70CE">
        <w:rPr>
          <w:i/>
          <w:iCs/>
        </w:rPr>
        <w:t xml:space="preserve">By raising the cost of imported products in the domestic market, a CBAM reduces the pressure on businesses to innovate and invest in technology to increase production efficiency and lower emissions. – </w:t>
      </w:r>
      <w:r w:rsidRPr="004E70CE">
        <w:rPr>
          <w:b/>
          <w:bCs/>
        </w:rPr>
        <w:t>Australian Chamber of Commerce and Industry</w:t>
      </w:r>
    </w:p>
    <w:p w14:paraId="0B00325E" w14:textId="77777777" w:rsidR="007616B9" w:rsidRDefault="007616B9">
      <w:pPr>
        <w:spacing w:after="0" w:line="240" w:lineRule="auto"/>
        <w:rPr>
          <w:b/>
        </w:rPr>
      </w:pPr>
      <w:r>
        <w:rPr>
          <w:b/>
        </w:rPr>
        <w:br w:type="page"/>
      </w:r>
    </w:p>
    <w:p w14:paraId="504BA69E" w14:textId="604D27E4" w:rsidR="00EC7FF1" w:rsidRPr="004E70CE" w:rsidRDefault="00EC7FF1" w:rsidP="00EC7FF1">
      <w:pPr>
        <w:pStyle w:val="Calloutbox"/>
        <w:shd w:val="clear" w:color="auto" w:fill="D7F5FA" w:themeFill="background2" w:themeFillTint="1A"/>
        <w:spacing w:after="200" w:line="276" w:lineRule="auto"/>
        <w:rPr>
          <w:b/>
        </w:rPr>
      </w:pPr>
      <w:r w:rsidRPr="004E70CE">
        <w:rPr>
          <w:b/>
        </w:rPr>
        <w:lastRenderedPageBreak/>
        <w:t>Box 2 - International examples of border carbon adjustments</w:t>
      </w:r>
    </w:p>
    <w:p w14:paraId="0143EA85" w14:textId="77777777" w:rsidR="00EC7FF1" w:rsidRPr="004E70CE" w:rsidRDefault="00EC7FF1" w:rsidP="00EC7FF1">
      <w:pPr>
        <w:pStyle w:val="Calloutbox"/>
        <w:shd w:val="clear" w:color="auto" w:fill="D7F5FA" w:themeFill="background2" w:themeFillTint="1A"/>
        <w:spacing w:after="200" w:line="276" w:lineRule="auto"/>
      </w:pPr>
      <w:r w:rsidRPr="004E70CE">
        <w:t>The EU was the first jurisdiction to implement a border carbon adjustment. Implementation commenced in 2023 with a transitional phase requiring only reporting, until 2026 when charges will be levied. The EU CBAM will initially cover aluminium, cement, electricity, fertilisers, hydrogen, iron and steel. It will include scope 1 and scope 2 emissions (consistent with the coverage of the EU Emissions Trading Scheme (ETS)).</w:t>
      </w:r>
    </w:p>
    <w:p w14:paraId="2588B21B" w14:textId="77777777" w:rsidR="00EC7FF1" w:rsidRPr="004E70CE" w:rsidRDefault="00EC7FF1" w:rsidP="00EC7FF1">
      <w:pPr>
        <w:pStyle w:val="Calloutbox"/>
        <w:shd w:val="clear" w:color="auto" w:fill="D7F5FA" w:themeFill="background2" w:themeFillTint="1A"/>
        <w:spacing w:after="200" w:line="276" w:lineRule="auto"/>
      </w:pPr>
      <w:r w:rsidRPr="004E70CE">
        <w:t>The UK Government has committed to introducing a border carbon adjustment starting in 2027, covering aluminium, cement, ceramics, fertiliser, glass, hydrogen, iron and steel. It will cover scope 1, scope 2 and select precursor product emissions, consistent with the UK ETS.</w:t>
      </w:r>
      <w:r w:rsidRPr="004E70CE">
        <w:rPr>
          <w:rStyle w:val="FootnoteReference"/>
        </w:rPr>
        <w:footnoteReference w:id="95"/>
      </w:r>
    </w:p>
    <w:p w14:paraId="08257BB9" w14:textId="77777777" w:rsidR="00EC7FF1" w:rsidRPr="004E70CE" w:rsidRDefault="00EC7FF1" w:rsidP="00EC7FF1">
      <w:pPr>
        <w:pStyle w:val="Calloutbox"/>
        <w:shd w:val="clear" w:color="auto" w:fill="D7F5FA" w:themeFill="background2" w:themeFillTint="1A"/>
        <w:spacing w:after="200" w:line="276" w:lineRule="auto"/>
      </w:pPr>
      <w:r w:rsidRPr="004E70CE">
        <w:t>The Canadian Government has consulted on the introduction of a border carbon adjustment.</w:t>
      </w:r>
      <w:r w:rsidRPr="004E70CE">
        <w:rPr>
          <w:rStyle w:val="FootnoteReference"/>
        </w:rPr>
        <w:footnoteReference w:id="96"/>
      </w:r>
      <w:r w:rsidRPr="004E70CE">
        <w:t xml:space="preserve"> In April 2024, the US announced it would establish a White House Climate and Trade Taskforce to, among other things, develop policies to effectively address carbon leakage.</w:t>
      </w:r>
      <w:r w:rsidRPr="004E70CE">
        <w:rPr>
          <w:rStyle w:val="FootnoteReference"/>
        </w:rPr>
        <w:footnoteReference w:id="97"/>
      </w:r>
      <w:r w:rsidRPr="004E70CE">
        <w:t xml:space="preserve"> The US announcement follows introduction of legislative proposals in Congress that could facilitate the introduction of a border carbon adjustment in the future. Other countries are at the early stages of their own carbon leakage reviews.</w:t>
      </w:r>
    </w:p>
    <w:p w14:paraId="210812E2" w14:textId="77777777" w:rsidR="008A1FB2" w:rsidRPr="004E70CE" w:rsidRDefault="2F38F675" w:rsidP="00BB51BE">
      <w:pPr>
        <w:pStyle w:val="Heading3"/>
        <w:spacing w:line="276" w:lineRule="auto"/>
      </w:pPr>
      <w:bookmarkStart w:id="21" w:name="_Toc173997664"/>
      <w:r w:rsidRPr="004E70CE">
        <w:t>Export</w:t>
      </w:r>
      <w:r w:rsidR="295BD07A" w:rsidRPr="004E70CE">
        <w:t xml:space="preserve"> </w:t>
      </w:r>
      <w:r w:rsidRPr="004E70CE">
        <w:t>border carbon adjustment</w:t>
      </w:r>
      <w:bookmarkEnd w:id="21"/>
    </w:p>
    <w:p w14:paraId="4DC91971" w14:textId="77777777" w:rsidR="00A603A0" w:rsidRPr="004E70CE" w:rsidRDefault="5A3FBA00" w:rsidP="00BB51BE">
      <w:r w:rsidRPr="004E70CE">
        <w:t xml:space="preserve">A border carbon adjustment could in theory apply to both imports and exports, </w:t>
      </w:r>
      <w:r w:rsidR="2147F49E" w:rsidRPr="004E70CE">
        <w:t>though</w:t>
      </w:r>
      <w:r w:rsidR="0B954B1D" w:rsidRPr="004E70CE">
        <w:t xml:space="preserve"> neither the EU nor UK </w:t>
      </w:r>
      <w:r w:rsidR="5BEC5267" w:rsidRPr="004E70CE">
        <w:t>will</w:t>
      </w:r>
      <w:r w:rsidR="0B954B1D" w:rsidRPr="004E70CE">
        <w:t xml:space="preserve"> include exports in </w:t>
      </w:r>
      <w:r w:rsidR="3D7B0AAA" w:rsidRPr="004E70CE">
        <w:t xml:space="preserve">their </w:t>
      </w:r>
      <w:r w:rsidR="353EE627" w:rsidRPr="004E70CE">
        <w:t>border carbon adjustment</w:t>
      </w:r>
      <w:r w:rsidR="004F7C82" w:rsidRPr="004E70CE">
        <w:t xml:space="preserve"> policies</w:t>
      </w:r>
      <w:r w:rsidR="07021D3C" w:rsidRPr="004E70CE">
        <w:t xml:space="preserve">. </w:t>
      </w:r>
      <w:r w:rsidR="03D62E2C" w:rsidRPr="004E70CE">
        <w:t xml:space="preserve">An export </w:t>
      </w:r>
      <w:r w:rsidR="1501EFD4" w:rsidRPr="004E70CE">
        <w:t>border carbon</w:t>
      </w:r>
      <w:r w:rsidR="07021D3C" w:rsidRPr="004E70CE">
        <w:t xml:space="preserve"> adjustment</w:t>
      </w:r>
      <w:r w:rsidR="75F973C1" w:rsidRPr="004E70CE">
        <w:t xml:space="preserve"> would provide a rebate for carbon costs</w:t>
      </w:r>
      <w:r w:rsidR="000A57B8" w:rsidRPr="004E70CE">
        <w:t xml:space="preserve"> for goods that are </w:t>
      </w:r>
      <w:r w:rsidR="75F973C1" w:rsidRPr="004E70CE">
        <w:t>export</w:t>
      </w:r>
      <w:r w:rsidR="000A57B8" w:rsidRPr="004E70CE">
        <w:t>ed</w:t>
      </w:r>
      <w:r w:rsidR="75F973C1" w:rsidRPr="004E70CE">
        <w:t>. It</w:t>
      </w:r>
      <w:r w:rsidR="07021D3C" w:rsidRPr="004E70CE">
        <w:t xml:space="preserve"> could be calculated based on the actual domestic carbon cost</w:t>
      </w:r>
      <w:r w:rsidR="14C332B5" w:rsidRPr="004E70CE">
        <w:t>s</w:t>
      </w:r>
      <w:r w:rsidR="07021D3C" w:rsidRPr="004E70CE">
        <w:t xml:space="preserve"> incurred during production, or a benchmark such as ‘carbon efficient domestic production’ or ‘average global emissions intensity’, compared to the assessed carbon compliance </w:t>
      </w:r>
      <w:r w:rsidR="33C03392" w:rsidRPr="004E70CE">
        <w:t xml:space="preserve">cost </w:t>
      </w:r>
      <w:r w:rsidR="07021D3C" w:rsidRPr="004E70CE">
        <w:t xml:space="preserve">for production at the destination. An export </w:t>
      </w:r>
      <w:r w:rsidR="12F13CD9" w:rsidRPr="004E70CE">
        <w:t>border carbon adjustment</w:t>
      </w:r>
      <w:r w:rsidR="07021D3C" w:rsidRPr="004E70CE">
        <w:t xml:space="preserve"> would </w:t>
      </w:r>
      <w:r w:rsidR="5BB27CBE" w:rsidRPr="004E70CE">
        <w:t xml:space="preserve">increase </w:t>
      </w:r>
      <w:r w:rsidR="07021D3C" w:rsidRPr="004E70CE">
        <w:t xml:space="preserve">domestic producers’ competitiveness in overseas markets. </w:t>
      </w:r>
    </w:p>
    <w:p w14:paraId="36E1E220" w14:textId="77777777" w:rsidR="00D04908" w:rsidRPr="004E70CE" w:rsidRDefault="13F0CB8C" w:rsidP="00BB51BE">
      <w:r w:rsidRPr="004E70CE">
        <w:t xml:space="preserve">The Review has identified potential </w:t>
      </w:r>
      <w:r w:rsidR="083C24EB" w:rsidRPr="004E70CE">
        <w:t>carbon</w:t>
      </w:r>
      <w:r w:rsidRPr="004E70CE">
        <w:t xml:space="preserve"> leakage risk in some export sectors. </w:t>
      </w:r>
      <w:r w:rsidR="00841CB0" w:rsidRPr="004E70CE">
        <w:t xml:space="preserve">The export leakage risk is assessed to be most material in relation to steel, ammonia, alumina </w:t>
      </w:r>
      <w:r w:rsidR="00593291" w:rsidRPr="004E70CE">
        <w:t>and</w:t>
      </w:r>
      <w:r w:rsidR="00841CB0" w:rsidRPr="004E70CE">
        <w:t xml:space="preserve"> aluminium. </w:t>
      </w:r>
    </w:p>
    <w:p w14:paraId="12ACAE29" w14:textId="77777777" w:rsidR="008B7FBA" w:rsidRPr="004E70CE" w:rsidRDefault="5D81727F" w:rsidP="00BB51BE">
      <w:pPr>
        <w:rPr>
          <w:rFonts w:ascii="CIDFont+F4" w:hAnsi="CIDFont+F4" w:cs="CIDFont+F4"/>
        </w:rPr>
      </w:pPr>
      <w:r w:rsidRPr="004E70CE">
        <w:rPr>
          <w:rFonts w:ascii="CIDFont+F4" w:hAnsi="CIDFont+F4" w:cs="CIDFont+F4"/>
        </w:rPr>
        <w:t>Rebating</w:t>
      </w:r>
      <w:r w:rsidR="00F56310" w:rsidRPr="004E70CE">
        <w:rPr>
          <w:rFonts w:ascii="CIDFont+F4" w:hAnsi="CIDFont+F4" w:cs="CIDFont+F4"/>
        </w:rPr>
        <w:t xml:space="preserve"> carbon costs incurred under the</w:t>
      </w:r>
      <w:r w:rsidRPr="004E70CE">
        <w:rPr>
          <w:rFonts w:ascii="CIDFont+F4" w:hAnsi="CIDFont+F4" w:cs="CIDFont+F4"/>
        </w:rPr>
        <w:t xml:space="preserve"> Safeguard Mechanism for exports would effectively exempt production </w:t>
      </w:r>
      <w:r w:rsidR="00FD7B51" w:rsidRPr="004E70CE">
        <w:rPr>
          <w:rFonts w:ascii="CIDFont+F4" w:hAnsi="CIDFont+F4" w:cs="CIDFont+F4"/>
        </w:rPr>
        <w:t xml:space="preserve">that is </w:t>
      </w:r>
      <w:r w:rsidRPr="004E70CE">
        <w:rPr>
          <w:rFonts w:ascii="CIDFont+F4" w:hAnsi="CIDFont+F4" w:cs="CIDFont+F4"/>
        </w:rPr>
        <w:t>export</w:t>
      </w:r>
      <w:r w:rsidR="00FD7B51" w:rsidRPr="004E70CE">
        <w:rPr>
          <w:rFonts w:ascii="CIDFont+F4" w:hAnsi="CIDFont+F4" w:cs="CIDFont+F4"/>
        </w:rPr>
        <w:t>ed</w:t>
      </w:r>
      <w:r w:rsidRPr="004E70CE">
        <w:rPr>
          <w:rFonts w:ascii="CIDFont+F4" w:hAnsi="CIDFont+F4" w:cs="CIDFont+F4"/>
        </w:rPr>
        <w:t xml:space="preserve"> from emissions </w:t>
      </w:r>
      <w:r w:rsidR="003D2FF7" w:rsidRPr="004E70CE">
        <w:rPr>
          <w:rFonts w:ascii="CIDFont+F4" w:hAnsi="CIDFont+F4" w:cs="CIDFont+F4"/>
        </w:rPr>
        <w:t xml:space="preserve">reduction </w:t>
      </w:r>
      <w:r w:rsidRPr="004E70CE">
        <w:rPr>
          <w:rFonts w:ascii="CIDFont+F4" w:hAnsi="CIDFont+F4" w:cs="CIDFont+F4"/>
        </w:rPr>
        <w:t>obligations</w:t>
      </w:r>
      <w:r w:rsidR="30B8365E" w:rsidRPr="004E70CE">
        <w:rPr>
          <w:rFonts w:ascii="CIDFont+F4" w:hAnsi="CIDFont+F4" w:cs="CIDFont+F4"/>
        </w:rPr>
        <w:t>.</w:t>
      </w:r>
      <w:r w:rsidRPr="004E70CE">
        <w:rPr>
          <w:rFonts w:ascii="CIDFont+F4" w:hAnsi="CIDFont+F4" w:cs="CIDFont+F4"/>
        </w:rPr>
        <w:t xml:space="preserve"> </w:t>
      </w:r>
      <w:r w:rsidR="14A71B76" w:rsidRPr="004E70CE">
        <w:rPr>
          <w:rFonts w:ascii="CIDFont+F4" w:hAnsi="CIDFont+F4" w:cs="CIDFont+F4"/>
        </w:rPr>
        <w:t>This would be</w:t>
      </w:r>
      <w:r w:rsidRPr="004E70CE">
        <w:rPr>
          <w:rFonts w:ascii="CIDFont+F4" w:hAnsi="CIDFont+F4" w:cs="CIDFont+F4"/>
        </w:rPr>
        <w:t xml:space="preserve"> counter to national emissions reductions</w:t>
      </w:r>
      <w:r w:rsidR="733B1755" w:rsidRPr="004E70CE">
        <w:rPr>
          <w:rFonts w:ascii="CIDFont+F4" w:hAnsi="CIDFont+F4" w:cs="CIDFont+F4"/>
        </w:rPr>
        <w:t xml:space="preserve"> and net zero</w:t>
      </w:r>
      <w:r w:rsidRPr="004E70CE">
        <w:rPr>
          <w:rFonts w:ascii="CIDFont+F4" w:hAnsi="CIDFont+F4" w:cs="CIDFont+F4"/>
        </w:rPr>
        <w:t xml:space="preserve"> objectives. </w:t>
      </w:r>
    </w:p>
    <w:p w14:paraId="05A207C8" w14:textId="77777777" w:rsidR="00F71D47" w:rsidRPr="004E70CE" w:rsidRDefault="7F8C38CA" w:rsidP="00BB51BE">
      <w:r w:rsidRPr="004E70CE">
        <w:rPr>
          <w:rFonts w:ascii="CIDFont+F4" w:hAnsi="CIDFont+F4" w:cs="CIDFont+F4"/>
        </w:rPr>
        <w:t xml:space="preserve">An export </w:t>
      </w:r>
      <w:r w:rsidRPr="004E70CE">
        <w:t>border carbon adjustment</w:t>
      </w:r>
      <w:r w:rsidRPr="004E70CE">
        <w:rPr>
          <w:rFonts w:ascii="CIDFont+F4" w:hAnsi="CIDFont+F4" w:cs="CIDFont+F4"/>
        </w:rPr>
        <w:t xml:space="preserve"> </w:t>
      </w:r>
      <w:r w:rsidRPr="004E70CE">
        <w:t>would</w:t>
      </w:r>
      <w:r w:rsidR="3EE76DE6" w:rsidRPr="004E70CE">
        <w:t xml:space="preserve"> tend to result in less emissions reductions, and possibly increases in emissions, in </w:t>
      </w:r>
      <w:r w:rsidR="00CE3FDF" w:rsidRPr="004E70CE">
        <w:t>export-oriented</w:t>
      </w:r>
      <w:r w:rsidR="3EE76DE6" w:rsidRPr="004E70CE">
        <w:t xml:space="preserve"> </w:t>
      </w:r>
      <w:r w:rsidR="71435871" w:rsidRPr="004E70CE">
        <w:t>industries. It would consequently</w:t>
      </w:r>
      <w:r w:rsidRPr="004E70CE">
        <w:t xml:space="preserve"> increase the emissions reduction requirement on other sectors of the economy</w:t>
      </w:r>
      <w:r w:rsidR="3FC97C25" w:rsidRPr="004E70CE">
        <w:t>, including industries that predominantly supply the domestic market.</w:t>
      </w:r>
      <w:r w:rsidRPr="004E70CE">
        <w:t xml:space="preserve">  </w:t>
      </w:r>
    </w:p>
    <w:p w14:paraId="34112F91" w14:textId="77777777" w:rsidR="00F71D47" w:rsidRPr="004E70CE" w:rsidRDefault="35CAA1E5" w:rsidP="00BB51BE">
      <w:r w:rsidRPr="004E70CE">
        <w:lastRenderedPageBreak/>
        <w:t>Australia</w:t>
      </w:r>
      <w:r w:rsidR="008A663C" w:rsidRPr="004E70CE">
        <w:t>n</w:t>
      </w:r>
      <w:r w:rsidR="003A1D18" w:rsidRPr="004E70CE">
        <w:t xml:space="preserve"> </w:t>
      </w:r>
      <w:r w:rsidR="008A663C" w:rsidRPr="004E70CE">
        <w:t>industries are</w:t>
      </w:r>
      <w:r w:rsidRPr="004E70CE">
        <w:t xml:space="preserve"> </w:t>
      </w:r>
      <w:r w:rsidR="003A1D18" w:rsidRPr="004E70CE">
        <w:t xml:space="preserve">predominantly </w:t>
      </w:r>
      <w:r w:rsidRPr="004E70CE">
        <w:t>export oriented</w:t>
      </w:r>
      <w:r w:rsidR="4297CEAD" w:rsidRPr="004E70CE">
        <w:t xml:space="preserve">, so the effects of an export border carbon adjustment could be large. </w:t>
      </w:r>
      <w:r w:rsidR="105951ED" w:rsidRPr="004E70CE">
        <w:rPr>
          <w:rFonts w:ascii="CIDFont+F4" w:hAnsi="CIDFont+F4" w:cs="CIDFont+F4"/>
        </w:rPr>
        <w:t>Emissions from facilities in sectors that export at least 20% of their production comprise</w:t>
      </w:r>
      <w:r w:rsidR="09584BFA" w:rsidRPr="004E70CE">
        <w:rPr>
          <w:rFonts w:ascii="CIDFont+F4" w:hAnsi="CIDFont+F4" w:cs="CIDFont+F4"/>
        </w:rPr>
        <w:t>d</w:t>
      </w:r>
      <w:r w:rsidR="105951ED" w:rsidRPr="004E70CE">
        <w:rPr>
          <w:rFonts w:ascii="CIDFont+F4" w:hAnsi="CIDFont+F4" w:cs="CIDFont+F4"/>
        </w:rPr>
        <w:t xml:space="preserve"> approximately 73% of Safeguard emissions</w:t>
      </w:r>
      <w:r w:rsidR="5CB86451" w:rsidRPr="004E70CE">
        <w:rPr>
          <w:rFonts w:ascii="CIDFont+F4" w:hAnsi="CIDFont+F4" w:cs="CIDFont+F4"/>
        </w:rPr>
        <w:t xml:space="preserve"> in </w:t>
      </w:r>
      <w:r w:rsidR="0B95CA76" w:rsidRPr="004E70CE">
        <w:rPr>
          <w:rFonts w:ascii="CIDFont+F4" w:hAnsi="CIDFont+F4" w:cs="CIDFont+F4"/>
        </w:rPr>
        <w:t>2021-22</w:t>
      </w:r>
      <w:r w:rsidR="105951ED" w:rsidRPr="004E70CE">
        <w:rPr>
          <w:rFonts w:ascii="CIDFont+F4" w:hAnsi="CIDFont+F4" w:cs="CIDFont+F4"/>
        </w:rPr>
        <w:t>.</w:t>
      </w:r>
    </w:p>
    <w:p w14:paraId="125A9217" w14:textId="2E815475" w:rsidR="00F71D47" w:rsidRPr="004E70CE" w:rsidRDefault="3D05DDA4" w:rsidP="00BB51BE">
      <w:pPr>
        <w:tabs>
          <w:tab w:val="left" w:pos="4200"/>
        </w:tabs>
        <w:rPr>
          <w:rFonts w:ascii="CIDFont+F4" w:hAnsi="CIDFont+F4" w:cs="CIDFont+F4"/>
        </w:rPr>
      </w:pPr>
      <w:r w:rsidRPr="004E70CE">
        <w:rPr>
          <w:rFonts w:ascii="CIDFont+F4" w:hAnsi="CIDFont+F4" w:cs="CIDFont+F4"/>
        </w:rPr>
        <w:t>Importantly, a</w:t>
      </w:r>
      <w:r w:rsidR="07021D3C" w:rsidRPr="004E70CE">
        <w:rPr>
          <w:rFonts w:ascii="CIDFont+F4" w:hAnsi="CIDFont+F4" w:cs="CIDFont+F4"/>
        </w:rPr>
        <w:t xml:space="preserve">n export </w:t>
      </w:r>
      <w:r w:rsidR="07021D3C" w:rsidRPr="004E70CE">
        <w:t>border carbon adjustment</w:t>
      </w:r>
      <w:r w:rsidR="00D66D1D" w:rsidRPr="004E70CE">
        <w:t xml:space="preserve"> could</w:t>
      </w:r>
      <w:r w:rsidR="07021D3C" w:rsidRPr="004E70CE">
        <w:t xml:space="preserve"> </w:t>
      </w:r>
      <w:r w:rsidR="365AD3D9" w:rsidRPr="004E70CE">
        <w:t>also</w:t>
      </w:r>
      <w:r w:rsidR="723A6BA7" w:rsidRPr="004E70CE">
        <w:t xml:space="preserve"> raise </w:t>
      </w:r>
      <w:r w:rsidR="008A6B2C" w:rsidRPr="004E70CE">
        <w:t>considerable</w:t>
      </w:r>
      <w:r w:rsidR="723A6BA7" w:rsidRPr="004E70CE">
        <w:t xml:space="preserve"> international trade law </w:t>
      </w:r>
      <w:r w:rsidR="008A6B2C" w:rsidRPr="004E70CE">
        <w:t>concerns</w:t>
      </w:r>
      <w:r w:rsidR="00996B34" w:rsidRPr="004E70CE">
        <w:t xml:space="preserve"> and would need to be considered in the context of Australia’s ongoing commitment to an ope</w:t>
      </w:r>
      <w:r w:rsidR="002F48B3" w:rsidRPr="004E70CE">
        <w:t>n</w:t>
      </w:r>
      <w:r w:rsidR="00996B34" w:rsidRPr="004E70CE">
        <w:t xml:space="preserve"> trading system and international trade law obligations.</w:t>
      </w:r>
      <w:r w:rsidR="002335A8" w:rsidRPr="004E70CE">
        <w:t xml:space="preserve"> </w:t>
      </w:r>
      <w:r w:rsidR="00AA2B39" w:rsidRPr="004E70CE">
        <w:t xml:space="preserve">Although </w:t>
      </w:r>
      <w:r w:rsidR="00FD735D" w:rsidRPr="004E70CE">
        <w:t>such a measure has not been</w:t>
      </w:r>
      <w:r w:rsidR="00CA1C4C" w:rsidRPr="004E70CE">
        <w:t xml:space="preserve"> </w:t>
      </w:r>
      <w:r w:rsidR="001E05B3" w:rsidRPr="004E70CE">
        <w:t xml:space="preserve">tested in international trade law dispute settlement </w:t>
      </w:r>
      <w:r w:rsidR="008C5637" w:rsidRPr="004E70CE">
        <w:t>proceedings</w:t>
      </w:r>
      <w:r w:rsidR="00997CA7" w:rsidRPr="004E70CE">
        <w:t>,</w:t>
      </w:r>
      <w:r w:rsidR="008C5637" w:rsidRPr="004E70CE">
        <w:t xml:space="preserve"> many commentators </w:t>
      </w:r>
      <w:r w:rsidR="0099071C" w:rsidRPr="004E70CE">
        <w:t xml:space="preserve">have argued such a measure would be </w:t>
      </w:r>
      <w:r w:rsidR="00D212BD" w:rsidRPr="004E70CE">
        <w:t xml:space="preserve">inconsistent with </w:t>
      </w:r>
      <w:r w:rsidR="00F92462" w:rsidRPr="004E70CE">
        <w:t>international trade law.</w:t>
      </w:r>
      <w:r w:rsidR="00F92462" w:rsidRPr="004E70CE">
        <w:rPr>
          <w:rStyle w:val="FootnoteReference"/>
        </w:rPr>
        <w:footnoteReference w:id="98"/>
      </w:r>
      <w:r w:rsidR="002335A8" w:rsidRPr="004E70CE">
        <w:t xml:space="preserve"> Given </w:t>
      </w:r>
      <w:r w:rsidR="00225C0F" w:rsidRPr="004E70CE">
        <w:t>the challenges such a system poses for Australia’s climate objectives and the trade law considerations</w:t>
      </w:r>
      <w:r w:rsidR="000F3573" w:rsidRPr="004E70CE">
        <w:t>,</w:t>
      </w:r>
      <w:r w:rsidR="00225C0F" w:rsidRPr="004E70CE">
        <w:t xml:space="preserve"> an export border carbon adjustment is considered</w:t>
      </w:r>
      <w:r w:rsidR="00E23C02" w:rsidRPr="004E70CE">
        <w:t xml:space="preserve"> unsuitable and</w:t>
      </w:r>
      <w:r w:rsidR="00225C0F" w:rsidRPr="004E70CE">
        <w:t xml:space="preserve"> infeasible.</w:t>
      </w:r>
      <w:r w:rsidR="75442C71" w:rsidRPr="004E70CE">
        <w:rPr>
          <w:rFonts w:ascii="CIDFont+F4" w:hAnsi="CIDFont+F4" w:cs="CIDFont+F4"/>
        </w:rPr>
        <w:t xml:space="preserve">  </w:t>
      </w:r>
    </w:p>
    <w:p w14:paraId="37A3299D" w14:textId="77777777" w:rsidR="00F46ECE" w:rsidRPr="004E70CE" w:rsidRDefault="1CA700B5" w:rsidP="00BB51BE">
      <w:pPr>
        <w:rPr>
          <w:rFonts w:ascii="CIDFont+F4" w:hAnsi="CIDFont+F4" w:cs="CIDFont+F4"/>
        </w:rPr>
      </w:pPr>
      <w:r w:rsidRPr="004E70CE">
        <w:rPr>
          <w:rFonts w:ascii="CIDFont+F4" w:hAnsi="CIDFont+F4" w:cs="CIDFont+F4"/>
        </w:rPr>
        <w:t xml:space="preserve">Given the </w:t>
      </w:r>
      <w:r w:rsidR="2A68DC84" w:rsidRPr="004E70CE">
        <w:rPr>
          <w:rFonts w:ascii="CIDFont+F4" w:hAnsi="CIDFont+F4" w:cs="CIDFont+F4"/>
        </w:rPr>
        <w:t>challenges facing</w:t>
      </w:r>
      <w:r w:rsidRPr="004E70CE">
        <w:rPr>
          <w:rFonts w:ascii="CIDFont+F4" w:hAnsi="CIDFont+F4" w:cs="CIDFont+F4"/>
        </w:rPr>
        <w:t xml:space="preserve"> an export border carbon adjustment, t</w:t>
      </w:r>
      <w:r w:rsidR="5D1BE399" w:rsidRPr="004E70CE">
        <w:rPr>
          <w:rFonts w:ascii="CIDFont+F4" w:hAnsi="CIDFont+F4" w:cs="CIDFont+F4"/>
        </w:rPr>
        <w:t xml:space="preserve">he Review </w:t>
      </w:r>
      <w:r w:rsidR="75F3941C" w:rsidRPr="004E70CE">
        <w:rPr>
          <w:rFonts w:ascii="CIDFont+F4" w:hAnsi="CIDFont+F4" w:cs="CIDFont+F4"/>
        </w:rPr>
        <w:t xml:space="preserve">has considered what policy options would be appropriate for sectors facing </w:t>
      </w:r>
      <w:r w:rsidR="5F101669" w:rsidRPr="004E70CE">
        <w:rPr>
          <w:rFonts w:ascii="CIDFont+F4" w:hAnsi="CIDFont+F4" w:cs="CIDFont+F4"/>
        </w:rPr>
        <w:t xml:space="preserve">export </w:t>
      </w:r>
      <w:r w:rsidR="75F3941C" w:rsidRPr="004E70CE">
        <w:rPr>
          <w:rFonts w:ascii="CIDFont+F4" w:hAnsi="CIDFont+F4" w:cs="CIDFont+F4"/>
        </w:rPr>
        <w:t xml:space="preserve">leakage risk. Some of these sectors </w:t>
      </w:r>
      <w:r w:rsidR="7D5CB50C" w:rsidRPr="004E70CE">
        <w:rPr>
          <w:rFonts w:ascii="CIDFont+F4" w:hAnsi="CIDFont+F4" w:cs="CIDFont+F4"/>
        </w:rPr>
        <w:t xml:space="preserve">are included in </w:t>
      </w:r>
      <w:r w:rsidR="65EBAF69" w:rsidRPr="004E70CE">
        <w:rPr>
          <w:rFonts w:ascii="CIDFont+F4" w:hAnsi="CIDFont+F4" w:cs="CIDFont+F4"/>
        </w:rPr>
        <w:t>Future Made in Australia announcements</w:t>
      </w:r>
      <w:r w:rsidR="5F101669" w:rsidRPr="004E70CE">
        <w:rPr>
          <w:rFonts w:ascii="CIDFont+F4" w:hAnsi="CIDFont+F4" w:cs="CIDFont+F4"/>
        </w:rPr>
        <w:t xml:space="preserve"> (</w:t>
      </w:r>
      <w:r w:rsidR="005F0F9A" w:rsidRPr="004E70CE">
        <w:rPr>
          <w:rFonts w:ascii="CIDFont+F4" w:hAnsi="CIDFont+F4" w:cs="CIDFont+F4"/>
        </w:rPr>
        <w:t>s</w:t>
      </w:r>
      <w:r w:rsidR="5F101669" w:rsidRPr="004E70CE">
        <w:rPr>
          <w:rFonts w:ascii="CIDFont+F4" w:hAnsi="CIDFont+F4" w:cs="CIDFont+F4"/>
        </w:rPr>
        <w:t xml:space="preserve">ee </w:t>
      </w:r>
      <w:r w:rsidR="307E9FA5" w:rsidRPr="004E70CE">
        <w:rPr>
          <w:rFonts w:ascii="CIDFont+F4" w:hAnsi="CIDFont+F4" w:cs="CIDFont+F4"/>
          <w:b/>
          <w:bCs/>
        </w:rPr>
        <w:t xml:space="preserve">Section </w:t>
      </w:r>
      <w:r w:rsidR="5F101669" w:rsidRPr="004E70CE">
        <w:rPr>
          <w:rFonts w:ascii="CIDFont+F4" w:hAnsi="CIDFont+F4" w:cs="CIDFont+F4"/>
          <w:b/>
          <w:bCs/>
        </w:rPr>
        <w:t>2.2</w:t>
      </w:r>
      <w:r w:rsidR="5F101669" w:rsidRPr="004E70CE">
        <w:rPr>
          <w:rFonts w:ascii="CIDFont+F4" w:hAnsi="CIDFont+F4" w:cs="CIDFont+F4"/>
        </w:rPr>
        <w:t xml:space="preserve">). </w:t>
      </w:r>
      <w:r w:rsidR="6644FC2E" w:rsidRPr="004E70CE">
        <w:rPr>
          <w:rFonts w:ascii="CIDFont+F4" w:hAnsi="CIDFont+F4" w:cs="CIDFont+F4"/>
        </w:rPr>
        <w:t>It has not been possible to specifically</w:t>
      </w:r>
      <w:r w:rsidR="5F101669" w:rsidRPr="004E70CE">
        <w:rPr>
          <w:rFonts w:ascii="CIDFont+F4" w:hAnsi="CIDFont+F4" w:cs="CIDFont+F4"/>
        </w:rPr>
        <w:t xml:space="preserve"> assess the </w:t>
      </w:r>
      <w:r w:rsidR="6057742C" w:rsidRPr="004E70CE">
        <w:rPr>
          <w:rFonts w:ascii="CIDFont+F4" w:hAnsi="CIDFont+F4" w:cs="CIDFont+F4"/>
        </w:rPr>
        <w:t xml:space="preserve">impact </w:t>
      </w:r>
      <w:r w:rsidR="78F48D38" w:rsidRPr="004E70CE">
        <w:rPr>
          <w:rFonts w:ascii="CIDFont+F4" w:hAnsi="CIDFont+F4" w:cs="CIDFont+F4"/>
        </w:rPr>
        <w:t>that these programs may have on</w:t>
      </w:r>
      <w:r w:rsidR="307E9FA5" w:rsidRPr="004E70CE">
        <w:rPr>
          <w:rFonts w:ascii="CIDFont+F4" w:hAnsi="CIDFont+F4" w:cs="CIDFont+F4"/>
        </w:rPr>
        <w:t xml:space="preserve"> carbon leakage</w:t>
      </w:r>
      <w:r w:rsidR="64C4B5DE" w:rsidRPr="004E70CE">
        <w:rPr>
          <w:rFonts w:ascii="CIDFont+F4" w:hAnsi="CIDFont+F4" w:cs="CIDFont+F4"/>
        </w:rPr>
        <w:t xml:space="preserve"> </w:t>
      </w:r>
      <w:r w:rsidR="456C19A6" w:rsidRPr="004E70CE">
        <w:rPr>
          <w:rFonts w:ascii="CIDFont+F4" w:hAnsi="CIDFont+F4" w:cs="CIDFont+F4"/>
        </w:rPr>
        <w:t>risks</w:t>
      </w:r>
      <w:r w:rsidR="6057742C" w:rsidRPr="004E70CE">
        <w:rPr>
          <w:rFonts w:ascii="CIDFont+F4" w:hAnsi="CIDFont+F4" w:cs="CIDFont+F4"/>
        </w:rPr>
        <w:t>. However, as a matter of principle, public investment should</w:t>
      </w:r>
      <w:r w:rsidR="5F101669" w:rsidRPr="004E70CE">
        <w:rPr>
          <w:rFonts w:ascii="CIDFont+F4" w:hAnsi="CIDFont+F4" w:cs="CIDFont+F4"/>
        </w:rPr>
        <w:t xml:space="preserve"> </w:t>
      </w:r>
      <w:r w:rsidR="6057742C" w:rsidRPr="004E70CE">
        <w:rPr>
          <w:rFonts w:ascii="CIDFont+F4" w:hAnsi="CIDFont+F4" w:cs="CIDFont+F4"/>
        </w:rPr>
        <w:t xml:space="preserve">offset </w:t>
      </w:r>
      <w:r w:rsidR="5E726A78" w:rsidRPr="004E70CE">
        <w:rPr>
          <w:rFonts w:ascii="CIDFont+F4" w:hAnsi="CIDFont+F4" w:cs="CIDFont+F4"/>
        </w:rPr>
        <w:t xml:space="preserve">some </w:t>
      </w:r>
      <w:r w:rsidR="19E42605" w:rsidRPr="004E70CE">
        <w:rPr>
          <w:rFonts w:ascii="CIDFont+F4" w:hAnsi="CIDFont+F4" w:cs="CIDFont+F4"/>
        </w:rPr>
        <w:t>carbon leakage risk</w:t>
      </w:r>
      <w:r w:rsidR="0FCE885F" w:rsidRPr="004E70CE">
        <w:rPr>
          <w:rFonts w:ascii="CIDFont+F4" w:hAnsi="CIDFont+F4" w:cs="CIDFont+F4"/>
        </w:rPr>
        <w:t xml:space="preserve"> </w:t>
      </w:r>
      <w:r w:rsidR="4F13674D" w:rsidRPr="004E70CE">
        <w:rPr>
          <w:rFonts w:ascii="CIDFont+F4" w:hAnsi="CIDFont+F4" w:cs="CIDFont+F4"/>
        </w:rPr>
        <w:t xml:space="preserve">by </w:t>
      </w:r>
      <w:r w:rsidR="02032020" w:rsidRPr="004E70CE">
        <w:rPr>
          <w:rFonts w:ascii="CIDFont+F4" w:hAnsi="CIDFont+F4" w:cs="CIDFont+F4"/>
        </w:rPr>
        <w:t>supporting</w:t>
      </w:r>
      <w:r w:rsidR="4F95B4C1" w:rsidRPr="004E70CE">
        <w:rPr>
          <w:rFonts w:ascii="CIDFont+F4" w:hAnsi="CIDFont+F4" w:cs="CIDFont+F4"/>
        </w:rPr>
        <w:t xml:space="preserve"> investment </w:t>
      </w:r>
      <w:r w:rsidR="24AB12F9" w:rsidRPr="004E70CE">
        <w:rPr>
          <w:rFonts w:ascii="CIDFont+F4" w:hAnsi="CIDFont+F4" w:cs="CIDFont+F4"/>
        </w:rPr>
        <w:t>in low and zero</w:t>
      </w:r>
      <w:r w:rsidR="00B23303" w:rsidRPr="004E70CE">
        <w:rPr>
          <w:rFonts w:ascii="CIDFont+F4" w:hAnsi="CIDFont+F4" w:cs="CIDFont+F4"/>
        </w:rPr>
        <w:t xml:space="preserve"> </w:t>
      </w:r>
      <w:r w:rsidR="24AB12F9" w:rsidRPr="004E70CE">
        <w:rPr>
          <w:rFonts w:ascii="CIDFont+F4" w:hAnsi="CIDFont+F4" w:cs="CIDFont+F4"/>
        </w:rPr>
        <w:t>emissions options</w:t>
      </w:r>
      <w:r w:rsidR="6057742C" w:rsidRPr="004E70CE">
        <w:rPr>
          <w:rFonts w:ascii="CIDFont+F4" w:hAnsi="CIDFont+F4" w:cs="CIDFont+F4"/>
        </w:rPr>
        <w:t xml:space="preserve">. </w:t>
      </w:r>
    </w:p>
    <w:p w14:paraId="09803ACA" w14:textId="77777777" w:rsidR="00FC333C" w:rsidRPr="004E70CE" w:rsidRDefault="2334DFA9" w:rsidP="00BB51BE">
      <w:pPr>
        <w:rPr>
          <w:rFonts w:ascii="CIDFont+F4" w:hAnsi="CIDFont+F4" w:cs="CIDFont+F4"/>
        </w:rPr>
      </w:pPr>
      <w:r w:rsidRPr="004E70CE">
        <w:rPr>
          <w:rFonts w:ascii="CIDFont+F4" w:hAnsi="CIDFont+F4" w:cs="CIDFont+F4"/>
        </w:rPr>
        <w:t>Over time, e</w:t>
      </w:r>
      <w:r w:rsidR="628A5443" w:rsidRPr="004E70CE">
        <w:rPr>
          <w:rFonts w:ascii="CIDFont+F4" w:hAnsi="CIDFont+F4" w:cs="CIDFont+F4"/>
        </w:rPr>
        <w:t xml:space="preserve">xport sectors will benefit most from </w:t>
      </w:r>
      <w:r w:rsidR="7B693FE2" w:rsidRPr="004E70CE">
        <w:rPr>
          <w:rFonts w:ascii="CIDFont+F4" w:hAnsi="CIDFont+F4" w:cs="CIDFont+F4"/>
        </w:rPr>
        <w:t xml:space="preserve">a faster </w:t>
      </w:r>
      <w:r w:rsidR="2C200E60" w:rsidRPr="004E70CE">
        <w:rPr>
          <w:rFonts w:ascii="CIDFont+F4" w:hAnsi="CIDFont+F4" w:cs="CIDFont+F4"/>
        </w:rPr>
        <w:t xml:space="preserve">global energy transition and the </w:t>
      </w:r>
      <w:r w:rsidRPr="004E70CE">
        <w:rPr>
          <w:rFonts w:ascii="CIDFont+F4" w:hAnsi="CIDFont+F4" w:cs="CIDFont+F4"/>
        </w:rPr>
        <w:t>further</w:t>
      </w:r>
      <w:r w:rsidR="4FC19068" w:rsidRPr="004E70CE">
        <w:rPr>
          <w:rFonts w:ascii="CIDFont+F4" w:hAnsi="CIDFont+F4" w:cs="CIDFont+F4"/>
        </w:rPr>
        <w:t xml:space="preserve"> </w:t>
      </w:r>
      <w:r w:rsidR="7F8B6D69" w:rsidRPr="004E70CE">
        <w:rPr>
          <w:rFonts w:ascii="CIDFont+F4" w:hAnsi="CIDFont+F4" w:cs="CIDFont+F4"/>
        </w:rPr>
        <w:t xml:space="preserve">growth of markets that </w:t>
      </w:r>
      <w:r w:rsidR="51A7EDFE" w:rsidRPr="004E70CE">
        <w:rPr>
          <w:rFonts w:ascii="CIDFont+F4" w:hAnsi="CIDFont+F4" w:cs="CIDFont+F4"/>
        </w:rPr>
        <w:t xml:space="preserve">provide </w:t>
      </w:r>
      <w:r w:rsidR="7F8B6D69" w:rsidRPr="004E70CE">
        <w:rPr>
          <w:rFonts w:ascii="CIDFont+F4" w:hAnsi="CIDFont+F4" w:cs="CIDFont+F4"/>
        </w:rPr>
        <w:t>a premium for low</w:t>
      </w:r>
      <w:r w:rsidR="00B23303" w:rsidRPr="004E70CE">
        <w:rPr>
          <w:rFonts w:ascii="CIDFont+F4" w:hAnsi="CIDFont+F4" w:cs="CIDFont+F4"/>
        </w:rPr>
        <w:t xml:space="preserve"> </w:t>
      </w:r>
      <w:r w:rsidR="7F8B6D69" w:rsidRPr="004E70CE">
        <w:rPr>
          <w:rFonts w:ascii="CIDFont+F4" w:hAnsi="CIDFont+F4" w:cs="CIDFont+F4"/>
        </w:rPr>
        <w:t>emissions goods</w:t>
      </w:r>
      <w:r w:rsidR="5999DB3C" w:rsidRPr="004E70CE">
        <w:rPr>
          <w:rFonts w:ascii="CIDFont+F4" w:hAnsi="CIDFont+F4" w:cs="CIDFont+F4"/>
        </w:rPr>
        <w:t xml:space="preserve">. </w:t>
      </w:r>
      <w:r w:rsidR="0FCE885F" w:rsidRPr="004E70CE">
        <w:rPr>
          <w:rFonts w:ascii="CIDFont+F4" w:hAnsi="CIDFont+F4" w:cs="CIDFont+F4"/>
        </w:rPr>
        <w:t>T</w:t>
      </w:r>
      <w:r w:rsidR="18E5BC13" w:rsidRPr="004E70CE">
        <w:rPr>
          <w:rFonts w:ascii="CIDFont+F4" w:hAnsi="CIDFont+F4" w:cs="CIDFont+F4"/>
        </w:rPr>
        <w:t xml:space="preserve">his premium </w:t>
      </w:r>
      <w:r w:rsidR="5999DB3C" w:rsidRPr="004E70CE">
        <w:rPr>
          <w:rFonts w:ascii="CIDFont+F4" w:hAnsi="CIDFont+F4" w:cs="CIDFont+F4"/>
        </w:rPr>
        <w:t xml:space="preserve">could </w:t>
      </w:r>
      <w:r w:rsidR="18E5BC13" w:rsidRPr="004E70CE">
        <w:rPr>
          <w:rFonts w:ascii="CIDFont+F4" w:hAnsi="CIDFont+F4" w:cs="CIDFont+F4"/>
        </w:rPr>
        <w:t xml:space="preserve">be achieved </w:t>
      </w:r>
      <w:r w:rsidR="5999DB3C" w:rsidRPr="004E70CE">
        <w:rPr>
          <w:rFonts w:ascii="CIDFont+F4" w:hAnsi="CIDFont+F4" w:cs="CIDFont+F4"/>
        </w:rPr>
        <w:t xml:space="preserve">through other countries implementing carbon </w:t>
      </w:r>
      <w:r w:rsidR="26228A51" w:rsidRPr="004E70CE">
        <w:rPr>
          <w:rFonts w:ascii="CIDFont+F4" w:hAnsi="CIDFont+F4" w:cs="CIDFont+F4"/>
        </w:rPr>
        <w:t xml:space="preserve">pricing complemented by </w:t>
      </w:r>
      <w:r w:rsidR="18E5BC13" w:rsidRPr="004E70CE">
        <w:rPr>
          <w:rFonts w:ascii="CIDFont+F4" w:hAnsi="CIDFont+F4" w:cs="CIDFont+F4"/>
        </w:rPr>
        <w:t>border carbon adjustment</w:t>
      </w:r>
      <w:r w:rsidR="5B732E76" w:rsidRPr="004E70CE">
        <w:rPr>
          <w:rFonts w:ascii="CIDFont+F4" w:hAnsi="CIDFont+F4" w:cs="CIDFont+F4"/>
        </w:rPr>
        <w:t xml:space="preserve">s. </w:t>
      </w:r>
      <w:r w:rsidR="4C73FE33" w:rsidRPr="004E70CE">
        <w:rPr>
          <w:rFonts w:ascii="CIDFont+F4" w:hAnsi="CIDFont+F4" w:cs="CIDFont+F4"/>
        </w:rPr>
        <w:t>Australian exports of green commodities can also benefit from o</w:t>
      </w:r>
      <w:r w:rsidR="5B732E76" w:rsidRPr="004E70CE">
        <w:rPr>
          <w:rFonts w:ascii="CIDFont+F4" w:hAnsi="CIDFont+F4" w:cs="CIDFont+F4"/>
        </w:rPr>
        <w:t>ther</w:t>
      </w:r>
      <w:r w:rsidR="4AA99304" w:rsidRPr="004E70CE">
        <w:rPr>
          <w:rFonts w:ascii="CIDFont+F4" w:hAnsi="CIDFont+F4" w:cs="CIDFont+F4"/>
        </w:rPr>
        <w:t xml:space="preserve"> countries</w:t>
      </w:r>
      <w:r w:rsidR="55DCD7F2" w:rsidRPr="004E70CE">
        <w:rPr>
          <w:rFonts w:ascii="CIDFont+F4" w:hAnsi="CIDFont+F4" w:cs="CIDFont+F4"/>
        </w:rPr>
        <w:t xml:space="preserve">’ </w:t>
      </w:r>
      <w:r w:rsidR="5B732E76" w:rsidRPr="004E70CE">
        <w:rPr>
          <w:rFonts w:ascii="CIDFont+F4" w:hAnsi="CIDFont+F4" w:cs="CIDFont+F4"/>
        </w:rPr>
        <w:t>policy approaches</w:t>
      </w:r>
      <w:r w:rsidR="00B23303" w:rsidRPr="004E70CE">
        <w:rPr>
          <w:rFonts w:ascii="CIDFont+F4" w:hAnsi="CIDFont+F4" w:cs="CIDFont+F4"/>
        </w:rPr>
        <w:t>,</w:t>
      </w:r>
      <w:r w:rsidR="5B732E76" w:rsidRPr="004E70CE">
        <w:rPr>
          <w:rFonts w:ascii="CIDFont+F4" w:hAnsi="CIDFont+F4" w:cs="CIDFont+F4"/>
        </w:rPr>
        <w:t xml:space="preserve"> such as mandatory </w:t>
      </w:r>
      <w:r w:rsidR="1A1813A8" w:rsidRPr="004E70CE">
        <w:rPr>
          <w:rFonts w:ascii="CIDFont+F4" w:hAnsi="CIDFont+F4" w:cs="CIDFont+F4"/>
        </w:rPr>
        <w:t xml:space="preserve">product </w:t>
      </w:r>
      <w:r w:rsidR="5B732E76" w:rsidRPr="004E70CE">
        <w:rPr>
          <w:rFonts w:ascii="CIDFont+F4" w:hAnsi="CIDFont+F4" w:cs="CIDFont+F4"/>
        </w:rPr>
        <w:t>standards for imports (e</w:t>
      </w:r>
      <w:r w:rsidR="009013AD" w:rsidRPr="004E70CE">
        <w:rPr>
          <w:rFonts w:ascii="CIDFont+F4" w:hAnsi="CIDFont+F4" w:cs="CIDFont+F4"/>
        </w:rPr>
        <w:t>.</w:t>
      </w:r>
      <w:r w:rsidR="5B732E76" w:rsidRPr="004E70CE">
        <w:rPr>
          <w:rFonts w:ascii="CIDFont+F4" w:hAnsi="CIDFont+F4" w:cs="CIDFont+F4"/>
        </w:rPr>
        <w:t>g</w:t>
      </w:r>
      <w:r w:rsidR="009013AD" w:rsidRPr="004E70CE">
        <w:rPr>
          <w:rFonts w:ascii="CIDFont+F4" w:hAnsi="CIDFont+F4" w:cs="CIDFont+F4"/>
        </w:rPr>
        <w:t>.</w:t>
      </w:r>
      <w:r w:rsidR="5B732E76" w:rsidRPr="004E70CE">
        <w:rPr>
          <w:rFonts w:ascii="CIDFont+F4" w:hAnsi="CIDFont+F4" w:cs="CIDFont+F4"/>
        </w:rPr>
        <w:t xml:space="preserve"> </w:t>
      </w:r>
      <w:r w:rsidR="4199FB25" w:rsidRPr="004E70CE">
        <w:rPr>
          <w:rFonts w:ascii="CIDFont+F4" w:hAnsi="CIDFont+F4" w:cs="CIDFont+F4"/>
        </w:rPr>
        <w:t xml:space="preserve">emissions standards </w:t>
      </w:r>
      <w:r w:rsidR="5B732E76" w:rsidRPr="004E70CE">
        <w:rPr>
          <w:rFonts w:ascii="CIDFont+F4" w:hAnsi="CIDFont+F4" w:cs="CIDFont+F4"/>
        </w:rPr>
        <w:t>for hydrogen and hydrogen derived products)</w:t>
      </w:r>
      <w:r w:rsidR="507F14C1" w:rsidRPr="004E70CE">
        <w:rPr>
          <w:rFonts w:ascii="CIDFont+F4" w:hAnsi="CIDFont+F4" w:cs="CIDFont+F4"/>
        </w:rPr>
        <w:t xml:space="preserve"> </w:t>
      </w:r>
      <w:r w:rsidR="6D218B9A" w:rsidRPr="004E70CE">
        <w:rPr>
          <w:rFonts w:ascii="CIDFont+F4" w:hAnsi="CIDFont+F4" w:cs="CIDFont+F4"/>
        </w:rPr>
        <w:t xml:space="preserve">and a more general shift to production systems </w:t>
      </w:r>
      <w:r w:rsidR="33AC9EFB" w:rsidRPr="004E70CE">
        <w:rPr>
          <w:rFonts w:ascii="CIDFont+F4" w:hAnsi="CIDFont+F4" w:cs="CIDFont+F4"/>
        </w:rPr>
        <w:t xml:space="preserve">which </w:t>
      </w:r>
      <w:r w:rsidR="4014A5E7" w:rsidRPr="004E70CE">
        <w:rPr>
          <w:rFonts w:ascii="CIDFont+F4" w:hAnsi="CIDFont+F4" w:cs="CIDFont+F4"/>
        </w:rPr>
        <w:t>make low</w:t>
      </w:r>
      <w:r w:rsidR="00B23303" w:rsidRPr="004E70CE">
        <w:rPr>
          <w:rFonts w:ascii="CIDFont+F4" w:hAnsi="CIDFont+F4" w:cs="CIDFont+F4"/>
        </w:rPr>
        <w:t xml:space="preserve"> </w:t>
      </w:r>
      <w:r w:rsidR="4014A5E7" w:rsidRPr="004E70CE">
        <w:rPr>
          <w:rFonts w:ascii="CIDFont+F4" w:hAnsi="CIDFont+F4" w:cs="CIDFont+F4"/>
        </w:rPr>
        <w:t>emissions production the norm</w:t>
      </w:r>
      <w:r w:rsidR="150CACE5" w:rsidRPr="004E70CE">
        <w:rPr>
          <w:rFonts w:ascii="CIDFont+F4" w:hAnsi="CIDFont+F4" w:cs="CIDFont+F4"/>
        </w:rPr>
        <w:t>.</w:t>
      </w:r>
      <w:r w:rsidR="41A47732" w:rsidRPr="004E70CE">
        <w:rPr>
          <w:rFonts w:ascii="CIDFont+F4" w:hAnsi="CIDFont+F4" w:cs="CIDFont+F4"/>
        </w:rPr>
        <w:t xml:space="preserve"> </w:t>
      </w:r>
    </w:p>
    <w:p w14:paraId="175C0731" w14:textId="77777777" w:rsidR="00FC333C" w:rsidRPr="004E70CE" w:rsidRDefault="41A47732" w:rsidP="00BB51BE">
      <w:pPr>
        <w:rPr>
          <w:rFonts w:ascii="CIDFont+F4" w:hAnsi="CIDFont+F4" w:cs="CIDFont+F4"/>
        </w:rPr>
      </w:pPr>
      <w:r w:rsidRPr="004E70CE">
        <w:rPr>
          <w:rFonts w:ascii="CIDFont+F4" w:hAnsi="CIDFont+F4" w:cs="CIDFont+F4"/>
        </w:rPr>
        <w:t xml:space="preserve">Australia </w:t>
      </w:r>
      <w:r w:rsidR="1761DE0B" w:rsidRPr="004E70CE">
        <w:rPr>
          <w:rFonts w:ascii="CIDFont+F4" w:hAnsi="CIDFont+F4" w:cs="CIDFont+F4"/>
        </w:rPr>
        <w:t>has opportunities to amplify</w:t>
      </w:r>
      <w:r w:rsidRPr="004E70CE">
        <w:rPr>
          <w:rFonts w:ascii="CIDFont+F4" w:hAnsi="CIDFont+F4" w:cs="CIDFont+F4"/>
        </w:rPr>
        <w:t xml:space="preserve"> engage</w:t>
      </w:r>
      <w:r w:rsidR="6A6B55FD" w:rsidRPr="004E70CE">
        <w:rPr>
          <w:rFonts w:ascii="CIDFont+F4" w:hAnsi="CIDFont+F4" w:cs="CIDFont+F4"/>
        </w:rPr>
        <w:t>ment</w:t>
      </w:r>
      <w:r w:rsidRPr="004E70CE">
        <w:rPr>
          <w:rFonts w:ascii="CIDFont+F4" w:hAnsi="CIDFont+F4" w:cs="CIDFont+F4"/>
        </w:rPr>
        <w:t xml:space="preserve"> with multilateral and plurilateral forums to facilitate growth in markets which offer a premium for low</w:t>
      </w:r>
      <w:r w:rsidR="00B23303" w:rsidRPr="004E70CE">
        <w:rPr>
          <w:rFonts w:ascii="CIDFont+F4" w:hAnsi="CIDFont+F4" w:cs="CIDFont+F4"/>
        </w:rPr>
        <w:t xml:space="preserve"> </w:t>
      </w:r>
      <w:r w:rsidRPr="004E70CE">
        <w:rPr>
          <w:rFonts w:ascii="CIDFont+F4" w:hAnsi="CIDFont+F4" w:cs="CIDFont+F4"/>
        </w:rPr>
        <w:t>emission goods (see</w:t>
      </w:r>
      <w:r w:rsidR="4B80E67B" w:rsidRPr="004E70CE">
        <w:rPr>
          <w:rFonts w:ascii="CIDFont+F4" w:hAnsi="CIDFont+F4" w:cs="CIDFont+F4"/>
        </w:rPr>
        <w:t xml:space="preserve"> </w:t>
      </w:r>
      <w:r w:rsidR="008C739E" w:rsidRPr="004E70CE">
        <w:rPr>
          <w:rFonts w:ascii="CIDFont+F4" w:hAnsi="CIDFont+F4" w:cs="CIDFont+F4"/>
          <w:b/>
          <w:bCs/>
        </w:rPr>
        <w:t>Chapter 6</w:t>
      </w:r>
      <w:r w:rsidRPr="004E70CE">
        <w:rPr>
          <w:rFonts w:ascii="CIDFont+F4" w:hAnsi="CIDFont+F4" w:cs="CIDFont+F4"/>
        </w:rPr>
        <w:t>).</w:t>
      </w:r>
      <w:r w:rsidR="150CACE5" w:rsidRPr="004E70CE">
        <w:rPr>
          <w:rFonts w:ascii="CIDFont+F4" w:hAnsi="CIDFont+F4" w:cs="CIDFont+F4"/>
        </w:rPr>
        <w:t xml:space="preserve"> </w:t>
      </w:r>
    </w:p>
    <w:p w14:paraId="408C91EE" w14:textId="3291E332" w:rsidR="00D375E2" w:rsidRPr="004E70CE" w:rsidRDefault="00D375E2" w:rsidP="00BB51BE">
      <w:pPr>
        <w:rPr>
          <w:rFonts w:ascii="CIDFont+F4" w:hAnsi="CIDFont+F4" w:cs="CIDFont+F4"/>
        </w:rPr>
      </w:pPr>
      <w:r w:rsidRPr="004E70CE">
        <w:rPr>
          <w:rFonts w:ascii="CIDFont+F4" w:hAnsi="CIDFont+F4" w:cs="CIDFont+F4"/>
        </w:rPr>
        <w:t xml:space="preserve">An export </w:t>
      </w:r>
      <w:r w:rsidRPr="004E70CE">
        <w:t>border carbon adjustment</w:t>
      </w:r>
      <w:r w:rsidRPr="004E70CE">
        <w:rPr>
          <w:rFonts w:ascii="CIDFont+F4" w:hAnsi="CIDFont+F4" w:cs="CIDFont+F4"/>
        </w:rPr>
        <w:t xml:space="preserve"> which rebates Safeguard Mechanism costs </w:t>
      </w:r>
      <w:r w:rsidR="0022577F" w:rsidRPr="004E70CE">
        <w:rPr>
          <w:rFonts w:ascii="CIDFont+F4" w:hAnsi="CIDFont+F4" w:cs="CIDFont+F4"/>
        </w:rPr>
        <w:t>c</w:t>
      </w:r>
      <w:r w:rsidRPr="004E70CE">
        <w:rPr>
          <w:rFonts w:ascii="CIDFont+F4" w:hAnsi="CIDFont+F4" w:cs="CIDFont+F4"/>
        </w:rPr>
        <w:t xml:space="preserve">ould pose fundamental challenges for Australia’s climate objectives and </w:t>
      </w:r>
      <w:r w:rsidRPr="004E70CE">
        <w:t>would raise considerable international trade law concerns.</w:t>
      </w:r>
      <w:r w:rsidRPr="004E70CE">
        <w:rPr>
          <w:rFonts w:ascii="CIDFont+F4" w:hAnsi="CIDFont+F4" w:cs="CIDFont+F4"/>
        </w:rPr>
        <w:t xml:space="preserve"> Consequently, the Review assesses export border carbon adjustment as unsuitable for Australia.</w:t>
      </w:r>
    </w:p>
    <w:p w14:paraId="6BC73AF7" w14:textId="77777777" w:rsidR="00D221F4" w:rsidRPr="004E70CE" w:rsidRDefault="00D221F4" w:rsidP="00BB51BE">
      <w:pPr>
        <w:rPr>
          <w:rFonts w:ascii="CIDFont+F4" w:hAnsi="CIDFont+F4" w:cs="CIDFont+F4"/>
        </w:rPr>
      </w:pPr>
      <w:r w:rsidRPr="004E70CE">
        <w:rPr>
          <w:rFonts w:ascii="CIDFont+F4" w:hAnsi="CIDFont+F4" w:cs="CIDFont+F4"/>
        </w:rPr>
        <w:t>For the remainder of this paper the term ‘border carbon adjustment’ will be used to refer only to an import-based border carbon adjustment mechanism.</w:t>
      </w:r>
    </w:p>
    <w:p w14:paraId="552DF7F6" w14:textId="77777777" w:rsidR="00124354" w:rsidRPr="004E70CE" w:rsidRDefault="00124354" w:rsidP="00BB51BE">
      <w:pPr>
        <w:rPr>
          <w:rFonts w:ascii="Calibri" w:eastAsia="Times New Roman" w:hAnsi="Calibri" w:cs="Times New Roman"/>
          <w:b/>
          <w:bCs/>
          <w:sz w:val="36"/>
          <w:szCs w:val="24"/>
        </w:rPr>
      </w:pPr>
      <w:bookmarkStart w:id="22" w:name="_Toc166871092"/>
      <w:r w:rsidRPr="004E70CE">
        <w:br w:type="page"/>
      </w:r>
    </w:p>
    <w:p w14:paraId="5F8E774D" w14:textId="77777777" w:rsidR="00BB567F" w:rsidRPr="004E70CE" w:rsidRDefault="00BB567F" w:rsidP="00BB51BE">
      <w:pPr>
        <w:pStyle w:val="Heading3"/>
        <w:spacing w:line="276" w:lineRule="auto"/>
      </w:pPr>
      <w:bookmarkStart w:id="23" w:name="_Toc173997665"/>
      <w:r w:rsidRPr="004E70CE">
        <w:lastRenderedPageBreak/>
        <w:t>Economic effects of a border carbon adjustment</w:t>
      </w:r>
      <w:bookmarkEnd w:id="22"/>
      <w:bookmarkEnd w:id="23"/>
    </w:p>
    <w:p w14:paraId="7783A421" w14:textId="77777777" w:rsidR="00483160" w:rsidRPr="004E70CE" w:rsidRDefault="00C85D39" w:rsidP="00BB51BE">
      <w:r w:rsidRPr="004E70CE">
        <w:t>A b</w:t>
      </w:r>
      <w:r w:rsidR="00483160" w:rsidRPr="004E70CE">
        <w:t xml:space="preserve">order carbon adjustment, properly designed and implemented, provides equivalent policy treatment for embedded </w:t>
      </w:r>
      <w:r w:rsidR="00483160" w:rsidRPr="004E70CE">
        <w:rPr>
          <w:rFonts w:ascii="CIDFont+F4" w:hAnsi="CIDFont+F4" w:cs="CIDFont+F4"/>
        </w:rPr>
        <w:t>emissions</w:t>
      </w:r>
      <w:r w:rsidR="00483160" w:rsidRPr="004E70CE">
        <w:t xml:space="preserve"> for production within the implementing country and imports. </w:t>
      </w:r>
    </w:p>
    <w:p w14:paraId="103C7A0E" w14:textId="77777777" w:rsidR="0065149E" w:rsidRPr="004E70CE" w:rsidRDefault="00483160" w:rsidP="00BB51BE">
      <w:r w:rsidRPr="004E70CE">
        <w:t xml:space="preserve">As a result, the risk of carbon leakage – relocation purely </w:t>
      </w:r>
      <w:r w:rsidR="00321545" w:rsidRPr="004E70CE">
        <w:t>because</w:t>
      </w:r>
      <w:r w:rsidRPr="004E70CE">
        <w:t xml:space="preserve"> of policy differences – is fully addressed. A border carbon adjustment can mean greater confidence for investment in low or zero</w:t>
      </w:r>
      <w:r w:rsidR="008036ED" w:rsidRPr="004E70CE">
        <w:t xml:space="preserve"> </w:t>
      </w:r>
      <w:r w:rsidRPr="004E70CE">
        <w:t xml:space="preserve">emissions </w:t>
      </w:r>
      <w:r w:rsidRPr="004E70CE">
        <w:rPr>
          <w:rFonts w:ascii="CIDFont+F4" w:hAnsi="CIDFont+F4" w:cs="CIDFont+F4"/>
        </w:rPr>
        <w:t>production</w:t>
      </w:r>
      <w:r w:rsidRPr="004E70CE">
        <w:t xml:space="preserve">, including </w:t>
      </w:r>
      <w:r w:rsidRPr="004E70CE">
        <w:rPr>
          <w:rFonts w:ascii="CIDFont+F4" w:hAnsi="CIDFont+F4" w:cs="CIDFont+F4"/>
        </w:rPr>
        <w:t>both</w:t>
      </w:r>
      <w:r w:rsidRPr="004E70CE">
        <w:t xml:space="preserve"> </w:t>
      </w:r>
      <w:r w:rsidRPr="004E70CE">
        <w:rPr>
          <w:rFonts w:ascii="CIDFont+F4" w:hAnsi="CIDFont+F4" w:cs="CIDFont+F4"/>
        </w:rPr>
        <w:t>improvements</w:t>
      </w:r>
      <w:r w:rsidRPr="004E70CE">
        <w:t xml:space="preserve"> to existing facilities and new investments. This is because the risk of being undercut by high</w:t>
      </w:r>
      <w:r w:rsidR="008036ED" w:rsidRPr="004E70CE">
        <w:t xml:space="preserve"> </w:t>
      </w:r>
      <w:r w:rsidRPr="004E70CE">
        <w:t xml:space="preserve">emissions imports that do not face emissions costs is </w:t>
      </w:r>
      <w:r w:rsidR="00D01675" w:rsidRPr="004E70CE">
        <w:t>removed</w:t>
      </w:r>
      <w:r w:rsidRPr="004E70CE">
        <w:t xml:space="preserve">. </w:t>
      </w:r>
    </w:p>
    <w:p w14:paraId="7B232C7F" w14:textId="77777777" w:rsidR="00483160" w:rsidRPr="004E70CE" w:rsidRDefault="0065149E" w:rsidP="00BB51BE">
      <w:r w:rsidRPr="004E70CE">
        <w:t xml:space="preserve">The objective of a border carbon adjustment should be to create a level playing field between domestic </w:t>
      </w:r>
      <w:r w:rsidR="005D2DA5" w:rsidRPr="004E70CE">
        <w:t xml:space="preserve">and foreign </w:t>
      </w:r>
      <w:r w:rsidRPr="004E70CE">
        <w:t>producers. The objective should not be protection of domestic industries.</w:t>
      </w:r>
      <w:r w:rsidR="009013AD" w:rsidRPr="004E70CE">
        <w:t xml:space="preserve"> </w:t>
      </w:r>
      <w:r w:rsidR="338CABCC" w:rsidRPr="004E70CE">
        <w:t xml:space="preserve">Overseas producers may be able to </w:t>
      </w:r>
      <w:r w:rsidR="338CABCC" w:rsidRPr="004E70CE">
        <w:rPr>
          <w:rFonts w:ascii="CIDFont+F4" w:hAnsi="CIDFont+F4" w:cs="CIDFont+F4"/>
        </w:rPr>
        <w:t>produce</w:t>
      </w:r>
      <w:r w:rsidR="338CABCC" w:rsidRPr="004E70CE">
        <w:t xml:space="preserve"> specific </w:t>
      </w:r>
      <w:r w:rsidR="296034EC" w:rsidRPr="004E70CE">
        <w:t xml:space="preserve">commodities </w:t>
      </w:r>
      <w:r w:rsidR="338CABCC" w:rsidRPr="004E70CE">
        <w:t xml:space="preserve">at equal </w:t>
      </w:r>
      <w:r w:rsidR="25430106" w:rsidRPr="004E70CE">
        <w:t xml:space="preserve">or lower </w:t>
      </w:r>
      <w:r w:rsidR="338CABCC" w:rsidRPr="004E70CE">
        <w:t>emissions intensity more cheaply or be able to compete successfully on the basis of lower production costs</w:t>
      </w:r>
      <w:r w:rsidR="2F031434" w:rsidRPr="004E70CE">
        <w:t xml:space="preserve"> that outweigh carbon costs on higher emissions</w:t>
      </w:r>
      <w:r w:rsidR="338CABCC" w:rsidRPr="004E70CE">
        <w:t xml:space="preserve">. </w:t>
      </w:r>
      <w:r w:rsidR="3622E34D" w:rsidRPr="004E70CE">
        <w:t xml:space="preserve">Although it is not the </w:t>
      </w:r>
      <w:r w:rsidR="4059D894" w:rsidRPr="004E70CE">
        <w:t xml:space="preserve">primary </w:t>
      </w:r>
      <w:r w:rsidR="3622E34D" w:rsidRPr="004E70CE">
        <w:t xml:space="preserve">purpose, a border carbon adjustment </w:t>
      </w:r>
      <w:r w:rsidR="338CABCC" w:rsidRPr="004E70CE">
        <w:t xml:space="preserve">would create incentives for </w:t>
      </w:r>
      <w:r w:rsidR="7F57EEE4" w:rsidRPr="004E70CE">
        <w:t xml:space="preserve">producers </w:t>
      </w:r>
      <w:r w:rsidR="338CABCC" w:rsidRPr="004E70CE">
        <w:t xml:space="preserve">in other countries </w:t>
      </w:r>
      <w:r w:rsidR="338CABCC" w:rsidRPr="004E70CE">
        <w:rPr>
          <w:rFonts w:ascii="CIDFont+F4" w:hAnsi="CIDFont+F4" w:cs="CIDFont+F4"/>
        </w:rPr>
        <w:t>to</w:t>
      </w:r>
      <w:r w:rsidR="338CABCC" w:rsidRPr="004E70CE">
        <w:t xml:space="preserve"> monitor emissions of production and potentially to invest in low</w:t>
      </w:r>
      <w:r w:rsidR="00380145" w:rsidRPr="004E70CE">
        <w:t xml:space="preserve"> </w:t>
      </w:r>
      <w:r w:rsidR="338CABCC" w:rsidRPr="004E70CE">
        <w:t>emissions facilities to enhance export competitiveness.</w:t>
      </w:r>
    </w:p>
    <w:p w14:paraId="0F6EF3EF" w14:textId="77777777" w:rsidR="00483160" w:rsidRPr="004E70CE" w:rsidRDefault="4301D517" w:rsidP="00BB51BE">
      <w:r w:rsidRPr="004E70CE">
        <w:t xml:space="preserve">If </w:t>
      </w:r>
      <w:r w:rsidR="338CABCC" w:rsidRPr="004E70CE">
        <w:t>a border carbon adjustment</w:t>
      </w:r>
      <w:r w:rsidRPr="004E70CE">
        <w:t xml:space="preserve"> is implemented</w:t>
      </w:r>
      <w:r w:rsidR="338CABCC" w:rsidRPr="004E70CE">
        <w:t xml:space="preserve">, it </w:t>
      </w:r>
      <w:r w:rsidR="339B0B3B" w:rsidRPr="004E70CE">
        <w:t>reduces the need</w:t>
      </w:r>
      <w:r w:rsidRPr="004E70CE">
        <w:t xml:space="preserve"> </w:t>
      </w:r>
      <w:r w:rsidR="338CABCC" w:rsidRPr="004E70CE">
        <w:t xml:space="preserve">to allocate a particular share of emissions allowances to limit the exposure to carbon leakage risk. </w:t>
      </w:r>
      <w:r w:rsidR="339B0B3B" w:rsidRPr="004E70CE">
        <w:t>In the context of</w:t>
      </w:r>
      <w:r w:rsidR="338CABCC" w:rsidRPr="004E70CE">
        <w:t xml:space="preserve"> Australia’s Safeguard Mechanism, a border </w:t>
      </w:r>
      <w:r w:rsidR="0031573E" w:rsidRPr="004E70CE">
        <w:t>c</w:t>
      </w:r>
      <w:r w:rsidR="0031573E" w:rsidRPr="004E70CE">
        <w:rPr>
          <w:rFonts w:ascii="CIDFont+F4" w:hAnsi="CIDFont+F4" w:cs="CIDFont+F4"/>
        </w:rPr>
        <w:t xml:space="preserve">arbon </w:t>
      </w:r>
      <w:r w:rsidR="338CABCC" w:rsidRPr="004E70CE">
        <w:rPr>
          <w:rFonts w:ascii="CIDFont+F4" w:hAnsi="CIDFont+F4" w:cs="CIDFont+F4"/>
        </w:rPr>
        <w:t>adjustment</w:t>
      </w:r>
      <w:r w:rsidR="338CABCC" w:rsidRPr="004E70CE">
        <w:t xml:space="preserve"> would in principle allow removal of TEBA provisions</w:t>
      </w:r>
      <w:r w:rsidR="339B0B3B" w:rsidRPr="004E70CE">
        <w:t xml:space="preserve"> </w:t>
      </w:r>
      <w:r w:rsidR="005A6ACD" w:rsidRPr="004E70CE">
        <w:t>and m</w:t>
      </w:r>
      <w:r w:rsidR="339B0B3B" w:rsidRPr="004E70CE">
        <w:t>ore</w:t>
      </w:r>
      <w:r w:rsidR="338CABCC" w:rsidRPr="004E70CE">
        <w:t xml:space="preserve"> rapid baseline </w:t>
      </w:r>
      <w:r w:rsidR="338CABCC" w:rsidRPr="004E70CE">
        <w:rPr>
          <w:rFonts w:ascii="CIDFont+F4" w:hAnsi="CIDFont+F4" w:cs="CIDFont+F4"/>
        </w:rPr>
        <w:t>reduction</w:t>
      </w:r>
      <w:r w:rsidR="338CABCC" w:rsidRPr="004E70CE">
        <w:t xml:space="preserve"> rates </w:t>
      </w:r>
      <w:r w:rsidR="225180EA" w:rsidRPr="004E70CE">
        <w:t xml:space="preserve">in the future </w:t>
      </w:r>
      <w:r w:rsidR="338CABCC" w:rsidRPr="004E70CE">
        <w:t xml:space="preserve">would </w:t>
      </w:r>
      <w:r w:rsidR="1668C869" w:rsidRPr="004E70CE">
        <w:t xml:space="preserve">also </w:t>
      </w:r>
      <w:r w:rsidR="338CABCC" w:rsidRPr="004E70CE">
        <w:t xml:space="preserve">be possible. </w:t>
      </w:r>
    </w:p>
    <w:p w14:paraId="2E90CB9A" w14:textId="77777777" w:rsidR="4D16AD68" w:rsidRPr="004E70CE" w:rsidRDefault="4D16AD68" w:rsidP="00BB51BE">
      <w:pPr>
        <w:rPr>
          <w:i/>
          <w:iCs/>
        </w:rPr>
      </w:pPr>
      <w:r w:rsidRPr="004E70CE">
        <w:rPr>
          <w:i/>
          <w:iCs/>
        </w:rPr>
        <w:t>Carbon cost pass</w:t>
      </w:r>
      <w:r w:rsidR="00380145" w:rsidRPr="004E70CE">
        <w:rPr>
          <w:i/>
          <w:iCs/>
        </w:rPr>
        <w:t xml:space="preserve"> </w:t>
      </w:r>
      <w:r w:rsidRPr="004E70CE">
        <w:rPr>
          <w:i/>
          <w:iCs/>
        </w:rPr>
        <w:t>through</w:t>
      </w:r>
    </w:p>
    <w:p w14:paraId="03DF9A22" w14:textId="77777777" w:rsidR="00483160" w:rsidRPr="004E70CE" w:rsidRDefault="55B16621" w:rsidP="00BB51BE">
      <w:r w:rsidRPr="004E70CE">
        <w:t>A</w:t>
      </w:r>
      <w:r w:rsidR="338CABCC" w:rsidRPr="004E70CE">
        <w:t xml:space="preserve"> border </w:t>
      </w:r>
      <w:r w:rsidR="0031573E" w:rsidRPr="004E70CE">
        <w:t xml:space="preserve">carbon </w:t>
      </w:r>
      <w:r w:rsidR="338CABCC" w:rsidRPr="004E70CE">
        <w:t xml:space="preserve">adjustment allows companies to reflect the costs of complying with emissions constraints in their product prices, which is not possible when domestic </w:t>
      </w:r>
      <w:r w:rsidR="338CABCC" w:rsidRPr="004E70CE">
        <w:rPr>
          <w:rFonts w:ascii="CIDFont+F4" w:hAnsi="CIDFont+F4" w:cs="CIDFont+F4"/>
        </w:rPr>
        <w:t>companies</w:t>
      </w:r>
      <w:r w:rsidR="338CABCC" w:rsidRPr="004E70CE">
        <w:t xml:space="preserve"> compete in tradable </w:t>
      </w:r>
      <w:r w:rsidR="296034EC" w:rsidRPr="004E70CE">
        <w:t xml:space="preserve">commodity </w:t>
      </w:r>
      <w:r w:rsidR="338CABCC" w:rsidRPr="004E70CE">
        <w:t xml:space="preserve">markets with imports that are not subject to climate policy measures. </w:t>
      </w:r>
      <w:r w:rsidR="00C47916" w:rsidRPr="004E70CE">
        <w:t>This c</w:t>
      </w:r>
      <w:r w:rsidR="338CABCC" w:rsidRPr="004E70CE">
        <w:t xml:space="preserve">arbon cost pass through allows producers of clean products to </w:t>
      </w:r>
      <w:r w:rsidR="45D285B0" w:rsidRPr="004E70CE">
        <w:t>obtain</w:t>
      </w:r>
      <w:r w:rsidR="338CABCC" w:rsidRPr="004E70CE">
        <w:t xml:space="preserve"> a </w:t>
      </w:r>
      <w:r w:rsidR="00EBFD98" w:rsidRPr="004E70CE">
        <w:t xml:space="preserve">market </w:t>
      </w:r>
      <w:r w:rsidR="45D285B0" w:rsidRPr="004E70CE">
        <w:t>premium</w:t>
      </w:r>
      <w:r w:rsidR="338CABCC" w:rsidRPr="004E70CE">
        <w:t xml:space="preserve"> for their products</w:t>
      </w:r>
      <w:r w:rsidR="2D30599F" w:rsidRPr="004E70CE">
        <w:t>.</w:t>
      </w:r>
      <w:r w:rsidR="338CABCC" w:rsidRPr="004E70CE">
        <w:t xml:space="preserve"> </w:t>
      </w:r>
      <w:r w:rsidR="33A726C8" w:rsidRPr="004E70CE">
        <w:t>Low emissions production</w:t>
      </w:r>
      <w:r w:rsidR="338CABCC" w:rsidRPr="004E70CE">
        <w:t xml:space="preserve"> benefit</w:t>
      </w:r>
      <w:r w:rsidR="00BCAB2D" w:rsidRPr="004E70CE">
        <w:t>s</w:t>
      </w:r>
      <w:r w:rsidR="338CABCC" w:rsidRPr="004E70CE">
        <w:t xml:space="preserve"> from product price uplift while paying lower or no carbon costs</w:t>
      </w:r>
      <w:r w:rsidR="00E64F4C" w:rsidRPr="004E70CE">
        <w:t>,</w:t>
      </w:r>
      <w:r w:rsidR="005F6847" w:rsidRPr="004E70CE">
        <w:t xml:space="preserve"> which </w:t>
      </w:r>
      <w:r w:rsidR="338CABCC" w:rsidRPr="004E70CE">
        <w:t>support</w:t>
      </w:r>
      <w:r w:rsidR="005F6847" w:rsidRPr="004E70CE">
        <w:t>s</w:t>
      </w:r>
      <w:r w:rsidR="338CABCC" w:rsidRPr="004E70CE">
        <w:t xml:space="preserve"> investment in decarbonisation.</w:t>
      </w:r>
    </w:p>
    <w:p w14:paraId="3428ACE5" w14:textId="77777777" w:rsidR="00483160" w:rsidRPr="004E70CE" w:rsidRDefault="2686BBBF" w:rsidP="00BB51BE">
      <w:r w:rsidRPr="004E70CE">
        <w:t>R</w:t>
      </w:r>
      <w:r w:rsidR="338CABCC" w:rsidRPr="004E70CE">
        <w:t xml:space="preserve">elative prices </w:t>
      </w:r>
      <w:r w:rsidR="5CE6CFBC" w:rsidRPr="004E70CE">
        <w:t>will change</w:t>
      </w:r>
      <w:r w:rsidR="338CABCC" w:rsidRPr="004E70CE">
        <w:t>. Low</w:t>
      </w:r>
      <w:r w:rsidR="00E64F4C" w:rsidRPr="004E70CE">
        <w:t xml:space="preserve"> </w:t>
      </w:r>
      <w:r w:rsidR="338CABCC" w:rsidRPr="004E70CE">
        <w:t xml:space="preserve">emissions </w:t>
      </w:r>
      <w:r w:rsidR="296034EC" w:rsidRPr="004E70CE">
        <w:t xml:space="preserve">commodities </w:t>
      </w:r>
      <w:r w:rsidR="338CABCC" w:rsidRPr="004E70CE">
        <w:t xml:space="preserve">will tend to become cheaper relative to </w:t>
      </w:r>
      <w:r w:rsidR="338CABCC" w:rsidRPr="004E70CE">
        <w:rPr>
          <w:rFonts w:ascii="CIDFont+F4" w:hAnsi="CIDFont+F4" w:cs="CIDFont+F4"/>
        </w:rPr>
        <w:t>high</w:t>
      </w:r>
      <w:r w:rsidR="00E64F4C" w:rsidRPr="004E70CE">
        <w:rPr>
          <w:rFonts w:ascii="CIDFont+F4" w:hAnsi="CIDFont+F4" w:cs="CIDFont+F4"/>
        </w:rPr>
        <w:t xml:space="preserve"> </w:t>
      </w:r>
      <w:r w:rsidR="338CABCC" w:rsidRPr="004E70CE">
        <w:rPr>
          <w:rFonts w:ascii="CIDFont+F4" w:hAnsi="CIDFont+F4" w:cs="CIDFont+F4"/>
        </w:rPr>
        <w:t xml:space="preserve">emissions </w:t>
      </w:r>
      <w:r w:rsidR="296034EC" w:rsidRPr="004E70CE">
        <w:rPr>
          <w:rFonts w:ascii="CIDFont+F4" w:hAnsi="CIDFont+F4" w:cs="CIDFont+F4"/>
        </w:rPr>
        <w:t>commodities</w:t>
      </w:r>
      <w:r w:rsidR="00C66F09" w:rsidRPr="004E70CE">
        <w:rPr>
          <w:rFonts w:ascii="CIDFont+F4" w:hAnsi="CIDFont+F4" w:cs="CIDFont+F4"/>
        </w:rPr>
        <w:t>,</w:t>
      </w:r>
      <w:r w:rsidR="36C1623E" w:rsidRPr="004E70CE">
        <w:t xml:space="preserve"> creating incentives for downstream industries and end users to substitute towards lower emissions options.</w:t>
      </w:r>
      <w:r w:rsidR="36C1623E" w:rsidRPr="004E70CE">
        <w:rPr>
          <w:rFonts w:ascii="CIDFont+F4" w:hAnsi="CIDFont+F4" w:cs="CIDFont+F4"/>
        </w:rPr>
        <w:t xml:space="preserve"> </w:t>
      </w:r>
      <w:r w:rsidR="1120F518" w:rsidRPr="004E70CE">
        <w:rPr>
          <w:rFonts w:ascii="CIDFont+F4" w:hAnsi="CIDFont+F4" w:cs="CIDFont+F4"/>
        </w:rPr>
        <w:t>I</w:t>
      </w:r>
      <w:r w:rsidR="338CABCC" w:rsidRPr="004E70CE">
        <w:rPr>
          <w:rFonts w:ascii="CIDFont+F4" w:hAnsi="CIDFont+F4" w:cs="CIDFont+F4"/>
        </w:rPr>
        <w:t>n</w:t>
      </w:r>
      <w:r w:rsidR="338CABCC" w:rsidRPr="004E70CE">
        <w:t xml:space="preserve"> </w:t>
      </w:r>
      <w:r w:rsidR="338CABCC" w:rsidRPr="004E70CE">
        <w:rPr>
          <w:rFonts w:ascii="CIDFont+F4" w:hAnsi="CIDFont+F4" w:cs="CIDFont+F4"/>
        </w:rPr>
        <w:t>construction</w:t>
      </w:r>
      <w:r w:rsidR="00E64F4C" w:rsidRPr="004E70CE">
        <w:rPr>
          <w:rFonts w:ascii="CIDFont+F4" w:hAnsi="CIDFont+F4" w:cs="CIDFont+F4"/>
        </w:rPr>
        <w:t>,</w:t>
      </w:r>
      <w:r w:rsidR="6660DEE7" w:rsidRPr="004E70CE">
        <w:rPr>
          <w:rFonts w:ascii="CIDFont+F4" w:hAnsi="CIDFont+F4" w:cs="CIDFont+F4"/>
        </w:rPr>
        <w:t xml:space="preserve"> for example</w:t>
      </w:r>
      <w:r w:rsidR="338CABCC" w:rsidRPr="004E70CE">
        <w:t>, this will tend to result in greater use of low</w:t>
      </w:r>
      <w:r w:rsidR="00E64F4C" w:rsidRPr="004E70CE">
        <w:t xml:space="preserve"> </w:t>
      </w:r>
      <w:r w:rsidR="338CABCC" w:rsidRPr="004E70CE">
        <w:t xml:space="preserve">emissions alternatives and </w:t>
      </w:r>
      <w:r w:rsidR="3E9BAF47" w:rsidRPr="004E70CE">
        <w:t xml:space="preserve">greater material </w:t>
      </w:r>
      <w:r w:rsidR="736EE9F3" w:rsidRPr="004E70CE">
        <w:t xml:space="preserve">efficiency in </w:t>
      </w:r>
      <w:r w:rsidR="338CABCC" w:rsidRPr="004E70CE">
        <w:t>the use of high</w:t>
      </w:r>
      <w:r w:rsidR="00E64F4C" w:rsidRPr="004E70CE">
        <w:t xml:space="preserve"> </w:t>
      </w:r>
      <w:r w:rsidR="338CABCC" w:rsidRPr="004E70CE">
        <w:t xml:space="preserve">emissions products. </w:t>
      </w:r>
    </w:p>
    <w:p w14:paraId="177D9CEB" w14:textId="77777777" w:rsidR="00A54400" w:rsidRPr="004E70CE" w:rsidRDefault="4FC5DA49" w:rsidP="00BB51BE">
      <w:r w:rsidRPr="004E70CE">
        <w:t xml:space="preserve">The same </w:t>
      </w:r>
      <w:r w:rsidR="6B66A0D6" w:rsidRPr="004E70CE">
        <w:t>effect applies to</w:t>
      </w:r>
      <w:r w:rsidRPr="004E70CE">
        <w:t xml:space="preserve"> exports</w:t>
      </w:r>
      <w:r w:rsidR="225180EA" w:rsidRPr="004E70CE">
        <w:t xml:space="preserve"> if other countries introduce border carbon adjustments</w:t>
      </w:r>
      <w:r w:rsidR="62756B53" w:rsidRPr="004E70CE">
        <w:t xml:space="preserve">, which </w:t>
      </w:r>
      <w:r w:rsidR="00044350" w:rsidRPr="004E70CE">
        <w:t xml:space="preserve">would </w:t>
      </w:r>
      <w:r w:rsidR="2EAF61A5" w:rsidRPr="004E70CE">
        <w:t xml:space="preserve">facilitate a </w:t>
      </w:r>
      <w:r w:rsidR="00EA550D" w:rsidRPr="004E70CE">
        <w:t xml:space="preserve">market </w:t>
      </w:r>
      <w:r w:rsidRPr="004E70CE">
        <w:t xml:space="preserve">premium </w:t>
      </w:r>
      <w:r w:rsidR="2EAF61A5" w:rsidRPr="004E70CE">
        <w:t xml:space="preserve">for low emissions products in that </w:t>
      </w:r>
      <w:r w:rsidR="00EA550D" w:rsidRPr="004E70CE">
        <w:t>country</w:t>
      </w:r>
      <w:r w:rsidR="2EAF61A5" w:rsidRPr="004E70CE">
        <w:t xml:space="preserve">. This </w:t>
      </w:r>
      <w:r w:rsidR="6BF81589" w:rsidRPr="004E70CE">
        <w:t xml:space="preserve">improves competitiveness of </w:t>
      </w:r>
      <w:r w:rsidR="225180EA" w:rsidRPr="004E70CE">
        <w:t>low emissions production in</w:t>
      </w:r>
      <w:r w:rsidR="1AB3BA21" w:rsidRPr="004E70CE">
        <w:t xml:space="preserve"> exporting countries including</w:t>
      </w:r>
      <w:r w:rsidR="225180EA" w:rsidRPr="004E70CE">
        <w:t xml:space="preserve"> Australia. </w:t>
      </w:r>
    </w:p>
    <w:p w14:paraId="48F9A109" w14:textId="77777777" w:rsidR="00483160" w:rsidRPr="004E70CE" w:rsidRDefault="338CABCC" w:rsidP="00BB51BE">
      <w:r w:rsidRPr="004E70CE">
        <w:t xml:space="preserve">The effects of a border carbon adjustment mechanism </w:t>
      </w:r>
      <w:r w:rsidR="2F9C7F04" w:rsidRPr="004E70CE">
        <w:t>would be</w:t>
      </w:r>
      <w:r w:rsidRPr="004E70CE">
        <w:t xml:space="preserve"> largely confined to </w:t>
      </w:r>
      <w:r w:rsidR="571F6B79" w:rsidRPr="004E70CE">
        <w:t xml:space="preserve">the </w:t>
      </w:r>
      <w:r w:rsidRPr="004E70CE">
        <w:t xml:space="preserve">specific industrial sectors where </w:t>
      </w:r>
      <w:r w:rsidR="53763B10" w:rsidRPr="004E70CE">
        <w:t>it would be implemented</w:t>
      </w:r>
      <w:r w:rsidRPr="004E70CE">
        <w:t xml:space="preserve">, and even in those sectors the effects would generally be gradual and limited. </w:t>
      </w:r>
      <w:r w:rsidR="3F11A84F" w:rsidRPr="004E70CE">
        <w:t>T</w:t>
      </w:r>
      <w:r w:rsidR="2E4BA410" w:rsidRPr="004E70CE">
        <w:t xml:space="preserve">he low level of projected carbon costs relative to product prices for most of the products reviewed in </w:t>
      </w:r>
      <w:r w:rsidR="001E2857" w:rsidRPr="004E70CE">
        <w:rPr>
          <w:b/>
          <w:bCs/>
        </w:rPr>
        <w:t xml:space="preserve">Chapter </w:t>
      </w:r>
      <w:r w:rsidR="2E4BA410" w:rsidRPr="004E70CE">
        <w:rPr>
          <w:b/>
          <w:bCs/>
        </w:rPr>
        <w:t>2</w:t>
      </w:r>
      <w:r w:rsidR="38867A5F" w:rsidRPr="004E70CE">
        <w:t xml:space="preserve"> indicates this</w:t>
      </w:r>
      <w:r w:rsidR="2E4BA410" w:rsidRPr="004E70CE">
        <w:t>. In the long</w:t>
      </w:r>
      <w:r w:rsidR="00113D4D" w:rsidRPr="004E70CE">
        <w:t>-</w:t>
      </w:r>
      <w:r w:rsidR="2E4BA410" w:rsidRPr="004E70CE">
        <w:t>term</w:t>
      </w:r>
      <w:r w:rsidR="00E30F37" w:rsidRPr="004E70CE">
        <w:t>,</w:t>
      </w:r>
      <w:r w:rsidR="2E4BA410" w:rsidRPr="004E70CE">
        <w:t xml:space="preserve"> impacts </w:t>
      </w:r>
      <w:r w:rsidR="392F440D" w:rsidRPr="004E70CE">
        <w:t xml:space="preserve">on market prices </w:t>
      </w:r>
      <w:r w:rsidR="2E4BA410" w:rsidRPr="004E70CE">
        <w:t>are limited by the production costs of low or zero</w:t>
      </w:r>
      <w:r w:rsidR="002B756E" w:rsidRPr="004E70CE">
        <w:t xml:space="preserve"> </w:t>
      </w:r>
      <w:r w:rsidR="2E4BA410" w:rsidRPr="004E70CE">
        <w:t xml:space="preserve">emissions processes and alternatives. In </w:t>
      </w:r>
      <w:r w:rsidR="2E4BA410" w:rsidRPr="004E70CE">
        <w:lastRenderedPageBreak/>
        <w:t xml:space="preserve">either time horizon, </w:t>
      </w:r>
      <w:r w:rsidR="08E52438" w:rsidRPr="004E70CE">
        <w:t>e</w:t>
      </w:r>
      <w:r w:rsidRPr="004E70CE">
        <w:t xml:space="preserve">ffects on the economy overall </w:t>
      </w:r>
      <w:r w:rsidRPr="004E70CE">
        <w:rPr>
          <w:rFonts w:ascii="CIDFont+F4" w:hAnsi="CIDFont+F4" w:cs="CIDFont+F4"/>
        </w:rPr>
        <w:t>would</w:t>
      </w:r>
      <w:r w:rsidRPr="004E70CE">
        <w:t xml:space="preserve"> be small, while serving the broader national policy objectives of net</w:t>
      </w:r>
      <w:r w:rsidR="002B756E" w:rsidRPr="004E70CE">
        <w:t xml:space="preserve"> </w:t>
      </w:r>
      <w:r w:rsidRPr="004E70CE">
        <w:t>zero emissions and investment in zero</w:t>
      </w:r>
      <w:r w:rsidR="002B756E" w:rsidRPr="004E70CE">
        <w:t xml:space="preserve"> </w:t>
      </w:r>
      <w:r w:rsidRPr="004E70CE">
        <w:t xml:space="preserve">emissions industries.  </w:t>
      </w:r>
    </w:p>
    <w:p w14:paraId="2BA3C2EB" w14:textId="77777777" w:rsidR="00483160" w:rsidRPr="004E70CE" w:rsidRDefault="338CABCC" w:rsidP="00BB51BE">
      <w:r w:rsidRPr="004E70CE">
        <w:t xml:space="preserve">These economic effects are illustrated quantitatively in modelling, using an </w:t>
      </w:r>
      <w:r w:rsidR="003F7CEF" w:rsidRPr="004E70CE">
        <w:t>integrated</w:t>
      </w:r>
      <w:r w:rsidRPr="004E70CE">
        <w:t xml:space="preserve"> </w:t>
      </w:r>
      <w:r w:rsidR="00844B95" w:rsidRPr="004E70CE">
        <w:t xml:space="preserve">modelling framework combining sectoral, domestic and global models </w:t>
      </w:r>
      <w:r w:rsidR="09FF8827" w:rsidRPr="004E70CE">
        <w:t xml:space="preserve">(see </w:t>
      </w:r>
      <w:r w:rsidR="00113D4D" w:rsidRPr="004E70CE">
        <w:rPr>
          <w:b/>
          <w:bCs/>
        </w:rPr>
        <w:t>Chapter</w:t>
      </w:r>
      <w:r w:rsidR="09FF8827" w:rsidRPr="004E70CE">
        <w:rPr>
          <w:b/>
          <w:bCs/>
        </w:rPr>
        <w:t xml:space="preserve"> </w:t>
      </w:r>
      <w:r w:rsidR="00B837B3" w:rsidRPr="004E70CE">
        <w:rPr>
          <w:b/>
          <w:bCs/>
        </w:rPr>
        <w:t>4</w:t>
      </w:r>
      <w:r w:rsidR="09FF8827" w:rsidRPr="004E70CE">
        <w:t>)</w:t>
      </w:r>
      <w:r w:rsidRPr="004E70CE">
        <w:t xml:space="preserve">. The </w:t>
      </w:r>
      <w:r w:rsidR="1321D405" w:rsidRPr="004E70CE">
        <w:t xml:space="preserve">modelling </w:t>
      </w:r>
      <w:r w:rsidRPr="004E70CE">
        <w:t>show</w:t>
      </w:r>
      <w:r w:rsidR="75DFB3E6" w:rsidRPr="004E70CE">
        <w:t>s</w:t>
      </w:r>
      <w:r w:rsidRPr="004E70CE">
        <w:t xml:space="preserve"> the introduction of border carbon adjustment</w:t>
      </w:r>
      <w:r w:rsidR="002B756E" w:rsidRPr="004E70CE">
        <w:t>s</w:t>
      </w:r>
      <w:r w:rsidRPr="004E70CE">
        <w:t xml:space="preserve"> for selected commodities</w:t>
      </w:r>
      <w:r w:rsidR="00D063A4" w:rsidRPr="004E70CE">
        <w:t xml:space="preserve"> will have</w:t>
      </w:r>
      <w:r w:rsidR="002B756E" w:rsidRPr="004E70CE">
        <w:t>:</w:t>
      </w:r>
      <w:r w:rsidR="00D063A4" w:rsidRPr="004E70CE">
        <w:t xml:space="preserve"> no material impact on Australia’s macroeconomy</w:t>
      </w:r>
      <w:r w:rsidRPr="004E70CE">
        <w:t xml:space="preserve">; </w:t>
      </w:r>
      <w:r w:rsidR="50C00573" w:rsidRPr="004E70CE">
        <w:t xml:space="preserve">minor </w:t>
      </w:r>
      <w:r w:rsidRPr="004E70CE">
        <w:t>changes in trade</w:t>
      </w:r>
      <w:r w:rsidR="5A190238" w:rsidRPr="004E70CE">
        <w:t xml:space="preserve"> flows</w:t>
      </w:r>
      <w:r w:rsidRPr="004E70CE">
        <w:t>; and some changes in the source countries of</w:t>
      </w:r>
      <w:r w:rsidR="13AC2FFA" w:rsidRPr="004E70CE">
        <w:t xml:space="preserve"> specific</w:t>
      </w:r>
      <w:r w:rsidRPr="004E70CE">
        <w:t xml:space="preserve"> exports to Australia</w:t>
      </w:r>
      <w:r w:rsidR="2A79858F" w:rsidRPr="004E70CE">
        <w:t xml:space="preserve">, </w:t>
      </w:r>
      <w:r w:rsidR="36790E70" w:rsidRPr="004E70CE">
        <w:t>which are minor relative to overall trade</w:t>
      </w:r>
      <w:r w:rsidRPr="004E70CE">
        <w:t xml:space="preserve">. </w:t>
      </w:r>
    </w:p>
    <w:p w14:paraId="44797362" w14:textId="77777777" w:rsidR="61FF724B" w:rsidRPr="004E70CE" w:rsidRDefault="61FF724B" w:rsidP="00BB51BE">
      <w:pPr>
        <w:rPr>
          <w:i/>
          <w:iCs/>
        </w:rPr>
      </w:pPr>
      <w:r w:rsidRPr="004E70CE">
        <w:rPr>
          <w:i/>
          <w:iCs/>
        </w:rPr>
        <w:t>Resource shuffling</w:t>
      </w:r>
    </w:p>
    <w:p w14:paraId="024C516B" w14:textId="77777777" w:rsidR="00E7687A" w:rsidRPr="004E70CE" w:rsidRDefault="1D9862A4" w:rsidP="00BB51BE">
      <w:r w:rsidRPr="004E70CE">
        <w:t>Border carbon adjustments create incentives for imports to be sourced from lower</w:t>
      </w:r>
      <w:r w:rsidR="002B756E" w:rsidRPr="004E70CE">
        <w:t xml:space="preserve"> </w:t>
      </w:r>
      <w:r w:rsidRPr="004E70CE">
        <w:t xml:space="preserve">emissions facilities. Where </w:t>
      </w:r>
      <w:r w:rsidR="0749528A" w:rsidRPr="004E70CE">
        <w:t>this</w:t>
      </w:r>
      <w:r w:rsidRPr="004E70CE">
        <w:t xml:space="preserve"> result</w:t>
      </w:r>
      <w:r w:rsidR="1D2D57E3" w:rsidRPr="004E70CE">
        <w:t>s</w:t>
      </w:r>
      <w:r w:rsidRPr="004E70CE">
        <w:t xml:space="preserve"> in </w:t>
      </w:r>
      <w:r w:rsidR="65179C4D" w:rsidRPr="004E70CE">
        <w:t xml:space="preserve">the </w:t>
      </w:r>
      <w:r w:rsidRPr="004E70CE">
        <w:t>shifting of trade patterns, with</w:t>
      </w:r>
      <w:r w:rsidR="53F8AB28" w:rsidRPr="004E70CE">
        <w:t xml:space="preserve"> pre-existing</w:t>
      </w:r>
      <w:r w:rsidRPr="004E70CE">
        <w:t xml:space="preserve"> cleaner production directed towards jurisdictions that have a border carbon adjustment in place, </w:t>
      </w:r>
      <w:r w:rsidR="53F8AB28" w:rsidRPr="004E70CE">
        <w:t xml:space="preserve">and no change in overseas investment or operation towards cleaner production, </w:t>
      </w:r>
      <w:r w:rsidRPr="004E70CE">
        <w:t xml:space="preserve">this is termed ‘resource shuffling’. </w:t>
      </w:r>
      <w:r w:rsidR="1BA933FE" w:rsidRPr="004E70CE">
        <w:t>Resource shuffling is likely to be greater in easily substitutable commodities or production pathways and for commodities where there are relatively large differences in emissions intensity of production between different facilities</w:t>
      </w:r>
      <w:r w:rsidR="669BC522" w:rsidRPr="004E70CE">
        <w:t xml:space="preserve"> in exporting countries</w:t>
      </w:r>
      <w:r w:rsidR="1BA933FE" w:rsidRPr="004E70CE">
        <w:t>.</w:t>
      </w:r>
      <w:r w:rsidR="0FF66E16" w:rsidRPr="004E70CE">
        <w:t xml:space="preserve"> Resource shuffling may occur both between facilities within an exporting country, or between exporting countries. </w:t>
      </w:r>
    </w:p>
    <w:p w14:paraId="44DC2F0B" w14:textId="77777777" w:rsidR="00790CC6" w:rsidRPr="004E70CE" w:rsidRDefault="3C32536B" w:rsidP="00BB51BE">
      <w:r w:rsidRPr="004E70CE">
        <w:t xml:space="preserve">It is not possible to estimate the likely extent of resource shuffling </w:t>
      </w:r>
      <w:r w:rsidR="55BCC038" w:rsidRPr="004E70CE">
        <w:t>that might occur in exports to</w:t>
      </w:r>
      <w:r w:rsidRPr="004E70CE">
        <w:t xml:space="preserve"> Australia </w:t>
      </w:r>
      <w:r w:rsidR="45219CCA" w:rsidRPr="004E70CE">
        <w:t>as a result of a border</w:t>
      </w:r>
      <w:r w:rsidR="00F612C4" w:rsidRPr="004E70CE">
        <w:t xml:space="preserve"> carbon</w:t>
      </w:r>
      <w:r w:rsidR="45219CCA" w:rsidRPr="004E70CE">
        <w:t xml:space="preserve"> adjustment, because of lack of </w:t>
      </w:r>
      <w:r w:rsidR="00FF2B17" w:rsidRPr="004E70CE">
        <w:t xml:space="preserve">comprehensive </w:t>
      </w:r>
      <w:r w:rsidR="589675CB" w:rsidRPr="004E70CE">
        <w:t xml:space="preserve">and reliable </w:t>
      </w:r>
      <w:r w:rsidRPr="004E70CE">
        <w:t xml:space="preserve">data </w:t>
      </w:r>
      <w:r w:rsidR="6C570CF5" w:rsidRPr="004E70CE">
        <w:t>for</w:t>
      </w:r>
      <w:r w:rsidRPr="004E70CE">
        <w:t xml:space="preserve"> facility</w:t>
      </w:r>
      <w:r w:rsidR="00B50146" w:rsidRPr="004E70CE">
        <w:t>-</w:t>
      </w:r>
      <w:r w:rsidRPr="004E70CE">
        <w:t>specific emissions intensities</w:t>
      </w:r>
      <w:r w:rsidR="00FF2B17" w:rsidRPr="004E70CE">
        <w:t xml:space="preserve"> overseas</w:t>
      </w:r>
      <w:r w:rsidR="6B144DC5" w:rsidRPr="004E70CE">
        <w:t>,</w:t>
      </w:r>
      <w:r w:rsidRPr="004E70CE">
        <w:t xml:space="preserve"> and </w:t>
      </w:r>
      <w:r w:rsidR="79F62DD3" w:rsidRPr="004E70CE">
        <w:t xml:space="preserve">lack of </w:t>
      </w:r>
      <w:r w:rsidRPr="004E70CE">
        <w:t xml:space="preserve">data about </w:t>
      </w:r>
      <w:r w:rsidR="097E67D8" w:rsidRPr="004E70CE">
        <w:t xml:space="preserve">opportunity for and </w:t>
      </w:r>
      <w:r w:rsidRPr="004E70CE">
        <w:t xml:space="preserve">costs of redirecting </w:t>
      </w:r>
      <w:r w:rsidR="412AE3B6" w:rsidRPr="004E70CE">
        <w:t xml:space="preserve">imported </w:t>
      </w:r>
      <w:r w:rsidRPr="004E70CE">
        <w:t>commodities</w:t>
      </w:r>
      <w:r w:rsidR="69BB4AB8" w:rsidRPr="004E70CE">
        <w:t xml:space="preserve"> in specific supply chains</w:t>
      </w:r>
      <w:r w:rsidRPr="004E70CE">
        <w:t xml:space="preserve">. </w:t>
      </w:r>
    </w:p>
    <w:p w14:paraId="4E05832D" w14:textId="77777777" w:rsidR="00BE2152" w:rsidRPr="004E70CE" w:rsidRDefault="1BA933FE" w:rsidP="00BB51BE">
      <w:r w:rsidRPr="004E70CE">
        <w:t xml:space="preserve">Resource shuffling would be </w:t>
      </w:r>
      <w:r w:rsidR="2C183637" w:rsidRPr="004E70CE">
        <w:t xml:space="preserve">expected to be </w:t>
      </w:r>
      <w:r w:rsidR="627BB3E6" w:rsidRPr="004E70CE">
        <w:t xml:space="preserve">less pronounced over time as baselines in the Safeguard Mechanism decline and to the extent that emissions policy ambition rises in exporting countries. </w:t>
      </w:r>
    </w:p>
    <w:p w14:paraId="44863F72" w14:textId="77777777" w:rsidR="006205BC" w:rsidRPr="004E70CE" w:rsidRDefault="006205BC" w:rsidP="006205BC">
      <w:pPr>
        <w:pStyle w:val="Calloutbox"/>
        <w:shd w:val="clear" w:color="auto" w:fill="D7F5FA" w:themeFill="background2" w:themeFillTint="1A"/>
        <w:spacing w:after="200" w:line="276" w:lineRule="auto"/>
        <w:rPr>
          <w:b/>
        </w:rPr>
      </w:pPr>
      <w:r w:rsidRPr="004E70CE">
        <w:rPr>
          <w:b/>
        </w:rPr>
        <w:t>Box 3 - Resource shuffling example</w:t>
      </w:r>
    </w:p>
    <w:p w14:paraId="6D3CDA0B" w14:textId="77777777" w:rsidR="006205BC" w:rsidRPr="004E70CE" w:rsidRDefault="006205BC" w:rsidP="006205BC">
      <w:pPr>
        <w:pStyle w:val="Calloutbox"/>
        <w:shd w:val="clear" w:color="auto" w:fill="D7F5FA" w:themeFill="background2" w:themeFillTint="1A"/>
        <w:spacing w:after="200" w:line="276" w:lineRule="auto"/>
      </w:pPr>
      <w:r w:rsidRPr="004E70CE">
        <w:t>There are two facilities producing a commodity overseas. One facility was built recently and has integrated technology to reduce energy loss and emissions. It produces the commodity at an emissions intensity of 0.75 tonnes CO</w:t>
      </w:r>
      <w:r w:rsidRPr="004E70CE">
        <w:rPr>
          <w:vertAlign w:val="subscript"/>
        </w:rPr>
        <w:t>2</w:t>
      </w:r>
      <w:r w:rsidRPr="004E70CE">
        <w:t>-e/tonne. The second facility is older and produces the commodity at an emissions intensity of 0.90 tonnes CO</w:t>
      </w:r>
      <w:r w:rsidRPr="004E70CE">
        <w:rPr>
          <w:vertAlign w:val="subscript"/>
        </w:rPr>
        <w:t>2</w:t>
      </w:r>
      <w:r w:rsidRPr="004E70CE">
        <w:t>-e/tonne. Both facilities export the commodity to Australia.</w:t>
      </w:r>
    </w:p>
    <w:p w14:paraId="5285CBD6" w14:textId="77777777" w:rsidR="006205BC" w:rsidRPr="004E70CE" w:rsidRDefault="006205BC" w:rsidP="006205BC">
      <w:pPr>
        <w:pStyle w:val="Calloutbox"/>
        <w:shd w:val="clear" w:color="auto" w:fill="D7F5FA" w:themeFill="background2" w:themeFillTint="1A"/>
        <w:spacing w:after="200" w:line="276" w:lineRule="auto"/>
      </w:pPr>
      <w:r w:rsidRPr="004E70CE">
        <w:t>Australia introduces a border carbon adjustment that references the average emissions intensity baseline of Australian commodity producers (0.80 tonnes CO</w:t>
      </w:r>
      <w:r w:rsidRPr="004E70CE">
        <w:rPr>
          <w:vertAlign w:val="subscript"/>
        </w:rPr>
        <w:t>2</w:t>
      </w:r>
      <w:r w:rsidRPr="004E70CE">
        <w:t>-e/tonne). In response, only the new, modern facility exports to Australia.</w:t>
      </w:r>
    </w:p>
    <w:p w14:paraId="71E9A3AF" w14:textId="77777777" w:rsidR="006205BC" w:rsidRPr="004E70CE" w:rsidRDefault="006205BC" w:rsidP="006205BC">
      <w:pPr>
        <w:pStyle w:val="Calloutbox"/>
        <w:shd w:val="clear" w:color="auto" w:fill="D7F5FA" w:themeFill="background2" w:themeFillTint="1A"/>
        <w:spacing w:after="200" w:line="276" w:lineRule="auto"/>
      </w:pPr>
      <w:r w:rsidRPr="004E70CE">
        <w:t>Over time, emissions intensity baselines under the Safeguard Mechanism for the commodity reduce to 0.6 tonnes CO</w:t>
      </w:r>
      <w:r w:rsidRPr="004E70CE">
        <w:rPr>
          <w:vertAlign w:val="subscript"/>
        </w:rPr>
        <w:t>2</w:t>
      </w:r>
      <w:r w:rsidRPr="004E70CE">
        <w:t>-e/tonne. All things being equal, the new facility is likely to continue to send more commodity from than the higher emissions facility but, in the absence of further investment in emission reduction technology, would face a border carbon adjustment liability.</w:t>
      </w:r>
    </w:p>
    <w:p w14:paraId="56186F12" w14:textId="77777777" w:rsidR="001649E6" w:rsidRPr="004E70CE" w:rsidRDefault="001649E6" w:rsidP="00BB51BE">
      <w:pPr>
        <w:pStyle w:val="Heading3"/>
        <w:spacing w:line="276" w:lineRule="auto"/>
      </w:pPr>
      <w:bookmarkStart w:id="24" w:name="_Toc173997666"/>
      <w:r w:rsidRPr="004E70CE">
        <w:lastRenderedPageBreak/>
        <w:t>Sectoral application</w:t>
      </w:r>
      <w:bookmarkEnd w:id="24"/>
      <w:r w:rsidRPr="004E70CE">
        <w:t xml:space="preserve"> </w:t>
      </w:r>
    </w:p>
    <w:p w14:paraId="0269E59A" w14:textId="77777777" w:rsidR="001649E6" w:rsidRPr="004E70CE" w:rsidRDefault="71F5E245" w:rsidP="00BB51BE">
      <w:pPr>
        <w:pStyle w:val="Calloutbox"/>
        <w:pBdr>
          <w:bottom w:val="single" w:sz="4" w:space="0" w:color="B8DCD7"/>
        </w:pBdr>
        <w:spacing w:after="200" w:line="276" w:lineRule="auto"/>
        <w:rPr>
          <w:b/>
          <w:bCs/>
        </w:rPr>
      </w:pPr>
      <w:r w:rsidRPr="004E70CE">
        <w:rPr>
          <w:b/>
          <w:bCs/>
        </w:rPr>
        <w:t>Preliminary finding</w:t>
      </w:r>
      <w:r w:rsidR="3BA54397" w:rsidRPr="004E70CE">
        <w:rPr>
          <w:b/>
          <w:bCs/>
        </w:rPr>
        <w:t>s</w:t>
      </w:r>
      <w:r w:rsidR="00074A06" w:rsidRPr="004E70CE">
        <w:rPr>
          <w:b/>
          <w:bCs/>
        </w:rPr>
        <w:t xml:space="preserve"> for consultation</w:t>
      </w:r>
    </w:p>
    <w:p w14:paraId="3399F32D" w14:textId="3D8C008F" w:rsidR="00E1572E" w:rsidRPr="004E70CE" w:rsidRDefault="29D9F4E3" w:rsidP="00BB51BE">
      <w:pPr>
        <w:pStyle w:val="Calloutbox"/>
        <w:pBdr>
          <w:bottom w:val="single" w:sz="4" w:space="0" w:color="B8DCD7"/>
        </w:pBdr>
        <w:spacing w:after="200" w:line="276" w:lineRule="auto"/>
        <w:rPr>
          <w:rFonts w:eastAsiaTheme="minorEastAsia"/>
        </w:rPr>
      </w:pPr>
      <w:r w:rsidRPr="004E70CE">
        <w:rPr>
          <w:rFonts w:eastAsiaTheme="minorEastAsia"/>
        </w:rPr>
        <w:t>C</w:t>
      </w:r>
      <w:r w:rsidR="71B897A5" w:rsidRPr="004E70CE">
        <w:rPr>
          <w:rFonts w:eastAsiaTheme="minorEastAsia"/>
        </w:rPr>
        <w:t>ement</w:t>
      </w:r>
      <w:r w:rsidR="5F275C0C" w:rsidRPr="004E70CE">
        <w:rPr>
          <w:rFonts w:eastAsiaTheme="minorEastAsia"/>
        </w:rPr>
        <w:t xml:space="preserve"> and clinker would be suitable for initial consideration </w:t>
      </w:r>
      <w:r w:rsidR="00870812" w:rsidRPr="004E70CE">
        <w:rPr>
          <w:rFonts w:eastAsiaTheme="minorEastAsia"/>
        </w:rPr>
        <w:t xml:space="preserve">for </w:t>
      </w:r>
      <w:r w:rsidR="5F275C0C" w:rsidRPr="004E70CE">
        <w:rPr>
          <w:rFonts w:eastAsiaTheme="minorEastAsia"/>
        </w:rPr>
        <w:t xml:space="preserve">a border carbon adjustment. </w:t>
      </w:r>
      <w:r w:rsidR="004D1CF9" w:rsidRPr="004E70CE">
        <w:rPr>
          <w:rFonts w:eastAsiaTheme="minorEastAsia"/>
        </w:rPr>
        <w:t>L</w:t>
      </w:r>
      <w:r w:rsidR="5F275C0C" w:rsidRPr="004E70CE">
        <w:rPr>
          <w:rFonts w:eastAsiaTheme="minorEastAsia"/>
        </w:rPr>
        <w:t xml:space="preserve">ime </w:t>
      </w:r>
      <w:r w:rsidR="008729C8" w:rsidRPr="004E70CE">
        <w:rPr>
          <w:rFonts w:eastAsiaTheme="minorEastAsia"/>
        </w:rPr>
        <w:t>w</w:t>
      </w:r>
      <w:r w:rsidR="007B11A2" w:rsidRPr="004E70CE">
        <w:rPr>
          <w:rFonts w:eastAsiaTheme="minorEastAsia"/>
        </w:rPr>
        <w:t>ould</w:t>
      </w:r>
      <w:r w:rsidR="46C0037B" w:rsidRPr="004E70CE">
        <w:rPr>
          <w:rFonts w:eastAsiaTheme="minorEastAsia"/>
        </w:rPr>
        <w:t xml:space="preserve"> also</w:t>
      </w:r>
      <w:r w:rsidR="007B11A2" w:rsidRPr="004E70CE">
        <w:rPr>
          <w:rFonts w:eastAsiaTheme="minorEastAsia"/>
        </w:rPr>
        <w:t xml:space="preserve"> be</w:t>
      </w:r>
      <w:r w:rsidR="5F275C0C" w:rsidRPr="004E70CE">
        <w:rPr>
          <w:rFonts w:eastAsiaTheme="minorEastAsia"/>
        </w:rPr>
        <w:t xml:space="preserve"> suitable for early consideration</w:t>
      </w:r>
      <w:r w:rsidR="00870812" w:rsidRPr="004E70CE">
        <w:rPr>
          <w:rFonts w:eastAsiaTheme="minorEastAsia"/>
        </w:rPr>
        <w:t>,</w:t>
      </w:r>
      <w:r w:rsidR="5F275C0C" w:rsidRPr="004E70CE">
        <w:rPr>
          <w:rFonts w:eastAsiaTheme="minorEastAsia"/>
        </w:rPr>
        <w:t xml:space="preserve"> however production coverage under the Safeguard Mechanism is only partial and would need to be carefully considered</w:t>
      </w:r>
      <w:r w:rsidR="004D1CF9" w:rsidRPr="004E70CE">
        <w:rPr>
          <w:rFonts w:eastAsiaTheme="minorEastAsia"/>
        </w:rPr>
        <w:t xml:space="preserve"> </w:t>
      </w:r>
      <w:r w:rsidR="00BE4FD8" w:rsidRPr="004E70CE">
        <w:t xml:space="preserve">to align with </w:t>
      </w:r>
      <w:r w:rsidR="004D1CF9" w:rsidRPr="004E70CE">
        <w:t>the international trade law principle of non-discrimination between domestic products and imports.</w:t>
      </w:r>
      <w:r w:rsidR="5F275C0C" w:rsidRPr="004E70CE">
        <w:rPr>
          <w:rFonts w:eastAsiaTheme="minorEastAsia"/>
        </w:rPr>
        <w:t xml:space="preserve"> </w:t>
      </w:r>
    </w:p>
    <w:p w14:paraId="3412E1F6" w14:textId="3EFE52CE" w:rsidR="00E1572E" w:rsidRPr="004E70CE" w:rsidRDefault="000F63D2" w:rsidP="00BB51BE">
      <w:pPr>
        <w:pStyle w:val="Calloutbox"/>
        <w:pBdr>
          <w:bottom w:val="single" w:sz="4" w:space="0" w:color="B8DCD7"/>
        </w:pBdr>
        <w:spacing w:after="200" w:line="276" w:lineRule="auto"/>
      </w:pPr>
      <w:r w:rsidRPr="004E70CE">
        <w:t>Based on current analysis</w:t>
      </w:r>
      <w:r w:rsidR="5F275C0C" w:rsidRPr="004E70CE">
        <w:t>, ammonia and derivatives</w:t>
      </w:r>
      <w:r w:rsidR="00870812" w:rsidRPr="004E70CE">
        <w:t>,</w:t>
      </w:r>
      <w:r w:rsidR="00702BE7" w:rsidRPr="004E70CE">
        <w:t xml:space="preserve"> and</w:t>
      </w:r>
      <w:r w:rsidR="00AC68CF" w:rsidRPr="004E70CE">
        <w:t xml:space="preserve"> </w:t>
      </w:r>
      <w:r w:rsidR="5F275C0C" w:rsidRPr="004E70CE">
        <w:t>steel</w:t>
      </w:r>
      <w:r w:rsidR="00702BE7" w:rsidRPr="004E70CE">
        <w:t>,</w:t>
      </w:r>
      <w:r w:rsidR="5F275C0C" w:rsidRPr="004E70CE">
        <w:t xml:space="preserve"> as well as glass </w:t>
      </w:r>
      <w:r w:rsidR="007B11A2" w:rsidRPr="004E70CE">
        <w:t>would be</w:t>
      </w:r>
      <w:r w:rsidR="5F275C0C" w:rsidRPr="004E70CE">
        <w:t xml:space="preserve"> worth further policy consideration and could be candidates for a border carbon adjustment later.</w:t>
      </w:r>
    </w:p>
    <w:p w14:paraId="53737854" w14:textId="77777777" w:rsidR="00B243B9" w:rsidRPr="004E70CE" w:rsidRDefault="5F275C0C" w:rsidP="00BB51BE">
      <w:pPr>
        <w:pStyle w:val="Calloutbox"/>
        <w:pBdr>
          <w:bottom w:val="single" w:sz="4" w:space="0" w:color="B8DCD7"/>
        </w:pBdr>
        <w:spacing w:after="200" w:line="276" w:lineRule="auto"/>
      </w:pPr>
      <w:r w:rsidRPr="004E70CE">
        <w:t>A border carbon adjustment would most suitably be implemented in a phased approach, starting with commodities at relatively high risk of carbon leakage and for which implementation is likely to be simplest.</w:t>
      </w:r>
    </w:p>
    <w:p w14:paraId="0FDBFFD1" w14:textId="2A7CCF11" w:rsidR="008373E1" w:rsidRPr="004E70CE" w:rsidRDefault="00796D36" w:rsidP="00BB51BE">
      <w:pPr>
        <w:pStyle w:val="Calloutbox"/>
        <w:pBdr>
          <w:bottom w:val="single" w:sz="4" w:space="0" w:color="B8DCD7"/>
        </w:pBdr>
        <w:spacing w:after="200" w:line="276" w:lineRule="auto"/>
        <w:rPr>
          <w:rStyle w:val="eop"/>
          <w:rFonts w:cs="Calibri"/>
          <w:color w:val="000000"/>
        </w:rPr>
      </w:pPr>
      <w:r w:rsidRPr="004E70CE">
        <w:rPr>
          <w:rStyle w:val="normaltextrun"/>
          <w:rFonts w:ascii="Calibri" w:hAnsi="Calibri" w:cs="Calibri"/>
          <w:color w:val="000000"/>
          <w:shd w:val="clear" w:color="auto" w:fill="B8DCD7"/>
        </w:rPr>
        <w:t>Should a border carbon adjustment be pursued, c</w:t>
      </w:r>
      <w:r w:rsidR="5F275C0C" w:rsidRPr="004E70CE">
        <w:rPr>
          <w:rStyle w:val="normaltextrun"/>
          <w:rFonts w:ascii="Calibri" w:hAnsi="Calibri" w:cs="Calibri"/>
          <w:color w:val="000000"/>
          <w:shd w:val="clear" w:color="auto" w:fill="B8DCD7"/>
        </w:rPr>
        <w:t xml:space="preserve">overage of commodities could be expanded over time where the suitability criteria are met, as experiences accrue and reliable emissions monitoring is expanded. </w:t>
      </w:r>
      <w:r w:rsidR="008373E1" w:rsidRPr="004E70CE">
        <w:rPr>
          <w:rStyle w:val="normaltextrun"/>
          <w:rFonts w:ascii="Calibri" w:hAnsi="Calibri" w:cs="Calibri"/>
          <w:color w:val="000000"/>
          <w:shd w:val="clear" w:color="auto" w:fill="B8DCD7"/>
        </w:rPr>
        <w:t xml:space="preserve">Further stakeholder consultation would </w:t>
      </w:r>
      <w:r w:rsidR="00A63916" w:rsidRPr="004E70CE">
        <w:rPr>
          <w:rStyle w:val="normaltextrun"/>
          <w:rFonts w:ascii="Calibri" w:hAnsi="Calibri" w:cs="Calibri"/>
          <w:color w:val="000000"/>
          <w:shd w:val="clear" w:color="auto" w:fill="B8DCD7"/>
        </w:rPr>
        <w:t xml:space="preserve">need to </w:t>
      </w:r>
      <w:r w:rsidR="008373E1" w:rsidRPr="004E70CE">
        <w:rPr>
          <w:rStyle w:val="normaltextrun"/>
          <w:rFonts w:ascii="Calibri" w:hAnsi="Calibri" w:cs="Calibri"/>
          <w:color w:val="000000"/>
          <w:shd w:val="clear" w:color="auto" w:fill="B8DCD7"/>
        </w:rPr>
        <w:t>be undertaken before the addition of other commodities. </w:t>
      </w:r>
      <w:r w:rsidR="008373E1" w:rsidRPr="004E70CE">
        <w:rPr>
          <w:rStyle w:val="eop"/>
          <w:rFonts w:cs="Calibri"/>
          <w:color w:val="000000"/>
        </w:rPr>
        <w:t> </w:t>
      </w:r>
    </w:p>
    <w:p w14:paraId="05F1AB7A" w14:textId="5A9FDA67" w:rsidR="00B243B9" w:rsidRPr="004E70CE" w:rsidRDefault="2843214E" w:rsidP="00BB51BE">
      <w:pPr>
        <w:rPr>
          <w:rFonts w:ascii="CIDFont+F4" w:hAnsi="CIDFont+F4" w:cs="CIDFont+F4"/>
        </w:rPr>
      </w:pPr>
      <w:r w:rsidRPr="004E70CE">
        <w:t xml:space="preserve">The </w:t>
      </w:r>
      <w:r w:rsidR="002C4171" w:rsidRPr="004E70CE">
        <w:t>Review’s consideration of the</w:t>
      </w:r>
      <w:r w:rsidRPr="004E70CE">
        <w:t xml:space="preserve"> suitability of a border carbon adjustment </w:t>
      </w:r>
      <w:r w:rsidR="00B22961" w:rsidRPr="004E70CE">
        <w:t xml:space="preserve">has been </w:t>
      </w:r>
      <w:r w:rsidRPr="004E70CE">
        <w:t xml:space="preserve">informed by a commodity-by-commodity analysis, </w:t>
      </w:r>
      <w:r w:rsidR="00B22961" w:rsidRPr="004E70CE">
        <w:t xml:space="preserve">with </w:t>
      </w:r>
      <w:r w:rsidRPr="004E70CE">
        <w:t>regard to:</w:t>
      </w:r>
    </w:p>
    <w:p w14:paraId="234C23CA" w14:textId="77777777" w:rsidR="00B243B9" w:rsidRPr="004E70CE" w:rsidRDefault="001535A2" w:rsidP="006205BC">
      <w:pPr>
        <w:pStyle w:val="ListParagraph"/>
        <w:numPr>
          <w:ilvl w:val="0"/>
          <w:numId w:val="29"/>
        </w:numPr>
        <w:spacing w:line="276" w:lineRule="auto"/>
        <w:rPr>
          <w:rFonts w:ascii="CIDFont+F4" w:hAnsi="CIDFont+F4" w:cs="CIDFont+F4"/>
        </w:rPr>
      </w:pPr>
      <w:r w:rsidRPr="004E70CE">
        <w:rPr>
          <w:rFonts w:ascii="CIDFont+F4" w:hAnsi="CIDFont+F4" w:cs="CIDFont+F4"/>
        </w:rPr>
        <w:t>t</w:t>
      </w:r>
      <w:r w:rsidR="2843214E" w:rsidRPr="004E70CE">
        <w:rPr>
          <w:rFonts w:ascii="CIDFont+F4" w:hAnsi="CIDFont+F4" w:cs="CIDFont+F4"/>
        </w:rPr>
        <w:t>he extent of carbon leakage risk facing the sector without additional policies</w:t>
      </w:r>
    </w:p>
    <w:p w14:paraId="3B05C643" w14:textId="77777777" w:rsidR="00B243B9" w:rsidRPr="004E70CE" w:rsidRDefault="001535A2" w:rsidP="006205BC">
      <w:pPr>
        <w:pStyle w:val="ListParagraph"/>
        <w:numPr>
          <w:ilvl w:val="0"/>
          <w:numId w:val="29"/>
        </w:numPr>
        <w:spacing w:line="276" w:lineRule="auto"/>
        <w:rPr>
          <w:rFonts w:ascii="CIDFont+F4" w:hAnsi="CIDFont+F4" w:cs="CIDFont+F4"/>
        </w:rPr>
      </w:pPr>
      <w:r w:rsidRPr="004E70CE">
        <w:rPr>
          <w:rFonts w:ascii="CIDFont+F4" w:hAnsi="CIDFont+F4" w:cs="CIDFont+F4"/>
        </w:rPr>
        <w:t>t</w:t>
      </w:r>
      <w:r w:rsidR="2843214E" w:rsidRPr="004E70CE">
        <w:rPr>
          <w:rFonts w:ascii="CIDFont+F4" w:hAnsi="CIDFont+F4" w:cs="CIDFont+F4"/>
        </w:rPr>
        <w:t>he practical feasibility of a border carbon adjustment for the sector</w:t>
      </w:r>
      <w:r w:rsidRPr="004E70CE">
        <w:rPr>
          <w:rFonts w:ascii="CIDFont+F4" w:hAnsi="CIDFont+F4" w:cs="CIDFont+F4"/>
        </w:rPr>
        <w:t>,</w:t>
      </w:r>
      <w:r w:rsidR="2843214E" w:rsidRPr="004E70CE">
        <w:rPr>
          <w:rFonts w:ascii="CIDFont+F4" w:hAnsi="CIDFont+F4" w:cs="CIDFont+F4"/>
        </w:rPr>
        <w:t xml:space="preserve"> accounting for sector-specific considerations (e.g. simplicity or complexity of calculating embedded emissions, traceability of commodities through supply chains, etc.)</w:t>
      </w:r>
    </w:p>
    <w:p w14:paraId="6793D5EC" w14:textId="77777777" w:rsidR="00B243B9" w:rsidRPr="004E70CE" w:rsidRDefault="001535A2" w:rsidP="006205BC">
      <w:pPr>
        <w:pStyle w:val="ListParagraph"/>
        <w:numPr>
          <w:ilvl w:val="0"/>
          <w:numId w:val="29"/>
        </w:numPr>
        <w:spacing w:line="276" w:lineRule="auto"/>
        <w:rPr>
          <w:rFonts w:ascii="CIDFont+F4" w:hAnsi="CIDFont+F4" w:cs="CIDFont+F4"/>
        </w:rPr>
      </w:pPr>
      <w:r w:rsidRPr="004E70CE">
        <w:rPr>
          <w:rFonts w:ascii="CIDFont+F4" w:hAnsi="CIDFont+F4" w:cs="CIDFont+F4"/>
        </w:rPr>
        <w:t>t</w:t>
      </w:r>
      <w:r w:rsidR="2843214E" w:rsidRPr="004E70CE">
        <w:rPr>
          <w:rFonts w:ascii="CIDFont+F4" w:hAnsi="CIDFont+F4" w:cs="CIDFont+F4"/>
        </w:rPr>
        <w:t>he share of domestic production subject to Safeguard obligations</w:t>
      </w:r>
    </w:p>
    <w:p w14:paraId="2D82B9EB" w14:textId="77777777" w:rsidR="00B243B9" w:rsidRPr="004E70CE" w:rsidRDefault="001535A2" w:rsidP="00BB51BE">
      <w:pPr>
        <w:pStyle w:val="ListParagraph"/>
        <w:numPr>
          <w:ilvl w:val="0"/>
          <w:numId w:val="29"/>
        </w:numPr>
        <w:spacing w:afterLines="40" w:after="96" w:line="276" w:lineRule="auto"/>
        <w:ind w:left="714" w:hanging="357"/>
        <w:rPr>
          <w:rFonts w:ascii="CIDFont+F4" w:hAnsi="CIDFont+F4" w:cs="CIDFont+F4"/>
        </w:rPr>
      </w:pPr>
      <w:r w:rsidRPr="004E70CE">
        <w:rPr>
          <w:rFonts w:ascii="CIDFont+F4" w:hAnsi="CIDFont+F4" w:cs="CIDFont+F4"/>
        </w:rPr>
        <w:t>o</w:t>
      </w:r>
      <w:r w:rsidR="2843214E" w:rsidRPr="004E70CE">
        <w:rPr>
          <w:rFonts w:ascii="CIDFont+F4" w:hAnsi="CIDFont+F4" w:cs="CIDFont+F4"/>
        </w:rPr>
        <w:t>ther existing policies that may affect carbon leakage risk assessment or the suitability of a border carbon adjustment.</w:t>
      </w:r>
    </w:p>
    <w:p w14:paraId="0B233787" w14:textId="77777777" w:rsidR="00555797" w:rsidRPr="004E70CE" w:rsidRDefault="00555797" w:rsidP="00BB51BE">
      <w:r w:rsidRPr="004E70CE">
        <w:t>Stakeholders typically supported a commodity-specific and staged approach to implementation, prioritising commodities with simple supply chains and manufacturing processes, such as cement and lime, compared to more complex commodities such as steel.</w:t>
      </w:r>
    </w:p>
    <w:p w14:paraId="6115F0A3" w14:textId="77777777" w:rsidR="00670D73" w:rsidRPr="004E70CE" w:rsidRDefault="00670D73" w:rsidP="00BB51BE">
      <w:r w:rsidRPr="004E70CE">
        <w:t xml:space="preserve">The Review has assessed the commodities that analysis showed as subject to carbon leakage risk in </w:t>
      </w:r>
      <w:r w:rsidRPr="004E70CE">
        <w:rPr>
          <w:b/>
        </w:rPr>
        <w:t>Chapter 2</w:t>
      </w:r>
      <w:r w:rsidRPr="004E70CE">
        <w:t xml:space="preserve">. </w:t>
      </w:r>
      <w:r w:rsidRPr="004E70CE">
        <w:rPr>
          <w:b/>
        </w:rPr>
        <w:t>Chapter 2</w:t>
      </w:r>
      <w:r w:rsidRPr="004E70CE">
        <w:t xml:space="preserve"> also includes a commodity-by-commodity discussion relating to commodity complexity, domestic Safeguard coverage and </w:t>
      </w:r>
      <w:r w:rsidR="001535A2" w:rsidRPr="004E70CE">
        <w:t xml:space="preserve">other </w:t>
      </w:r>
      <w:r w:rsidRPr="004E70CE">
        <w:t>key domestic considerations.</w:t>
      </w:r>
    </w:p>
    <w:p w14:paraId="21BD78B4" w14:textId="77777777" w:rsidR="00670D73" w:rsidRPr="004E70CE" w:rsidRDefault="00670D73" w:rsidP="00BB51BE">
      <w:r w:rsidRPr="004E70CE">
        <w:t xml:space="preserve">The Review’s findings are set out in the </w:t>
      </w:r>
      <w:r w:rsidR="0062792F" w:rsidRPr="004E70CE">
        <w:t xml:space="preserve">next section and summarised in </w:t>
      </w:r>
      <w:r w:rsidRPr="004E70CE">
        <w:t xml:space="preserve">Table </w:t>
      </w:r>
      <w:r w:rsidR="00AB6B8F" w:rsidRPr="004E70CE">
        <w:t xml:space="preserve">5 </w:t>
      </w:r>
      <w:r w:rsidRPr="004E70CE">
        <w:t>below.</w:t>
      </w:r>
    </w:p>
    <w:p w14:paraId="7CCC62E9" w14:textId="77777777" w:rsidR="11CAF7A1" w:rsidRPr="004E70CE" w:rsidRDefault="28D877F7" w:rsidP="00BB51BE">
      <w:pPr>
        <w:rPr>
          <w:b/>
        </w:rPr>
      </w:pPr>
      <w:r w:rsidRPr="004E70CE">
        <w:rPr>
          <w:b/>
        </w:rPr>
        <w:t>3.4.</w:t>
      </w:r>
      <w:r w:rsidR="0030677D" w:rsidRPr="004E70CE">
        <w:rPr>
          <w:b/>
        </w:rPr>
        <w:t>1</w:t>
      </w:r>
      <w:r w:rsidRPr="004E70CE">
        <w:rPr>
          <w:b/>
        </w:rPr>
        <w:t xml:space="preserve"> Commodities recommended for border carbon adjustment consideration</w:t>
      </w:r>
      <w:r w:rsidR="006B4350" w:rsidRPr="004E70CE">
        <w:rPr>
          <w:b/>
        </w:rPr>
        <w:t xml:space="preserve"> </w:t>
      </w:r>
    </w:p>
    <w:p w14:paraId="47FB7676" w14:textId="77777777" w:rsidR="11CAF7A1" w:rsidRPr="004E70CE" w:rsidRDefault="28D877F7" w:rsidP="00BB51BE">
      <w:pPr>
        <w:rPr>
          <w:rFonts w:ascii="Calibri" w:eastAsia="Calibri" w:hAnsi="Calibri" w:cs="Calibri"/>
        </w:rPr>
      </w:pPr>
      <w:r w:rsidRPr="004E70CE">
        <w:rPr>
          <w:rFonts w:ascii="Calibri" w:eastAsia="Calibri" w:hAnsi="Calibri" w:cs="Calibri"/>
          <w:i/>
        </w:rPr>
        <w:t>Cement, clinker, and lime</w:t>
      </w:r>
    </w:p>
    <w:p w14:paraId="14FC636A" w14:textId="77777777" w:rsidR="11CAF7A1" w:rsidRPr="004E70CE" w:rsidRDefault="28D877F7" w:rsidP="00BB51BE">
      <w:pPr>
        <w:rPr>
          <w:rFonts w:ascii="Calibri" w:eastAsia="Calibri" w:hAnsi="Calibri" w:cs="Calibri"/>
        </w:rPr>
      </w:pPr>
      <w:r w:rsidRPr="004E70CE">
        <w:rPr>
          <w:rFonts w:ascii="Calibri" w:eastAsia="Calibri" w:hAnsi="Calibri" w:cs="Calibri"/>
        </w:rPr>
        <w:t xml:space="preserve">Estimates of potential trade leakage </w:t>
      </w:r>
      <w:r w:rsidR="00F042E2" w:rsidRPr="004E70CE">
        <w:rPr>
          <w:rFonts w:ascii="Calibri" w:eastAsia="Calibri" w:hAnsi="Calibri" w:cs="Calibri"/>
        </w:rPr>
        <w:t xml:space="preserve">due to imports </w:t>
      </w:r>
      <w:r w:rsidRPr="004E70CE">
        <w:rPr>
          <w:rFonts w:ascii="Calibri" w:eastAsia="Calibri" w:hAnsi="Calibri" w:cs="Calibri"/>
        </w:rPr>
        <w:t xml:space="preserve">for cement, clinker and lime were found to be amongst the highest for all commodities, and </w:t>
      </w:r>
      <w:r w:rsidR="006B4350" w:rsidRPr="004E70CE">
        <w:rPr>
          <w:rFonts w:ascii="Calibri" w:eastAsia="Calibri" w:hAnsi="Calibri" w:cs="Calibri"/>
        </w:rPr>
        <w:t xml:space="preserve">these sectors </w:t>
      </w:r>
      <w:r w:rsidRPr="004E70CE">
        <w:rPr>
          <w:rFonts w:ascii="Calibri" w:eastAsia="Calibri" w:hAnsi="Calibri" w:cs="Calibri"/>
        </w:rPr>
        <w:t xml:space="preserve">may be subject to high risk of investment leakage (see </w:t>
      </w:r>
      <w:r w:rsidRPr="004E70CE">
        <w:rPr>
          <w:rFonts w:ascii="Calibri" w:eastAsia="Calibri" w:hAnsi="Calibri" w:cs="Calibri"/>
          <w:b/>
        </w:rPr>
        <w:t>Chapter 2</w:t>
      </w:r>
      <w:r w:rsidRPr="004E70CE">
        <w:rPr>
          <w:rFonts w:ascii="Calibri" w:eastAsia="Calibri" w:hAnsi="Calibri" w:cs="Calibri"/>
        </w:rPr>
        <w:t>).</w:t>
      </w:r>
    </w:p>
    <w:p w14:paraId="317E851E" w14:textId="77777777" w:rsidR="11CAF7A1" w:rsidRPr="004E70CE" w:rsidRDefault="28D877F7" w:rsidP="00BB51BE">
      <w:pPr>
        <w:rPr>
          <w:rFonts w:ascii="Calibri" w:eastAsia="Calibri" w:hAnsi="Calibri" w:cs="Calibri"/>
        </w:rPr>
      </w:pPr>
      <w:r w:rsidRPr="004E70CE">
        <w:rPr>
          <w:rFonts w:ascii="Calibri" w:eastAsia="Calibri" w:hAnsi="Calibri" w:cs="Calibri"/>
        </w:rPr>
        <w:lastRenderedPageBreak/>
        <w:t>These commodities are relatively homogenous and supply chains are typically not complex.</w:t>
      </w:r>
    </w:p>
    <w:p w14:paraId="5DC59ECC" w14:textId="77777777" w:rsidR="11CAF7A1" w:rsidRPr="004E70CE" w:rsidRDefault="28D877F7" w:rsidP="00BB51BE">
      <w:pPr>
        <w:rPr>
          <w:rFonts w:ascii="Calibri" w:eastAsia="Calibri" w:hAnsi="Calibri" w:cs="Calibri"/>
        </w:rPr>
      </w:pPr>
      <w:r w:rsidRPr="004E70CE">
        <w:rPr>
          <w:rFonts w:ascii="Calibri" w:eastAsia="Calibri" w:hAnsi="Calibri" w:cs="Calibri"/>
        </w:rPr>
        <w:t>They have effective proxy measurements for emissions that may facilitate emission measurement and verification for the purposes of a border carbon adjustment.</w:t>
      </w:r>
    </w:p>
    <w:p w14:paraId="0169DC38" w14:textId="77777777" w:rsidR="11CAF7A1" w:rsidRPr="004E70CE" w:rsidRDefault="28D877F7" w:rsidP="00BB51BE">
      <w:pPr>
        <w:rPr>
          <w:rFonts w:ascii="Calibri" w:eastAsia="Calibri" w:hAnsi="Calibri" w:cs="Calibri"/>
        </w:rPr>
      </w:pPr>
      <w:r w:rsidRPr="004E70CE">
        <w:rPr>
          <w:rFonts w:ascii="Calibri" w:eastAsia="Calibri" w:hAnsi="Calibri" w:cs="Calibri"/>
        </w:rPr>
        <w:t xml:space="preserve">A border carbon adjustment for cement, clinker and lime would </w:t>
      </w:r>
      <w:r w:rsidR="006B4350" w:rsidRPr="004E70CE">
        <w:rPr>
          <w:rFonts w:ascii="Calibri" w:eastAsia="Calibri" w:hAnsi="Calibri" w:cs="Calibri"/>
        </w:rPr>
        <w:t>address</w:t>
      </w:r>
      <w:r w:rsidRPr="004E70CE">
        <w:rPr>
          <w:rFonts w:ascii="Calibri" w:eastAsia="Calibri" w:hAnsi="Calibri" w:cs="Calibri"/>
        </w:rPr>
        <w:t xml:space="preserve"> carbon leakage risk for the long</w:t>
      </w:r>
      <w:r w:rsidR="005578B7" w:rsidRPr="004E70CE">
        <w:rPr>
          <w:rFonts w:ascii="Calibri" w:eastAsia="Calibri" w:hAnsi="Calibri" w:cs="Calibri"/>
        </w:rPr>
        <w:t>-</w:t>
      </w:r>
      <w:r w:rsidRPr="004E70CE">
        <w:rPr>
          <w:rFonts w:ascii="Calibri" w:eastAsia="Calibri" w:hAnsi="Calibri" w:cs="Calibri"/>
        </w:rPr>
        <w:t xml:space="preserve">term and could potentially help facilitate private investments in lower emissions production facilities in Australia.  </w:t>
      </w:r>
    </w:p>
    <w:p w14:paraId="5531F73B" w14:textId="77777777" w:rsidR="11CAF7A1" w:rsidRPr="004E70CE" w:rsidRDefault="28D877F7" w:rsidP="00BB51BE">
      <w:pPr>
        <w:rPr>
          <w:rFonts w:ascii="Calibri" w:eastAsia="Calibri" w:hAnsi="Calibri" w:cs="Calibri"/>
        </w:rPr>
      </w:pPr>
      <w:r w:rsidRPr="004E70CE">
        <w:rPr>
          <w:rFonts w:ascii="Calibri" w:eastAsia="Calibri" w:hAnsi="Calibri" w:cs="Calibri"/>
        </w:rPr>
        <w:t xml:space="preserve">Traceability of goods may present an issue in </w:t>
      </w:r>
      <w:r w:rsidR="00827B9C" w:rsidRPr="004E70CE">
        <w:rPr>
          <w:rFonts w:ascii="Calibri" w:eastAsia="Calibri" w:hAnsi="Calibri" w:cs="Calibri"/>
        </w:rPr>
        <w:t>limited</w:t>
      </w:r>
      <w:r w:rsidRPr="004E70CE">
        <w:rPr>
          <w:rFonts w:ascii="Calibri" w:eastAsia="Calibri" w:hAnsi="Calibri" w:cs="Calibri"/>
        </w:rPr>
        <w:t xml:space="preserve"> circumstances as these commodities are relatively homogenous. Further development of international climate accounting systems in response to international carbon leakage measures would minimise this issue.</w:t>
      </w:r>
    </w:p>
    <w:p w14:paraId="78E676B0" w14:textId="77777777" w:rsidR="11CAF7A1" w:rsidRPr="004E70CE" w:rsidRDefault="28D877F7" w:rsidP="00BB51BE">
      <w:pPr>
        <w:rPr>
          <w:rFonts w:ascii="Calibri" w:eastAsia="Calibri" w:hAnsi="Calibri" w:cs="Calibri"/>
        </w:rPr>
      </w:pPr>
      <w:r w:rsidRPr="004E70CE">
        <w:rPr>
          <w:rFonts w:ascii="Calibri" w:eastAsia="Calibri" w:hAnsi="Calibri" w:cs="Calibri"/>
        </w:rPr>
        <w:t>A particular complexity exists</w:t>
      </w:r>
      <w:r w:rsidRPr="004E70CE" w:rsidDel="007225F9">
        <w:rPr>
          <w:rFonts w:ascii="Calibri" w:eastAsia="Calibri" w:hAnsi="Calibri" w:cs="Calibri"/>
        </w:rPr>
        <w:t xml:space="preserve"> </w:t>
      </w:r>
      <w:r w:rsidRPr="004E70CE">
        <w:rPr>
          <w:rFonts w:ascii="Calibri" w:eastAsia="Calibri" w:hAnsi="Calibri" w:cs="Calibri"/>
        </w:rPr>
        <w:t>for lim</w:t>
      </w:r>
      <w:r w:rsidR="00D15276" w:rsidRPr="004E70CE">
        <w:rPr>
          <w:rFonts w:ascii="Calibri" w:eastAsia="Calibri" w:hAnsi="Calibri" w:cs="Calibri"/>
        </w:rPr>
        <w:t>e</w:t>
      </w:r>
      <w:r w:rsidRPr="004E70CE">
        <w:rPr>
          <w:rFonts w:ascii="Calibri" w:eastAsia="Calibri" w:hAnsi="Calibri" w:cs="Calibri"/>
        </w:rPr>
        <w:t xml:space="preserve"> domestic production, as the Safeguard Mechanism covers only around three quarters of total Australian production.</w:t>
      </w:r>
      <w:r w:rsidR="00B15362" w:rsidRPr="004E70CE">
        <w:rPr>
          <w:rFonts w:ascii="Calibri" w:eastAsia="Calibri" w:hAnsi="Calibri" w:cs="Calibri"/>
        </w:rPr>
        <w:t xml:space="preserve"> </w:t>
      </w:r>
      <w:r w:rsidRPr="004E70CE">
        <w:rPr>
          <w:rFonts w:ascii="Calibri" w:eastAsia="Calibri" w:hAnsi="Calibri" w:cs="Calibri"/>
        </w:rPr>
        <w:t xml:space="preserve">This may present a barrier to implementing a border carbon adjustment mechanism for lime (see </w:t>
      </w:r>
      <w:r w:rsidR="0030677D" w:rsidRPr="004E70CE">
        <w:rPr>
          <w:rFonts w:ascii="Calibri" w:eastAsia="Calibri" w:hAnsi="Calibri" w:cs="Calibri"/>
          <w:b/>
        </w:rPr>
        <w:t>S</w:t>
      </w:r>
      <w:r w:rsidRPr="004E70CE">
        <w:rPr>
          <w:rFonts w:ascii="Calibri" w:eastAsia="Calibri" w:hAnsi="Calibri" w:cs="Calibri"/>
          <w:b/>
        </w:rPr>
        <w:t xml:space="preserve">ection </w:t>
      </w:r>
      <w:r w:rsidR="0030677D" w:rsidRPr="004E70CE">
        <w:rPr>
          <w:rFonts w:ascii="Calibri" w:eastAsia="Calibri" w:hAnsi="Calibri" w:cs="Calibri"/>
          <w:b/>
        </w:rPr>
        <w:t>3.4.2</w:t>
      </w:r>
      <w:r w:rsidRPr="004E70CE">
        <w:rPr>
          <w:rFonts w:ascii="Calibri" w:eastAsia="Calibri" w:hAnsi="Calibri" w:cs="Calibri"/>
        </w:rPr>
        <w:t xml:space="preserve">). </w:t>
      </w:r>
    </w:p>
    <w:p w14:paraId="3C642497" w14:textId="77777777" w:rsidR="11CAF7A1" w:rsidRPr="004E70CE" w:rsidRDefault="28D877F7" w:rsidP="00BB51BE">
      <w:pPr>
        <w:rPr>
          <w:rFonts w:ascii="Calibri" w:eastAsia="Calibri" w:hAnsi="Calibri" w:cs="Calibri"/>
        </w:rPr>
      </w:pPr>
      <w:r w:rsidRPr="004E70CE">
        <w:rPr>
          <w:rFonts w:ascii="Calibri" w:eastAsia="Calibri" w:hAnsi="Calibri" w:cs="Calibri"/>
          <w:i/>
        </w:rPr>
        <w:t>Ammonia and derivatives</w:t>
      </w:r>
    </w:p>
    <w:p w14:paraId="68DC88FF" w14:textId="77777777" w:rsidR="11CAF7A1" w:rsidRPr="004E70CE" w:rsidRDefault="28D877F7" w:rsidP="00BB51BE">
      <w:pPr>
        <w:rPr>
          <w:rFonts w:ascii="Calibri" w:eastAsia="Calibri" w:hAnsi="Calibri" w:cs="Calibri"/>
        </w:rPr>
      </w:pPr>
      <w:r w:rsidRPr="004E70CE">
        <w:rPr>
          <w:rFonts w:ascii="Calibri" w:eastAsia="Calibri" w:hAnsi="Calibri" w:cs="Calibri"/>
        </w:rPr>
        <w:t xml:space="preserve">Ammonia and related products are overall assessed as having moderate leakage risk through the trade channel, </w:t>
      </w:r>
      <w:r w:rsidR="00F042E2" w:rsidRPr="004E70CE">
        <w:rPr>
          <w:rFonts w:ascii="Calibri" w:eastAsia="Calibri" w:hAnsi="Calibri" w:cs="Calibri"/>
        </w:rPr>
        <w:t>except urea where the risk is assessed as high. I</w:t>
      </w:r>
      <w:r w:rsidRPr="004E70CE">
        <w:rPr>
          <w:rFonts w:ascii="Calibri" w:eastAsia="Calibri" w:hAnsi="Calibri" w:cs="Calibri"/>
        </w:rPr>
        <w:t>nvestment leakage risk may be pronounced with regard to emerging low and zero</w:t>
      </w:r>
      <w:r w:rsidR="005578B7" w:rsidRPr="004E70CE">
        <w:rPr>
          <w:rFonts w:ascii="Calibri" w:eastAsia="Calibri" w:hAnsi="Calibri" w:cs="Calibri"/>
        </w:rPr>
        <w:t xml:space="preserve"> </w:t>
      </w:r>
      <w:r w:rsidRPr="004E70CE">
        <w:rPr>
          <w:rFonts w:ascii="Calibri" w:eastAsia="Calibri" w:hAnsi="Calibri" w:cs="Calibri"/>
        </w:rPr>
        <w:t>emissions production routes that will compete with traditional high</w:t>
      </w:r>
      <w:r w:rsidR="005578B7" w:rsidRPr="004E70CE">
        <w:rPr>
          <w:rFonts w:ascii="Calibri" w:eastAsia="Calibri" w:hAnsi="Calibri" w:cs="Calibri"/>
        </w:rPr>
        <w:t xml:space="preserve"> </w:t>
      </w:r>
      <w:r w:rsidRPr="004E70CE">
        <w:rPr>
          <w:rFonts w:ascii="Calibri" w:eastAsia="Calibri" w:hAnsi="Calibri" w:cs="Calibri"/>
        </w:rPr>
        <w:t>emissions production.</w:t>
      </w:r>
      <w:r w:rsidRPr="004E70CE">
        <w:rPr>
          <w:rFonts w:ascii="Calibri" w:eastAsia="Calibri" w:hAnsi="Calibri" w:cs="Calibri"/>
          <w:b/>
        </w:rPr>
        <w:t xml:space="preserve"> </w:t>
      </w:r>
    </w:p>
    <w:p w14:paraId="6F809E29" w14:textId="796ADBDA" w:rsidR="574E097E" w:rsidRPr="004E70CE" w:rsidRDefault="28D877F7" w:rsidP="00BB51BE">
      <w:pPr>
        <w:rPr>
          <w:rFonts w:ascii="Calibri" w:eastAsia="Calibri" w:hAnsi="Calibri" w:cs="Calibri"/>
        </w:rPr>
      </w:pPr>
      <w:r w:rsidRPr="004E70CE">
        <w:rPr>
          <w:rFonts w:ascii="Calibri" w:eastAsia="Calibri" w:hAnsi="Calibri" w:cs="Calibri"/>
        </w:rPr>
        <w:t>Ammonia and derivatives are relatively homogenous products. Ammonia and its downstream products can be produced from low or zero</w:t>
      </w:r>
      <w:r w:rsidR="006E2BEE" w:rsidRPr="004E70CE">
        <w:rPr>
          <w:rFonts w:ascii="Calibri" w:eastAsia="Calibri" w:hAnsi="Calibri" w:cs="Calibri"/>
        </w:rPr>
        <w:t xml:space="preserve"> </w:t>
      </w:r>
      <w:r w:rsidRPr="004E70CE">
        <w:rPr>
          <w:rFonts w:ascii="Calibri" w:eastAsia="Calibri" w:hAnsi="Calibri" w:cs="Calibri"/>
        </w:rPr>
        <w:t>emissions hydrogen</w:t>
      </w:r>
      <w:r w:rsidR="00E766D7" w:rsidRPr="004E70CE">
        <w:rPr>
          <w:rFonts w:ascii="Calibri" w:eastAsia="Calibri" w:hAnsi="Calibri" w:cs="Calibri"/>
        </w:rPr>
        <w:t>,</w:t>
      </w:r>
      <w:r w:rsidRPr="004E70CE">
        <w:rPr>
          <w:rFonts w:ascii="Calibri" w:eastAsia="Calibri" w:hAnsi="Calibri" w:cs="Calibri"/>
        </w:rPr>
        <w:t xml:space="preserve"> and ammonia as an energy carrier is a transportation pathway for renewable</w:t>
      </w:r>
      <w:r w:rsidR="0008019A" w:rsidRPr="004E70CE">
        <w:rPr>
          <w:rFonts w:ascii="Calibri" w:eastAsia="Calibri" w:hAnsi="Calibri" w:cs="Calibri"/>
        </w:rPr>
        <w:t xml:space="preserve"> </w:t>
      </w:r>
      <w:r w:rsidRPr="004E70CE">
        <w:rPr>
          <w:rFonts w:ascii="Calibri" w:eastAsia="Calibri" w:hAnsi="Calibri" w:cs="Calibri"/>
        </w:rPr>
        <w:t>hydrogen. Australia’s renewable energy export strategy is in significant part predicated on</w:t>
      </w:r>
      <w:r w:rsidR="006907E9" w:rsidRPr="004E70CE">
        <w:rPr>
          <w:rFonts w:ascii="Calibri" w:eastAsia="Calibri" w:hAnsi="Calibri" w:cs="Calibri"/>
        </w:rPr>
        <w:t xml:space="preserve"> </w:t>
      </w:r>
      <w:r w:rsidR="574E097E" w:rsidRPr="004E70CE">
        <w:rPr>
          <w:rFonts w:ascii="Calibri" w:eastAsia="Calibri" w:hAnsi="Calibri" w:cs="Calibri"/>
        </w:rPr>
        <w:t xml:space="preserve">production of </w:t>
      </w:r>
      <w:r w:rsidR="00201DBE" w:rsidRPr="004E70CE">
        <w:rPr>
          <w:rFonts w:ascii="Calibri" w:eastAsia="Calibri" w:hAnsi="Calibri" w:cs="Calibri"/>
        </w:rPr>
        <w:t xml:space="preserve">renewable </w:t>
      </w:r>
      <w:r w:rsidR="574E097E" w:rsidRPr="004E70CE">
        <w:rPr>
          <w:rFonts w:ascii="Calibri" w:eastAsia="Calibri" w:hAnsi="Calibri" w:cs="Calibri"/>
        </w:rPr>
        <w:t xml:space="preserve">hydrogen, with production of ammonia and related products a key use for </w:t>
      </w:r>
      <w:r w:rsidR="00201DBE" w:rsidRPr="004E70CE">
        <w:rPr>
          <w:rFonts w:ascii="Calibri" w:eastAsia="Calibri" w:hAnsi="Calibri" w:cs="Calibri"/>
        </w:rPr>
        <w:t xml:space="preserve">renewable </w:t>
      </w:r>
      <w:r w:rsidR="574E097E" w:rsidRPr="004E70CE">
        <w:rPr>
          <w:rFonts w:ascii="Calibri" w:eastAsia="Calibri" w:hAnsi="Calibri" w:cs="Calibri"/>
        </w:rPr>
        <w:t>hydrogen.</w:t>
      </w:r>
    </w:p>
    <w:p w14:paraId="344090F1" w14:textId="77777777" w:rsidR="574E097E" w:rsidRPr="004E70CE" w:rsidRDefault="004D3E1E" w:rsidP="00BB51BE">
      <w:pPr>
        <w:rPr>
          <w:rFonts w:ascii="Calibri" w:eastAsia="Calibri" w:hAnsi="Calibri" w:cs="Calibri"/>
        </w:rPr>
      </w:pPr>
      <w:r w:rsidRPr="004E70CE">
        <w:rPr>
          <w:rFonts w:ascii="Calibri" w:eastAsia="Calibri" w:hAnsi="Calibri" w:cs="Calibri"/>
        </w:rPr>
        <w:t>A b</w:t>
      </w:r>
      <w:r w:rsidR="574E097E" w:rsidRPr="004E70CE">
        <w:rPr>
          <w:rFonts w:ascii="Calibri" w:eastAsia="Calibri" w:hAnsi="Calibri" w:cs="Calibri"/>
        </w:rPr>
        <w:t>order carbon adjustment for the ammonia group of products could help create durable preconditions for the emergence of a green ammonia industry in Australia, by creating a market premium for low</w:t>
      </w:r>
      <w:r w:rsidR="0008019A" w:rsidRPr="004E70CE">
        <w:rPr>
          <w:rFonts w:ascii="Calibri" w:eastAsia="Calibri" w:hAnsi="Calibri" w:cs="Calibri"/>
        </w:rPr>
        <w:t xml:space="preserve"> </w:t>
      </w:r>
      <w:r w:rsidR="574E097E" w:rsidRPr="004E70CE">
        <w:rPr>
          <w:rFonts w:ascii="Calibri" w:eastAsia="Calibri" w:hAnsi="Calibri" w:cs="Calibri"/>
        </w:rPr>
        <w:t xml:space="preserve">emissions products and applying an equivalent emissions liability on imports of emissions intensive (grey) product. </w:t>
      </w:r>
    </w:p>
    <w:p w14:paraId="2C0545BE" w14:textId="77777777" w:rsidR="574E097E" w:rsidRPr="004E70CE" w:rsidRDefault="574E097E" w:rsidP="00BB51BE">
      <w:pPr>
        <w:rPr>
          <w:rFonts w:ascii="Calibri" w:eastAsia="Calibri" w:hAnsi="Calibri" w:cs="Calibri"/>
        </w:rPr>
      </w:pPr>
      <w:r w:rsidRPr="004E70CE">
        <w:rPr>
          <w:rFonts w:ascii="Calibri" w:eastAsia="Calibri" w:hAnsi="Calibri" w:cs="Calibri"/>
        </w:rPr>
        <w:t xml:space="preserve">There is considerable work being undertaken on international standards and verification schemes for ammonia. </w:t>
      </w:r>
    </w:p>
    <w:p w14:paraId="61515BD8" w14:textId="13812E43" w:rsidR="574E097E" w:rsidRPr="004E70CE" w:rsidRDefault="574E097E" w:rsidP="00BB51BE">
      <w:pPr>
        <w:rPr>
          <w:rFonts w:ascii="Calibri" w:eastAsia="Calibri" w:hAnsi="Calibri" w:cs="Calibri"/>
        </w:rPr>
      </w:pPr>
      <w:r w:rsidRPr="004E70CE">
        <w:rPr>
          <w:rFonts w:ascii="Calibri" w:eastAsia="Calibri" w:hAnsi="Calibri" w:cs="Calibri"/>
        </w:rPr>
        <w:t xml:space="preserve">The </w:t>
      </w:r>
      <w:r w:rsidR="009424BA" w:rsidRPr="004E70CE">
        <w:rPr>
          <w:rFonts w:ascii="Calibri" w:eastAsia="Calibri" w:hAnsi="Calibri" w:cs="Calibri"/>
        </w:rPr>
        <w:t>government</w:t>
      </w:r>
      <w:r w:rsidRPr="004E70CE">
        <w:rPr>
          <w:rFonts w:ascii="Calibri" w:eastAsia="Calibri" w:hAnsi="Calibri" w:cs="Calibri"/>
        </w:rPr>
        <w:t xml:space="preserve"> is working through the IEA and </w:t>
      </w:r>
      <w:r w:rsidR="0008019A" w:rsidRPr="004E70CE">
        <w:rPr>
          <w:rFonts w:ascii="Calibri" w:eastAsia="Calibri" w:hAnsi="Calibri" w:cs="Calibri"/>
        </w:rPr>
        <w:t xml:space="preserve">the </w:t>
      </w:r>
      <w:r w:rsidRPr="004E70CE">
        <w:rPr>
          <w:rFonts w:ascii="Calibri" w:eastAsia="Calibri" w:hAnsi="Calibri" w:cs="Calibri"/>
        </w:rPr>
        <w:t xml:space="preserve">International Partnership for Hydrogen and Fuel Cells in the </w:t>
      </w:r>
      <w:r w:rsidR="0008019A" w:rsidRPr="004E70CE">
        <w:rPr>
          <w:rFonts w:ascii="Calibri" w:eastAsia="Calibri" w:hAnsi="Calibri" w:cs="Calibri"/>
        </w:rPr>
        <w:t>E</w:t>
      </w:r>
      <w:r w:rsidRPr="004E70CE">
        <w:rPr>
          <w:rFonts w:ascii="Calibri" w:eastAsia="Calibri" w:hAnsi="Calibri" w:cs="Calibri"/>
        </w:rPr>
        <w:t xml:space="preserve">conomy on developing a mutual recognition framework for hydrogen as part of the </w:t>
      </w:r>
      <w:hyperlink r:id="rId29" w:history="1">
        <w:r w:rsidRPr="004E70CE">
          <w:rPr>
            <w:rStyle w:val="Hyperlink"/>
            <w:rFonts w:ascii="Calibri" w:eastAsia="Calibri" w:hAnsi="Calibri" w:cs="Calibri"/>
            <w:color w:val="auto"/>
            <w:u w:val="none"/>
          </w:rPr>
          <w:t>COP28 Declaration of Intent</w:t>
        </w:r>
      </w:hyperlink>
      <w:r w:rsidRPr="004E70CE">
        <w:rPr>
          <w:rFonts w:ascii="Calibri" w:eastAsia="Calibri" w:hAnsi="Calibri" w:cs="Calibri"/>
        </w:rPr>
        <w:t>. This work is intended to identify core design elements for hydrogen certification schemes.</w:t>
      </w:r>
    </w:p>
    <w:p w14:paraId="093D54CC" w14:textId="55F6928B" w:rsidR="00083DBF" w:rsidRPr="004E70CE" w:rsidRDefault="00083DBF" w:rsidP="00BB51BE">
      <w:pPr>
        <w:rPr>
          <w:rFonts w:ascii="Calibri" w:eastAsia="Calibri" w:hAnsi="Calibri" w:cs="Calibri"/>
        </w:rPr>
      </w:pPr>
      <w:r w:rsidRPr="004E70CE">
        <w:rPr>
          <w:rFonts w:ascii="Calibri" w:eastAsia="Calibri" w:hAnsi="Calibri" w:cs="Calibri"/>
        </w:rPr>
        <w:t xml:space="preserve">This would be complementary to support for green ammonia and other derivatives of green hydrogen through the Future Made in Australia policy, </w:t>
      </w:r>
      <w:r w:rsidR="00433DBB" w:rsidRPr="004E70CE">
        <w:rPr>
          <w:rFonts w:ascii="Calibri" w:eastAsia="Calibri" w:hAnsi="Calibri" w:cs="Calibri"/>
        </w:rPr>
        <w:t>aimed to</w:t>
      </w:r>
      <w:r w:rsidRPr="004E70CE">
        <w:rPr>
          <w:rFonts w:ascii="Calibri" w:eastAsia="Calibri" w:hAnsi="Calibri" w:cs="Calibri"/>
        </w:rPr>
        <w:t xml:space="preserve"> support the growth a new green ammonia market segment, alongside the decarbonisation of </w:t>
      </w:r>
      <w:r w:rsidR="005B70D7" w:rsidRPr="004E70CE">
        <w:rPr>
          <w:rFonts w:ascii="Calibri" w:eastAsia="Calibri" w:hAnsi="Calibri" w:cs="Calibri"/>
        </w:rPr>
        <w:t>conventional ammonia</w:t>
      </w:r>
      <w:r w:rsidRPr="004E70CE">
        <w:rPr>
          <w:rFonts w:ascii="Calibri" w:eastAsia="Calibri" w:hAnsi="Calibri" w:cs="Calibri"/>
        </w:rPr>
        <w:t>.</w:t>
      </w:r>
    </w:p>
    <w:p w14:paraId="44C45307" w14:textId="77777777" w:rsidR="0056474B" w:rsidRDefault="0056474B">
      <w:pPr>
        <w:spacing w:after="0" w:line="240" w:lineRule="auto"/>
        <w:rPr>
          <w:rFonts w:ascii="Calibri" w:eastAsia="Calibri" w:hAnsi="Calibri" w:cs="Calibri"/>
          <w:i/>
        </w:rPr>
      </w:pPr>
      <w:r>
        <w:rPr>
          <w:rFonts w:ascii="Calibri" w:eastAsia="Calibri" w:hAnsi="Calibri" w:cs="Calibri"/>
          <w:i/>
        </w:rPr>
        <w:br w:type="page"/>
      </w:r>
    </w:p>
    <w:p w14:paraId="10EADC18" w14:textId="3A896A6B" w:rsidR="574E097E" w:rsidRPr="004E70CE" w:rsidRDefault="574E097E" w:rsidP="00BB51BE">
      <w:pPr>
        <w:rPr>
          <w:rFonts w:ascii="Calibri" w:eastAsia="Calibri" w:hAnsi="Calibri" w:cs="Calibri"/>
        </w:rPr>
      </w:pPr>
      <w:r w:rsidRPr="004E70CE">
        <w:rPr>
          <w:rFonts w:ascii="Calibri" w:eastAsia="Calibri" w:hAnsi="Calibri" w:cs="Calibri"/>
          <w:i/>
        </w:rPr>
        <w:lastRenderedPageBreak/>
        <w:t>Steel</w:t>
      </w:r>
    </w:p>
    <w:p w14:paraId="1D0A5139" w14:textId="77777777" w:rsidR="574E097E" w:rsidRPr="004E70CE" w:rsidRDefault="574E097E" w:rsidP="00BB51BE">
      <w:pPr>
        <w:rPr>
          <w:rFonts w:ascii="Calibri" w:eastAsia="Calibri" w:hAnsi="Calibri" w:cs="Calibri"/>
        </w:rPr>
      </w:pPr>
      <w:r w:rsidRPr="004E70CE">
        <w:rPr>
          <w:rFonts w:ascii="Calibri" w:eastAsia="Calibri" w:hAnsi="Calibri" w:cs="Calibri"/>
        </w:rPr>
        <w:t>In domestic markets, estimates for potential trade leakage for steel appears to be modest while export leakage risk appears more material</w:t>
      </w:r>
      <w:r w:rsidR="00CA7CE8" w:rsidRPr="004E70CE">
        <w:rPr>
          <w:rFonts w:ascii="Calibri" w:eastAsia="Calibri" w:hAnsi="Calibri" w:cs="Calibri"/>
        </w:rPr>
        <w:t>, especially for crude and treated flat steel</w:t>
      </w:r>
      <w:r w:rsidR="007B553D" w:rsidRPr="004E70CE">
        <w:rPr>
          <w:rFonts w:ascii="Calibri" w:eastAsia="Calibri" w:hAnsi="Calibri" w:cs="Calibri"/>
        </w:rPr>
        <w:t xml:space="preserve">. </w:t>
      </w:r>
      <w:r w:rsidRPr="004E70CE">
        <w:rPr>
          <w:rFonts w:ascii="Calibri" w:eastAsia="Calibri" w:hAnsi="Calibri" w:cs="Calibri"/>
        </w:rPr>
        <w:t xml:space="preserve">Industry views </w:t>
      </w:r>
      <w:r w:rsidR="006A453A" w:rsidRPr="004E70CE">
        <w:rPr>
          <w:rFonts w:ascii="Calibri" w:eastAsia="Calibri" w:hAnsi="Calibri" w:cs="Calibri"/>
        </w:rPr>
        <w:t>investment</w:t>
      </w:r>
      <w:r w:rsidRPr="004E70CE">
        <w:rPr>
          <w:rFonts w:ascii="Calibri" w:eastAsia="Calibri" w:hAnsi="Calibri" w:cs="Calibri"/>
        </w:rPr>
        <w:t xml:space="preserve"> leakage as a material risk in the medium</w:t>
      </w:r>
      <w:r w:rsidR="0008019A" w:rsidRPr="004E70CE">
        <w:rPr>
          <w:rFonts w:ascii="Calibri" w:eastAsia="Calibri" w:hAnsi="Calibri" w:cs="Calibri"/>
        </w:rPr>
        <w:t>-</w:t>
      </w:r>
      <w:r w:rsidRPr="004E70CE">
        <w:rPr>
          <w:rFonts w:ascii="Calibri" w:eastAsia="Calibri" w:hAnsi="Calibri" w:cs="Calibri"/>
        </w:rPr>
        <w:t>term as Safeguard baselines decline.</w:t>
      </w:r>
    </w:p>
    <w:p w14:paraId="2FDABCA4" w14:textId="77777777" w:rsidR="574E097E" w:rsidRPr="004E70CE" w:rsidRDefault="574E097E" w:rsidP="00BB51BE">
      <w:pPr>
        <w:rPr>
          <w:rFonts w:ascii="Calibri" w:eastAsia="Calibri" w:hAnsi="Calibri" w:cs="Calibri"/>
        </w:rPr>
      </w:pPr>
      <w:r w:rsidRPr="004E70CE">
        <w:rPr>
          <w:rFonts w:ascii="Calibri" w:eastAsia="Calibri" w:hAnsi="Calibri" w:cs="Calibri"/>
        </w:rPr>
        <w:t>Industry stakeholders also highlighted the risk of indirect leakage through downstream commodities, given imports are estimated to make up half of Australia’s true total steel consumption.</w:t>
      </w:r>
    </w:p>
    <w:p w14:paraId="7583BD9C" w14:textId="77777777" w:rsidR="574E097E" w:rsidRPr="004E70CE" w:rsidRDefault="574E097E" w:rsidP="00BB51BE">
      <w:pPr>
        <w:rPr>
          <w:rFonts w:ascii="Calibri" w:eastAsia="Calibri" w:hAnsi="Calibri" w:cs="Calibri"/>
        </w:rPr>
      </w:pPr>
      <w:r w:rsidRPr="004E70CE">
        <w:rPr>
          <w:rFonts w:ascii="Calibri" w:eastAsia="Calibri" w:hAnsi="Calibri" w:cs="Calibri"/>
        </w:rPr>
        <w:t>Steel is characteri</w:t>
      </w:r>
      <w:r w:rsidR="0008019A" w:rsidRPr="004E70CE">
        <w:rPr>
          <w:rFonts w:ascii="Calibri" w:eastAsia="Calibri" w:hAnsi="Calibri" w:cs="Calibri"/>
        </w:rPr>
        <w:t>s</w:t>
      </w:r>
      <w:r w:rsidRPr="004E70CE">
        <w:rPr>
          <w:rFonts w:ascii="Calibri" w:eastAsia="Calibri" w:hAnsi="Calibri" w:cs="Calibri"/>
        </w:rPr>
        <w:t>ed by complex and varied production structures, involving low and high</w:t>
      </w:r>
      <w:r w:rsidR="00164E22" w:rsidRPr="004E70CE">
        <w:rPr>
          <w:rFonts w:ascii="Calibri" w:eastAsia="Calibri" w:hAnsi="Calibri" w:cs="Calibri"/>
        </w:rPr>
        <w:t xml:space="preserve"> </w:t>
      </w:r>
      <w:r w:rsidRPr="004E70CE">
        <w:rPr>
          <w:rFonts w:ascii="Calibri" w:eastAsia="Calibri" w:hAnsi="Calibri" w:cs="Calibri"/>
        </w:rPr>
        <w:t>emissions production processes, and trade and substitutability of intermediate products. Australia both exports and imports steel. Accounting for embedded emissions in imports would likely pose particular challenges. These complexities have been highlighted by industry stakeholders</w:t>
      </w:r>
      <w:r w:rsidR="00DC63B4" w:rsidRPr="004E70CE">
        <w:rPr>
          <w:rFonts w:ascii="Calibri" w:eastAsia="Calibri" w:hAnsi="Calibri" w:cs="Calibri"/>
        </w:rPr>
        <w:t xml:space="preserve"> with several </w:t>
      </w:r>
      <w:r w:rsidR="00F537C1" w:rsidRPr="004E70CE">
        <w:rPr>
          <w:rFonts w:ascii="Calibri" w:eastAsia="Calibri" w:hAnsi="Calibri" w:cs="Calibri"/>
        </w:rPr>
        <w:t>submissions urging caution on introducing a border carbon adjustment</w:t>
      </w:r>
      <w:r w:rsidR="00800CCC" w:rsidRPr="004E70CE">
        <w:rPr>
          <w:rFonts w:ascii="Calibri" w:eastAsia="Calibri" w:hAnsi="Calibri" w:cs="Calibri"/>
        </w:rPr>
        <w:t xml:space="preserve"> </w:t>
      </w:r>
      <w:r w:rsidR="001A3202" w:rsidRPr="004E70CE">
        <w:rPr>
          <w:rFonts w:ascii="Calibri" w:eastAsia="Calibri" w:hAnsi="Calibri" w:cs="Calibri"/>
        </w:rPr>
        <w:t xml:space="preserve">without careful consideration of </w:t>
      </w:r>
      <w:r w:rsidR="00D54884" w:rsidRPr="004E70CE">
        <w:rPr>
          <w:rFonts w:ascii="Calibri" w:eastAsia="Calibri" w:hAnsi="Calibri" w:cs="Calibri"/>
        </w:rPr>
        <w:t>how to navigate such complexities</w:t>
      </w:r>
      <w:r w:rsidRPr="004E70CE">
        <w:rPr>
          <w:rFonts w:ascii="Calibri" w:eastAsia="Calibri" w:hAnsi="Calibri" w:cs="Calibri"/>
        </w:rPr>
        <w:t xml:space="preserve">. </w:t>
      </w:r>
    </w:p>
    <w:p w14:paraId="5A0E084D" w14:textId="77777777" w:rsidR="00D30EC1" w:rsidRPr="004E70CE" w:rsidRDefault="00F1495E" w:rsidP="00BB51BE">
      <w:pPr>
        <w:ind w:left="720"/>
        <w:rPr>
          <w:rFonts w:ascii="Calibri" w:eastAsia="Calibri" w:hAnsi="Calibri" w:cs="Calibri"/>
          <w:b/>
        </w:rPr>
      </w:pPr>
      <w:r w:rsidRPr="004E70CE">
        <w:rPr>
          <w:i/>
        </w:rPr>
        <w:t>A</w:t>
      </w:r>
      <w:r w:rsidR="00D30EC1" w:rsidRPr="004E70CE">
        <w:rPr>
          <w:i/>
        </w:rPr>
        <w:t xml:space="preserve"> CBAM for steel needs to be carefully designed and introduced cautiously. Any CBAM involves many complex and untested design choices. The choices for steel are particularly complex because steelmaking uses a large variety of processes that create a wide range of products. The risk of doing irreversible damage is very high – a poorly designed CBAM would make iron and steelmaking in Australia unviable.</w:t>
      </w:r>
      <w:r w:rsidR="00624090" w:rsidRPr="004E70CE">
        <w:rPr>
          <w:i/>
          <w:iCs/>
        </w:rPr>
        <w:t xml:space="preserve"> </w:t>
      </w:r>
      <w:r w:rsidR="00872C03" w:rsidRPr="004E70CE">
        <w:t xml:space="preserve">- </w:t>
      </w:r>
      <w:r w:rsidR="00872C03" w:rsidRPr="004E70CE">
        <w:rPr>
          <w:b/>
          <w:bCs/>
        </w:rPr>
        <w:t>Bluescope</w:t>
      </w:r>
    </w:p>
    <w:p w14:paraId="67614AE9" w14:textId="77777777" w:rsidR="00135EF1" w:rsidRPr="004E70CE" w:rsidRDefault="574E097E" w:rsidP="00BB51BE">
      <w:pPr>
        <w:rPr>
          <w:rFonts w:ascii="Calibri" w:eastAsia="Calibri" w:hAnsi="Calibri" w:cs="Calibri"/>
          <w:strike/>
        </w:rPr>
      </w:pPr>
      <w:r w:rsidRPr="004E70CE">
        <w:rPr>
          <w:rFonts w:ascii="Calibri" w:eastAsia="Calibri" w:hAnsi="Calibri" w:cs="Calibri"/>
        </w:rPr>
        <w:t>In the Review’s assessment, a border carbon adjustment for steel may be appropriate in the medium</w:t>
      </w:r>
      <w:r w:rsidR="001427FA" w:rsidRPr="004E70CE">
        <w:rPr>
          <w:rFonts w:ascii="Calibri" w:eastAsia="Calibri" w:hAnsi="Calibri" w:cs="Calibri"/>
        </w:rPr>
        <w:t>-</w:t>
      </w:r>
      <w:r w:rsidR="005830BF" w:rsidRPr="004E70CE">
        <w:rPr>
          <w:rFonts w:ascii="Calibri" w:eastAsia="Calibri" w:hAnsi="Calibri" w:cs="Calibri"/>
        </w:rPr>
        <w:t>term</w:t>
      </w:r>
      <w:r w:rsidR="005A3799" w:rsidRPr="004E70CE">
        <w:rPr>
          <w:rFonts w:ascii="Calibri" w:eastAsia="Calibri" w:hAnsi="Calibri" w:cs="Calibri"/>
        </w:rPr>
        <w:t>.</w:t>
      </w:r>
      <w:r w:rsidRPr="004E70CE">
        <w:rPr>
          <w:rFonts w:ascii="Calibri" w:eastAsia="Calibri" w:hAnsi="Calibri" w:cs="Calibri"/>
        </w:rPr>
        <w:t xml:space="preserve"> </w:t>
      </w:r>
      <w:r w:rsidR="005A3799" w:rsidRPr="004E70CE">
        <w:rPr>
          <w:rFonts w:ascii="Calibri" w:eastAsia="Calibri" w:hAnsi="Calibri" w:cs="Calibri"/>
        </w:rPr>
        <w:t>H</w:t>
      </w:r>
      <w:r w:rsidRPr="004E70CE">
        <w:rPr>
          <w:rFonts w:ascii="Calibri" w:eastAsia="Calibri" w:hAnsi="Calibri" w:cs="Calibri"/>
        </w:rPr>
        <w:t>owever</w:t>
      </w:r>
      <w:r w:rsidR="001427FA" w:rsidRPr="004E70CE">
        <w:rPr>
          <w:rFonts w:ascii="Calibri" w:eastAsia="Calibri" w:hAnsi="Calibri" w:cs="Calibri"/>
        </w:rPr>
        <w:t>,</w:t>
      </w:r>
      <w:r w:rsidRPr="004E70CE">
        <w:rPr>
          <w:rFonts w:ascii="Calibri" w:eastAsia="Calibri" w:hAnsi="Calibri" w:cs="Calibri"/>
        </w:rPr>
        <w:t xml:space="preserve"> this would need careful weighing up and would benefit from experiences with the implementation of the EU CBAM on steel, and the design and implementation of any Australian border</w:t>
      </w:r>
      <w:r w:rsidR="00F612C4" w:rsidRPr="004E70CE">
        <w:t xml:space="preserve"> carbon</w:t>
      </w:r>
      <w:r w:rsidRPr="004E70CE">
        <w:rPr>
          <w:rFonts w:ascii="Calibri" w:eastAsia="Calibri" w:hAnsi="Calibri" w:cs="Calibri"/>
        </w:rPr>
        <w:t xml:space="preserve"> adjustment on other commodities.</w:t>
      </w:r>
    </w:p>
    <w:p w14:paraId="1A83BDCA" w14:textId="77777777" w:rsidR="574E097E" w:rsidRPr="004E70CE" w:rsidRDefault="574E097E" w:rsidP="00BB51BE">
      <w:pPr>
        <w:rPr>
          <w:rFonts w:ascii="Calibri" w:eastAsia="Calibri" w:hAnsi="Calibri" w:cs="Calibri"/>
        </w:rPr>
      </w:pPr>
      <w:r w:rsidRPr="004E70CE">
        <w:rPr>
          <w:rFonts w:ascii="Calibri" w:eastAsia="Calibri" w:hAnsi="Calibri" w:cs="Calibri"/>
        </w:rPr>
        <w:t>There are several international standards and verification schemes being developed.</w:t>
      </w:r>
      <w:r w:rsidR="005B0693" w:rsidRPr="004E70CE">
        <w:rPr>
          <w:rStyle w:val="FootnoteReference"/>
          <w:rFonts w:ascii="Calibri" w:eastAsia="Calibri" w:hAnsi="Calibri" w:cs="Calibri"/>
        </w:rPr>
        <w:footnoteReference w:id="99"/>
      </w:r>
      <w:r w:rsidRPr="004E70CE">
        <w:rPr>
          <w:rFonts w:ascii="Calibri" w:eastAsia="Calibri" w:hAnsi="Calibri" w:cs="Calibri"/>
        </w:rPr>
        <w:t xml:space="preserve"> Further development of international standards and verification schemes for emissions measurement would be beneficial before a border carbon adjustment was implemented. </w:t>
      </w:r>
    </w:p>
    <w:p w14:paraId="4B14AC7F" w14:textId="77777777" w:rsidR="574E097E" w:rsidRPr="004E70CE" w:rsidRDefault="574E097E" w:rsidP="00BB51BE">
      <w:pPr>
        <w:rPr>
          <w:rFonts w:ascii="Calibri" w:eastAsia="Calibri" w:hAnsi="Calibri" w:cs="Calibri"/>
        </w:rPr>
      </w:pPr>
      <w:r w:rsidRPr="004E70CE">
        <w:rPr>
          <w:rFonts w:ascii="Calibri" w:eastAsia="Calibri" w:hAnsi="Calibri" w:cs="Calibri"/>
          <w:i/>
        </w:rPr>
        <w:t>Glass</w:t>
      </w:r>
    </w:p>
    <w:p w14:paraId="732A743A" w14:textId="77777777" w:rsidR="574E097E" w:rsidRPr="004E70CE" w:rsidRDefault="574E097E" w:rsidP="00BB51BE">
      <w:pPr>
        <w:rPr>
          <w:rFonts w:ascii="Calibri" w:eastAsia="Calibri" w:hAnsi="Calibri" w:cs="Calibri"/>
        </w:rPr>
      </w:pPr>
      <w:r w:rsidRPr="004E70CE">
        <w:rPr>
          <w:rFonts w:ascii="Calibri" w:eastAsia="Calibri" w:hAnsi="Calibri" w:cs="Calibri"/>
        </w:rPr>
        <w:t xml:space="preserve">In domestic markets, potential import leakage </w:t>
      </w:r>
      <w:r w:rsidR="00AF5FE8" w:rsidRPr="004E70CE">
        <w:rPr>
          <w:rFonts w:ascii="Calibri" w:eastAsia="Calibri" w:hAnsi="Calibri" w:cs="Calibri"/>
        </w:rPr>
        <w:t>risk</w:t>
      </w:r>
      <w:r w:rsidRPr="004E70CE">
        <w:rPr>
          <w:rFonts w:ascii="Calibri" w:eastAsia="Calibri" w:hAnsi="Calibri" w:cs="Calibri"/>
        </w:rPr>
        <w:t xml:space="preserve"> appears to be modest for glass container</w:t>
      </w:r>
      <w:r w:rsidR="00CC626C" w:rsidRPr="004E70CE">
        <w:rPr>
          <w:rFonts w:ascii="Calibri" w:eastAsia="Calibri" w:hAnsi="Calibri" w:cs="Calibri"/>
        </w:rPr>
        <w:t>s</w:t>
      </w:r>
      <w:r w:rsidRPr="004E70CE">
        <w:rPr>
          <w:rFonts w:ascii="Calibri" w:eastAsia="Calibri" w:hAnsi="Calibri" w:cs="Calibri"/>
        </w:rPr>
        <w:t xml:space="preserve"> and flat glass. </w:t>
      </w:r>
      <w:r w:rsidR="00F40E73" w:rsidRPr="004E70CE">
        <w:rPr>
          <w:rFonts w:ascii="Calibri" w:eastAsia="Calibri" w:hAnsi="Calibri" w:cs="Calibri"/>
        </w:rPr>
        <w:t>A</w:t>
      </w:r>
      <w:r w:rsidR="00CD0FEA" w:rsidRPr="004E70CE">
        <w:rPr>
          <w:rFonts w:ascii="Calibri" w:eastAsia="Calibri" w:hAnsi="Calibri" w:cs="Calibri"/>
        </w:rPr>
        <w:t>nalysis als</w:t>
      </w:r>
      <w:r w:rsidR="00F40E73" w:rsidRPr="004E70CE">
        <w:rPr>
          <w:rFonts w:ascii="Calibri" w:eastAsia="Calibri" w:hAnsi="Calibri" w:cs="Calibri"/>
        </w:rPr>
        <w:t>o</w:t>
      </w:r>
      <w:r w:rsidR="00CD0FEA" w:rsidRPr="004E70CE">
        <w:rPr>
          <w:rFonts w:ascii="Calibri" w:eastAsia="Calibri" w:hAnsi="Calibri" w:cs="Calibri"/>
        </w:rPr>
        <w:t xml:space="preserve"> shows that investment leakage is </w:t>
      </w:r>
      <w:r w:rsidR="00F40E73" w:rsidRPr="004E70CE">
        <w:rPr>
          <w:rFonts w:ascii="Calibri" w:eastAsia="Calibri" w:hAnsi="Calibri" w:cs="Calibri"/>
        </w:rPr>
        <w:t>a high risk for glass manufacturers.</w:t>
      </w:r>
    </w:p>
    <w:p w14:paraId="3EB9CB15" w14:textId="77777777" w:rsidR="574E097E" w:rsidRPr="004E70CE" w:rsidRDefault="574E097E" w:rsidP="00BB51BE">
      <w:pPr>
        <w:rPr>
          <w:rFonts w:ascii="Calibri" w:eastAsia="Calibri" w:hAnsi="Calibri" w:cs="Calibri"/>
        </w:rPr>
      </w:pPr>
      <w:r w:rsidRPr="004E70CE">
        <w:rPr>
          <w:rFonts w:ascii="Calibri" w:eastAsia="Calibri" w:hAnsi="Calibri" w:cs="Calibri"/>
        </w:rPr>
        <w:t>Industry consultation suggests leakage risks are a concern, including with rega</w:t>
      </w:r>
      <w:r w:rsidR="00F0067B" w:rsidRPr="004E70CE">
        <w:rPr>
          <w:rFonts w:ascii="Calibri" w:eastAsia="Calibri" w:hAnsi="Calibri" w:cs="Calibri"/>
        </w:rPr>
        <w:t>r</w:t>
      </w:r>
      <w:r w:rsidRPr="004E70CE">
        <w:rPr>
          <w:rFonts w:ascii="Calibri" w:eastAsia="Calibri" w:hAnsi="Calibri" w:cs="Calibri"/>
        </w:rPr>
        <w:t>d to investment in low</w:t>
      </w:r>
      <w:r w:rsidR="00CC626C" w:rsidRPr="004E70CE">
        <w:rPr>
          <w:rFonts w:ascii="Calibri" w:eastAsia="Calibri" w:hAnsi="Calibri" w:cs="Calibri"/>
        </w:rPr>
        <w:t xml:space="preserve"> </w:t>
      </w:r>
      <w:r w:rsidRPr="004E70CE">
        <w:rPr>
          <w:rFonts w:ascii="Calibri" w:eastAsia="Calibri" w:hAnsi="Calibri" w:cs="Calibri"/>
        </w:rPr>
        <w:t>emissions facilities</w:t>
      </w:r>
      <w:r w:rsidR="007035FF" w:rsidRPr="004E70CE">
        <w:rPr>
          <w:rFonts w:ascii="Calibri" w:eastAsia="Calibri" w:hAnsi="Calibri" w:cs="Calibri"/>
        </w:rPr>
        <w:t>.</w:t>
      </w:r>
    </w:p>
    <w:p w14:paraId="78B0C1C3" w14:textId="77777777" w:rsidR="574E097E" w:rsidRPr="004E70CE" w:rsidRDefault="574E097E" w:rsidP="00BB51BE">
      <w:pPr>
        <w:rPr>
          <w:rFonts w:eastAsia="Segoe UI" w:cstheme="minorHAnsi"/>
        </w:rPr>
      </w:pPr>
      <w:r w:rsidRPr="004E70CE">
        <w:rPr>
          <w:rFonts w:eastAsia="Segoe UI" w:cstheme="minorHAnsi"/>
        </w:rPr>
        <w:t>A border</w:t>
      </w:r>
      <w:r w:rsidR="00F612C4" w:rsidRPr="004E70CE">
        <w:rPr>
          <w:rFonts w:eastAsia="Segoe UI" w:cstheme="minorHAnsi"/>
        </w:rPr>
        <w:t xml:space="preserve"> carbon</w:t>
      </w:r>
      <w:r w:rsidRPr="004E70CE">
        <w:rPr>
          <w:rFonts w:eastAsia="Segoe UI" w:cstheme="minorHAnsi"/>
        </w:rPr>
        <w:t xml:space="preserve"> adjustment may be appropriate for glass production</w:t>
      </w:r>
      <w:r w:rsidR="00A04BB6" w:rsidRPr="004E70CE">
        <w:rPr>
          <w:rFonts w:eastAsia="Segoe UI" w:cstheme="minorHAnsi"/>
        </w:rPr>
        <w:t xml:space="preserve"> at a future stage</w:t>
      </w:r>
      <w:r w:rsidRPr="004E70CE">
        <w:rPr>
          <w:rFonts w:eastAsia="Segoe UI" w:cstheme="minorHAnsi"/>
        </w:rPr>
        <w:t>, subject to further consideration.</w:t>
      </w:r>
    </w:p>
    <w:p w14:paraId="7CDAE46E" w14:textId="6B03A286" w:rsidR="11CAF7A1" w:rsidRPr="004E70CE" w:rsidRDefault="574E097E" w:rsidP="00BB51BE">
      <w:r w:rsidRPr="004E70CE">
        <w:rPr>
          <w:rFonts w:eastAsia="Segoe UI" w:cstheme="minorHAnsi"/>
        </w:rPr>
        <w:t xml:space="preserve">Coverage by the Safeguard Mechanism comprises one facility each for flat and container glass, representing all flat glass and less than half </w:t>
      </w:r>
      <w:r w:rsidR="00CC626C" w:rsidRPr="004E70CE">
        <w:rPr>
          <w:rFonts w:eastAsia="Segoe UI" w:cstheme="minorHAnsi"/>
        </w:rPr>
        <w:t xml:space="preserve">of all </w:t>
      </w:r>
      <w:r w:rsidR="006907E9" w:rsidRPr="004E70CE">
        <w:rPr>
          <w:rFonts w:eastAsia="Segoe UI" w:cstheme="minorHAnsi"/>
        </w:rPr>
        <w:t xml:space="preserve">glass </w:t>
      </w:r>
      <w:r w:rsidRPr="004E70CE">
        <w:rPr>
          <w:rFonts w:eastAsia="Segoe UI" w:cstheme="minorHAnsi"/>
        </w:rPr>
        <w:t>container production.</w:t>
      </w:r>
      <w:r w:rsidR="0056474B">
        <w:rPr>
          <w:rFonts w:eastAsia="Segoe UI" w:cstheme="minorHAnsi"/>
        </w:rPr>
        <w:t xml:space="preserve"> </w:t>
      </w:r>
      <w:r w:rsidRPr="004E70CE">
        <w:rPr>
          <w:rFonts w:ascii="Calibri" w:eastAsia="Calibri" w:hAnsi="Calibri" w:cs="Calibri"/>
        </w:rPr>
        <w:t xml:space="preserve">The partial coverage of the </w:t>
      </w:r>
      <w:r w:rsidR="00CC626C" w:rsidRPr="004E70CE">
        <w:rPr>
          <w:rFonts w:ascii="Calibri" w:eastAsia="Calibri" w:hAnsi="Calibri" w:cs="Calibri"/>
        </w:rPr>
        <w:t xml:space="preserve">glass </w:t>
      </w:r>
      <w:r w:rsidRPr="004E70CE">
        <w:rPr>
          <w:rFonts w:ascii="Calibri" w:eastAsia="Calibri" w:hAnsi="Calibri" w:cs="Calibri"/>
        </w:rPr>
        <w:t>container industry may present a barrier to implementing a border carbon adjustment</w:t>
      </w:r>
      <w:r w:rsidR="00A04BB6" w:rsidRPr="004E70CE">
        <w:rPr>
          <w:rFonts w:ascii="Calibri" w:eastAsia="Calibri" w:hAnsi="Calibri" w:cs="Calibri"/>
        </w:rPr>
        <w:t xml:space="preserve"> and would need to be carefully considered</w:t>
      </w:r>
      <w:r w:rsidR="00762867" w:rsidRPr="004E70CE">
        <w:rPr>
          <w:rFonts w:ascii="Calibri" w:eastAsia="Calibri" w:hAnsi="Calibri" w:cs="Calibri"/>
        </w:rPr>
        <w:t xml:space="preserve"> (see </w:t>
      </w:r>
      <w:r w:rsidR="00762867" w:rsidRPr="004E70CE">
        <w:rPr>
          <w:rFonts w:ascii="Calibri" w:eastAsia="Calibri" w:hAnsi="Calibri" w:cs="Calibri"/>
          <w:b/>
          <w:bCs/>
        </w:rPr>
        <w:t>Section 3.4.2)</w:t>
      </w:r>
      <w:r w:rsidRPr="004E70CE">
        <w:rPr>
          <w:rFonts w:ascii="Calibri" w:eastAsia="Calibri" w:hAnsi="Calibri" w:cs="Calibri"/>
        </w:rPr>
        <w:t xml:space="preserve">. </w:t>
      </w:r>
    </w:p>
    <w:p w14:paraId="1073EED6" w14:textId="77777777" w:rsidR="6AE89CB1" w:rsidRPr="004E70CE" w:rsidRDefault="1826678E" w:rsidP="6AE89CB1">
      <w:pPr>
        <w:rPr>
          <w:rFonts w:ascii="CIDFont+F4" w:hAnsi="CIDFont+F4" w:cs="CIDFont+F4"/>
          <w:b/>
        </w:rPr>
      </w:pPr>
      <w:r w:rsidRPr="004E70CE">
        <w:rPr>
          <w:rFonts w:ascii="CIDFont+F4" w:hAnsi="CIDFont+F4" w:cs="CIDFont+F4"/>
          <w:b/>
        </w:rPr>
        <w:lastRenderedPageBreak/>
        <w:t xml:space="preserve">Table </w:t>
      </w:r>
      <w:r w:rsidR="009C652B" w:rsidRPr="004E70CE">
        <w:rPr>
          <w:rFonts w:ascii="CIDFont+F4" w:hAnsi="CIDFont+F4" w:cs="CIDFont+F4"/>
          <w:b/>
          <w:bCs/>
        </w:rPr>
        <w:t>5</w:t>
      </w:r>
      <w:r w:rsidRPr="004E70CE">
        <w:rPr>
          <w:rFonts w:ascii="CIDFont+F4" w:hAnsi="CIDFont+F4" w:cs="CIDFont+F4"/>
          <w:b/>
        </w:rPr>
        <w:t xml:space="preserve">: </w:t>
      </w:r>
      <w:r w:rsidR="3C7BD957" w:rsidRPr="004E70CE">
        <w:rPr>
          <w:rFonts w:ascii="CIDFont+F4" w:hAnsi="CIDFont+F4" w:cs="CIDFont+F4"/>
          <w:b/>
        </w:rPr>
        <w:t>Feasibility</w:t>
      </w:r>
      <w:r w:rsidRPr="004E70CE">
        <w:rPr>
          <w:rFonts w:ascii="CIDFont+F4" w:hAnsi="CIDFont+F4" w:cs="CIDFont+F4"/>
          <w:b/>
        </w:rPr>
        <w:t xml:space="preserve"> Assessment</w:t>
      </w:r>
      <w:r w:rsidR="62E3BBD2" w:rsidRPr="004E70CE">
        <w:rPr>
          <w:rFonts w:ascii="CIDFont+F4" w:hAnsi="CIDFont+F4" w:cs="CIDFont+F4"/>
          <w:b/>
          <w:bCs/>
        </w:rPr>
        <w:t xml:space="preserve"> for border carbon adjustment</w:t>
      </w:r>
    </w:p>
    <w:tbl>
      <w:tblPr>
        <w:tblStyle w:val="TableGrid12"/>
        <w:tblW w:w="0" w:type="auto"/>
        <w:tblLook w:val="04A0" w:firstRow="1" w:lastRow="0" w:firstColumn="1" w:lastColumn="0" w:noHBand="0" w:noVBand="1"/>
      </w:tblPr>
      <w:tblGrid>
        <w:gridCol w:w="1233"/>
        <w:gridCol w:w="1956"/>
        <w:gridCol w:w="1956"/>
        <w:gridCol w:w="1957"/>
        <w:gridCol w:w="1957"/>
      </w:tblGrid>
      <w:tr w:rsidR="00643B8C" w:rsidRPr="004E70CE" w14:paraId="2D4A2D37" w14:textId="77777777" w:rsidTr="00C20296">
        <w:trPr>
          <w:trHeight w:val="300"/>
        </w:trPr>
        <w:tc>
          <w:tcPr>
            <w:tcW w:w="1233" w:type="dxa"/>
            <w:shd w:val="clear" w:color="auto" w:fill="BDD6EE"/>
            <w:tcMar>
              <w:top w:w="28" w:type="dxa"/>
              <w:bottom w:w="28" w:type="dxa"/>
            </w:tcMar>
            <w:vAlign w:val="center"/>
          </w:tcPr>
          <w:p w14:paraId="4A9E4A34" w14:textId="77777777" w:rsidR="179F2EC1" w:rsidRPr="004E70CE" w:rsidRDefault="179F2EC1" w:rsidP="179F2EC1">
            <w:pPr>
              <w:spacing w:after="0" w:line="240" w:lineRule="auto"/>
              <w:rPr>
                <w:rFonts w:ascii="Calibri" w:eastAsia="Calibri" w:hAnsi="Calibri" w:cs="Times New Roman"/>
                <w:b/>
                <w:bCs/>
                <w:sz w:val="18"/>
                <w:szCs w:val="18"/>
              </w:rPr>
            </w:pPr>
            <w:r w:rsidRPr="004E70CE">
              <w:rPr>
                <w:rFonts w:ascii="Calibri" w:eastAsia="Calibri" w:hAnsi="Calibri" w:cs="Times New Roman"/>
                <w:b/>
                <w:bCs/>
                <w:sz w:val="18"/>
                <w:szCs w:val="18"/>
              </w:rPr>
              <w:t>Commodities</w:t>
            </w:r>
          </w:p>
        </w:tc>
        <w:tc>
          <w:tcPr>
            <w:tcW w:w="1956" w:type="dxa"/>
            <w:shd w:val="clear" w:color="auto" w:fill="BDD6EE"/>
            <w:tcMar>
              <w:top w:w="28" w:type="dxa"/>
              <w:bottom w:w="28" w:type="dxa"/>
            </w:tcMar>
            <w:vAlign w:val="center"/>
          </w:tcPr>
          <w:p w14:paraId="35918B27" w14:textId="77777777" w:rsidR="179F2EC1" w:rsidRPr="004E70CE" w:rsidRDefault="00925F41" w:rsidP="179F2EC1">
            <w:pPr>
              <w:spacing w:after="0" w:line="240" w:lineRule="auto"/>
              <w:rPr>
                <w:rFonts w:ascii="Calibri" w:eastAsia="Calibri" w:hAnsi="Calibri" w:cs="Times New Roman"/>
                <w:b/>
                <w:bCs/>
                <w:sz w:val="18"/>
                <w:szCs w:val="18"/>
              </w:rPr>
            </w:pPr>
            <w:r w:rsidRPr="004E70CE">
              <w:rPr>
                <w:rFonts w:ascii="Calibri" w:eastAsia="Calibri" w:hAnsi="Calibri" w:cs="Times New Roman"/>
                <w:b/>
                <w:bCs/>
                <w:sz w:val="18"/>
                <w:szCs w:val="18"/>
              </w:rPr>
              <w:t>Commodity specific considerations</w:t>
            </w:r>
          </w:p>
        </w:tc>
        <w:tc>
          <w:tcPr>
            <w:tcW w:w="1956" w:type="dxa"/>
            <w:shd w:val="clear" w:color="auto" w:fill="BDD6EE"/>
            <w:vAlign w:val="center"/>
          </w:tcPr>
          <w:p w14:paraId="2B941DFA" w14:textId="77777777" w:rsidR="007E3505" w:rsidRPr="004E70CE" w:rsidRDefault="007E3505" w:rsidP="179F2EC1">
            <w:pPr>
              <w:spacing w:after="0" w:line="240" w:lineRule="auto"/>
              <w:rPr>
                <w:rFonts w:ascii="Calibri" w:eastAsia="Calibri" w:hAnsi="Calibri" w:cs="Times New Roman"/>
                <w:b/>
                <w:bCs/>
                <w:sz w:val="18"/>
                <w:szCs w:val="18"/>
              </w:rPr>
            </w:pPr>
            <w:r w:rsidRPr="004E70CE">
              <w:rPr>
                <w:rFonts w:ascii="Calibri" w:eastAsia="Calibri" w:hAnsi="Calibri" w:cs="Times New Roman"/>
                <w:b/>
                <w:bCs/>
                <w:sz w:val="18"/>
                <w:szCs w:val="18"/>
              </w:rPr>
              <w:t>Domestic Safeguard coverage</w:t>
            </w:r>
          </w:p>
        </w:tc>
        <w:tc>
          <w:tcPr>
            <w:tcW w:w="1957" w:type="dxa"/>
            <w:shd w:val="clear" w:color="auto" w:fill="BDD6EE"/>
            <w:tcMar>
              <w:top w:w="28" w:type="dxa"/>
              <w:bottom w:w="28" w:type="dxa"/>
            </w:tcMar>
            <w:vAlign w:val="center"/>
          </w:tcPr>
          <w:p w14:paraId="6C4ECC3F" w14:textId="77777777" w:rsidR="179F2EC1" w:rsidRPr="004E70CE" w:rsidRDefault="000D5AEB" w:rsidP="179F2EC1">
            <w:pPr>
              <w:spacing w:after="0" w:line="240" w:lineRule="auto"/>
              <w:rPr>
                <w:rFonts w:ascii="Calibri" w:eastAsia="Calibri" w:hAnsi="Calibri" w:cs="Times New Roman"/>
                <w:b/>
                <w:sz w:val="18"/>
                <w:szCs w:val="18"/>
              </w:rPr>
            </w:pPr>
            <w:r w:rsidRPr="004E70CE">
              <w:rPr>
                <w:rFonts w:ascii="Calibri" w:eastAsia="Calibri" w:hAnsi="Calibri" w:cs="Times New Roman"/>
                <w:b/>
                <w:bCs/>
                <w:sz w:val="18"/>
                <w:szCs w:val="18"/>
              </w:rPr>
              <w:t>Other domestic considerations</w:t>
            </w:r>
          </w:p>
        </w:tc>
        <w:tc>
          <w:tcPr>
            <w:tcW w:w="1957" w:type="dxa"/>
            <w:shd w:val="clear" w:color="auto" w:fill="BDD6EE"/>
            <w:tcMar>
              <w:top w:w="28" w:type="dxa"/>
              <w:bottom w:w="28" w:type="dxa"/>
            </w:tcMar>
            <w:vAlign w:val="center"/>
          </w:tcPr>
          <w:p w14:paraId="25FE7138" w14:textId="77777777" w:rsidR="179F2EC1" w:rsidRPr="004E70CE" w:rsidRDefault="00414E38" w:rsidP="179F2EC1">
            <w:pPr>
              <w:spacing w:after="0" w:line="240" w:lineRule="auto"/>
              <w:rPr>
                <w:rFonts w:ascii="Calibri" w:eastAsia="Calibri" w:hAnsi="Calibri" w:cs="Times New Roman"/>
                <w:b/>
                <w:sz w:val="18"/>
                <w:szCs w:val="18"/>
              </w:rPr>
            </w:pPr>
            <w:r w:rsidRPr="004E70CE">
              <w:rPr>
                <w:rFonts w:ascii="Calibri" w:eastAsia="Calibri" w:hAnsi="Calibri" w:cs="Times New Roman"/>
                <w:b/>
                <w:bCs/>
                <w:sz w:val="18"/>
                <w:szCs w:val="18"/>
              </w:rPr>
              <w:t xml:space="preserve">International </w:t>
            </w:r>
            <w:r w:rsidR="000D5AEB" w:rsidRPr="004E70CE">
              <w:rPr>
                <w:rFonts w:ascii="Calibri" w:eastAsia="Calibri" w:hAnsi="Calibri" w:cs="Times New Roman"/>
                <w:b/>
                <w:bCs/>
                <w:sz w:val="18"/>
                <w:szCs w:val="18"/>
              </w:rPr>
              <w:t>considerations</w:t>
            </w:r>
            <w:r w:rsidRPr="004E70CE">
              <w:rPr>
                <w:rFonts w:ascii="Calibri" w:eastAsia="Calibri" w:hAnsi="Calibri" w:cs="Times New Roman"/>
                <w:b/>
                <w:bCs/>
                <w:sz w:val="18"/>
                <w:szCs w:val="18"/>
              </w:rPr>
              <w:t xml:space="preserve"> </w:t>
            </w:r>
          </w:p>
        </w:tc>
      </w:tr>
      <w:tr w:rsidR="179F2EC1" w:rsidRPr="004E70CE" w14:paraId="73B6D382" w14:textId="77777777" w:rsidTr="006205BC">
        <w:trPr>
          <w:trHeight w:val="300"/>
        </w:trPr>
        <w:tc>
          <w:tcPr>
            <w:tcW w:w="1956" w:type="dxa"/>
            <w:gridSpan w:val="5"/>
            <w:shd w:val="clear" w:color="auto" w:fill="auto"/>
            <w:tcMar>
              <w:top w:w="28" w:type="dxa"/>
              <w:bottom w:w="28" w:type="dxa"/>
            </w:tcMar>
            <w:vAlign w:val="center"/>
          </w:tcPr>
          <w:p w14:paraId="11B54F7B" w14:textId="77777777" w:rsidR="179F2EC1" w:rsidRPr="004E70CE" w:rsidRDefault="1CD280A5" w:rsidP="179F2EC1">
            <w:pPr>
              <w:spacing w:after="0" w:line="240" w:lineRule="auto"/>
            </w:pPr>
            <w:r w:rsidRPr="004E70CE">
              <w:rPr>
                <w:rFonts w:ascii="Calibri" w:eastAsia="Calibri" w:hAnsi="Calibri" w:cs="Times New Roman"/>
                <w:b/>
                <w:bCs/>
                <w:sz w:val="18"/>
                <w:szCs w:val="18"/>
              </w:rPr>
              <w:t xml:space="preserve">Candidate for earlier BCA based on elevated carbon leakage risk </w:t>
            </w:r>
          </w:p>
        </w:tc>
      </w:tr>
      <w:tr w:rsidR="00E16E91" w:rsidRPr="004E70CE" w14:paraId="75DE7475" w14:textId="77777777" w:rsidTr="006205BC">
        <w:trPr>
          <w:trHeight w:val="300"/>
        </w:trPr>
        <w:tc>
          <w:tcPr>
            <w:tcW w:w="1233" w:type="dxa"/>
            <w:tcMar>
              <w:top w:w="28" w:type="dxa"/>
              <w:bottom w:w="28" w:type="dxa"/>
            </w:tcMar>
          </w:tcPr>
          <w:p w14:paraId="47DD1A69" w14:textId="77777777" w:rsidR="179F2EC1" w:rsidRPr="004E70CE" w:rsidRDefault="179F2EC1" w:rsidP="179F2EC1">
            <w:pPr>
              <w:spacing w:after="0" w:line="240" w:lineRule="auto"/>
              <w:rPr>
                <w:rFonts w:ascii="Calibri" w:eastAsia="Calibri" w:hAnsi="Calibri" w:cs="Times New Roman"/>
                <w:sz w:val="18"/>
                <w:szCs w:val="18"/>
              </w:rPr>
            </w:pPr>
            <w:r w:rsidRPr="004E70CE">
              <w:rPr>
                <w:rFonts w:ascii="Calibri" w:eastAsia="Calibri" w:hAnsi="Calibri" w:cs="Times New Roman"/>
                <w:sz w:val="18"/>
                <w:szCs w:val="18"/>
              </w:rPr>
              <w:t>Clinker</w:t>
            </w:r>
          </w:p>
        </w:tc>
        <w:tc>
          <w:tcPr>
            <w:tcW w:w="1956" w:type="dxa"/>
            <w:shd w:val="clear" w:color="auto" w:fill="C6EFCE"/>
            <w:tcMar>
              <w:top w:w="28" w:type="dxa"/>
              <w:bottom w:w="28" w:type="dxa"/>
            </w:tcMar>
          </w:tcPr>
          <w:p w14:paraId="084B1579" w14:textId="77777777" w:rsidR="179F2EC1" w:rsidRPr="004E70CE" w:rsidRDefault="00180EA8" w:rsidP="325F078C">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Relatively homogenous.</w:t>
            </w:r>
          </w:p>
        </w:tc>
        <w:tc>
          <w:tcPr>
            <w:tcW w:w="1956" w:type="dxa"/>
            <w:shd w:val="clear" w:color="auto" w:fill="C6EFCE"/>
          </w:tcPr>
          <w:p w14:paraId="438388F1" w14:textId="77777777" w:rsidR="00414E38" w:rsidRPr="004E70CE" w:rsidRDefault="0091294D" w:rsidP="179F2EC1">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100%</w:t>
            </w:r>
          </w:p>
        </w:tc>
        <w:tc>
          <w:tcPr>
            <w:tcW w:w="1957" w:type="dxa"/>
            <w:shd w:val="clear" w:color="auto" w:fill="C6EFCE"/>
            <w:tcMar>
              <w:top w:w="28" w:type="dxa"/>
              <w:bottom w:w="28" w:type="dxa"/>
            </w:tcMar>
          </w:tcPr>
          <w:p w14:paraId="2829520E" w14:textId="77777777" w:rsidR="179F2EC1" w:rsidRPr="004E70CE" w:rsidRDefault="0091294D" w:rsidP="179F2EC1">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None.</w:t>
            </w:r>
          </w:p>
        </w:tc>
        <w:tc>
          <w:tcPr>
            <w:tcW w:w="1957" w:type="dxa"/>
            <w:shd w:val="clear" w:color="auto" w:fill="FFEB9C"/>
            <w:tcMar>
              <w:top w:w="28" w:type="dxa"/>
              <w:bottom w:w="28" w:type="dxa"/>
            </w:tcMar>
          </w:tcPr>
          <w:p w14:paraId="543DA805" w14:textId="77777777" w:rsidR="00180EA8" w:rsidRPr="004E70CE" w:rsidRDefault="5832DB0F" w:rsidP="00180EA8">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 xml:space="preserve">Relatively good </w:t>
            </w:r>
            <w:r w:rsidR="00180EA8" w:rsidRPr="004E70CE">
              <w:rPr>
                <w:rFonts w:ascii="Calibri" w:eastAsia="Calibri" w:hAnsi="Calibri" w:cs="Times New Roman"/>
                <w:sz w:val="18"/>
                <w:szCs w:val="18"/>
              </w:rPr>
              <w:t>emissions</w:t>
            </w:r>
            <w:r w:rsidRPr="004E70CE">
              <w:rPr>
                <w:rFonts w:ascii="Calibri" w:eastAsia="Calibri" w:hAnsi="Calibri" w:cs="Times New Roman"/>
                <w:sz w:val="18"/>
                <w:szCs w:val="18"/>
              </w:rPr>
              <w:t xml:space="preserve"> data and </w:t>
            </w:r>
            <w:r w:rsidR="0091294D" w:rsidRPr="004E70CE">
              <w:rPr>
                <w:rFonts w:ascii="Calibri" w:eastAsia="Calibri" w:hAnsi="Calibri" w:cs="Times New Roman"/>
                <w:sz w:val="18"/>
                <w:szCs w:val="18"/>
              </w:rPr>
              <w:t>proxies</w:t>
            </w:r>
            <w:r w:rsidR="00180EA8" w:rsidRPr="004E70CE">
              <w:rPr>
                <w:rFonts w:ascii="Calibri" w:eastAsia="Calibri" w:hAnsi="Calibri" w:cs="Times New Roman"/>
                <w:sz w:val="18"/>
                <w:szCs w:val="18"/>
              </w:rPr>
              <w:t>.</w:t>
            </w:r>
          </w:p>
          <w:p w14:paraId="5C63A5DA" w14:textId="77777777" w:rsidR="179F2EC1" w:rsidRPr="004E70CE" w:rsidRDefault="00B243B9" w:rsidP="179F2EC1">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Supply chains are generally not complex, although t</w:t>
            </w:r>
            <w:r w:rsidR="00180EA8" w:rsidRPr="004E70CE">
              <w:rPr>
                <w:rFonts w:ascii="Calibri" w:eastAsia="Calibri" w:hAnsi="Calibri" w:cs="Times New Roman"/>
                <w:sz w:val="18"/>
                <w:szCs w:val="18"/>
              </w:rPr>
              <w:t>raceability may be an issue.</w:t>
            </w:r>
          </w:p>
        </w:tc>
      </w:tr>
      <w:tr w:rsidR="0095608A" w:rsidRPr="004E70CE" w14:paraId="47DA8E09" w14:textId="77777777" w:rsidTr="006205BC">
        <w:trPr>
          <w:trHeight w:val="300"/>
        </w:trPr>
        <w:tc>
          <w:tcPr>
            <w:tcW w:w="1233" w:type="dxa"/>
            <w:tcMar>
              <w:top w:w="28" w:type="dxa"/>
              <w:bottom w:w="28" w:type="dxa"/>
            </w:tcMar>
          </w:tcPr>
          <w:p w14:paraId="7226ABA8" w14:textId="77777777" w:rsidR="0095608A" w:rsidRPr="004E70CE" w:rsidRDefault="0095608A" w:rsidP="0095608A">
            <w:pPr>
              <w:spacing w:after="0" w:line="240" w:lineRule="auto"/>
              <w:rPr>
                <w:rFonts w:ascii="Calibri" w:eastAsia="Calibri" w:hAnsi="Calibri" w:cs="Times New Roman"/>
                <w:sz w:val="18"/>
                <w:szCs w:val="18"/>
              </w:rPr>
            </w:pPr>
            <w:r w:rsidRPr="004E70CE">
              <w:rPr>
                <w:rFonts w:ascii="Calibri" w:eastAsia="Calibri" w:hAnsi="Calibri" w:cs="Times New Roman"/>
                <w:sz w:val="18"/>
                <w:szCs w:val="18"/>
              </w:rPr>
              <w:t>Cement</w:t>
            </w:r>
          </w:p>
        </w:tc>
        <w:tc>
          <w:tcPr>
            <w:tcW w:w="1956" w:type="dxa"/>
            <w:shd w:val="clear" w:color="auto" w:fill="C6EFCE"/>
            <w:tcMar>
              <w:top w:w="28" w:type="dxa"/>
              <w:bottom w:w="28" w:type="dxa"/>
            </w:tcMar>
          </w:tcPr>
          <w:p w14:paraId="50942F50" w14:textId="77777777" w:rsidR="0095608A" w:rsidRPr="004E70CE" w:rsidRDefault="0095608A" w:rsidP="0095608A">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Relatively homogenous.</w:t>
            </w:r>
          </w:p>
        </w:tc>
        <w:tc>
          <w:tcPr>
            <w:tcW w:w="1956" w:type="dxa"/>
            <w:shd w:val="clear" w:color="auto" w:fill="C6EFCE"/>
          </w:tcPr>
          <w:p w14:paraId="5FE7DD76" w14:textId="77777777" w:rsidR="0095608A" w:rsidRPr="004E70CE" w:rsidRDefault="0095608A" w:rsidP="0095608A">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100%</w:t>
            </w:r>
          </w:p>
        </w:tc>
        <w:tc>
          <w:tcPr>
            <w:tcW w:w="1957" w:type="dxa"/>
            <w:shd w:val="clear" w:color="auto" w:fill="C6EFCE"/>
            <w:tcMar>
              <w:top w:w="28" w:type="dxa"/>
              <w:bottom w:w="28" w:type="dxa"/>
            </w:tcMar>
          </w:tcPr>
          <w:p w14:paraId="5D27EA0E" w14:textId="77777777" w:rsidR="0095608A" w:rsidRPr="004E70CE" w:rsidRDefault="0095608A" w:rsidP="0095608A">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None.</w:t>
            </w:r>
          </w:p>
        </w:tc>
        <w:tc>
          <w:tcPr>
            <w:tcW w:w="1957" w:type="dxa"/>
            <w:shd w:val="clear" w:color="auto" w:fill="FFEB9C"/>
            <w:tcMar>
              <w:top w:w="28" w:type="dxa"/>
              <w:bottom w:w="28" w:type="dxa"/>
            </w:tcMar>
          </w:tcPr>
          <w:p w14:paraId="5F4B1465" w14:textId="77777777" w:rsidR="0095608A" w:rsidRPr="004E70CE" w:rsidRDefault="0095608A" w:rsidP="0095608A">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Relatively good emissions data and proxies.</w:t>
            </w:r>
          </w:p>
          <w:p w14:paraId="5E5A4373" w14:textId="77777777" w:rsidR="0095608A" w:rsidRPr="004E70CE" w:rsidRDefault="0095608A" w:rsidP="0095608A">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Supply chains are generally not complex, although traceability may be an issue.</w:t>
            </w:r>
          </w:p>
        </w:tc>
      </w:tr>
      <w:tr w:rsidR="0095608A" w:rsidRPr="004E70CE" w14:paraId="08AF1C13" w14:textId="77777777" w:rsidTr="006205BC">
        <w:trPr>
          <w:trHeight w:val="300"/>
        </w:trPr>
        <w:tc>
          <w:tcPr>
            <w:tcW w:w="1233" w:type="dxa"/>
            <w:tcMar>
              <w:top w:w="28" w:type="dxa"/>
              <w:bottom w:w="28" w:type="dxa"/>
            </w:tcMar>
          </w:tcPr>
          <w:p w14:paraId="2687C165" w14:textId="77777777" w:rsidR="0095608A" w:rsidRPr="004E70CE" w:rsidRDefault="0095608A" w:rsidP="0095608A">
            <w:pPr>
              <w:spacing w:after="0" w:line="240" w:lineRule="auto"/>
              <w:rPr>
                <w:rFonts w:ascii="Calibri" w:eastAsia="Calibri" w:hAnsi="Calibri" w:cs="Times New Roman"/>
                <w:sz w:val="18"/>
                <w:szCs w:val="18"/>
              </w:rPr>
            </w:pPr>
            <w:r w:rsidRPr="004E70CE">
              <w:rPr>
                <w:rFonts w:ascii="Calibri" w:eastAsia="Calibri" w:hAnsi="Calibri" w:cs="Times New Roman"/>
                <w:sz w:val="18"/>
                <w:szCs w:val="18"/>
              </w:rPr>
              <w:t>Lime</w:t>
            </w:r>
          </w:p>
        </w:tc>
        <w:tc>
          <w:tcPr>
            <w:tcW w:w="1956" w:type="dxa"/>
            <w:shd w:val="clear" w:color="auto" w:fill="C6EFCE"/>
            <w:tcMar>
              <w:top w:w="28" w:type="dxa"/>
              <w:bottom w:w="28" w:type="dxa"/>
            </w:tcMar>
          </w:tcPr>
          <w:p w14:paraId="4112F62A" w14:textId="77777777" w:rsidR="0095608A" w:rsidRPr="004E70CE" w:rsidRDefault="0095608A" w:rsidP="0095608A">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Relatively homogenous.</w:t>
            </w:r>
          </w:p>
        </w:tc>
        <w:tc>
          <w:tcPr>
            <w:tcW w:w="1956" w:type="dxa"/>
            <w:shd w:val="clear" w:color="auto" w:fill="FFEB9C"/>
          </w:tcPr>
          <w:p w14:paraId="0F7A8520" w14:textId="77777777" w:rsidR="0095608A" w:rsidRPr="004E70CE" w:rsidRDefault="0095608A" w:rsidP="0095608A">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74%</w:t>
            </w:r>
          </w:p>
        </w:tc>
        <w:tc>
          <w:tcPr>
            <w:tcW w:w="1957" w:type="dxa"/>
            <w:shd w:val="clear" w:color="auto" w:fill="C6EFCE"/>
            <w:tcMar>
              <w:top w:w="28" w:type="dxa"/>
              <w:bottom w:w="28" w:type="dxa"/>
            </w:tcMar>
          </w:tcPr>
          <w:p w14:paraId="6A51C443" w14:textId="77777777" w:rsidR="0095608A" w:rsidRPr="004E70CE" w:rsidRDefault="0095608A" w:rsidP="0095608A">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None.</w:t>
            </w:r>
          </w:p>
        </w:tc>
        <w:tc>
          <w:tcPr>
            <w:tcW w:w="1957" w:type="dxa"/>
            <w:shd w:val="clear" w:color="auto" w:fill="FFEB9C"/>
            <w:tcMar>
              <w:top w:w="28" w:type="dxa"/>
              <w:bottom w:w="28" w:type="dxa"/>
            </w:tcMar>
          </w:tcPr>
          <w:p w14:paraId="5DE31B8D" w14:textId="77777777" w:rsidR="0095608A" w:rsidRPr="004E70CE" w:rsidRDefault="0095608A" w:rsidP="0095608A">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Relatively good emissions data and proxies.</w:t>
            </w:r>
          </w:p>
          <w:p w14:paraId="6CA4C890" w14:textId="77777777" w:rsidR="0095608A" w:rsidRPr="004E70CE" w:rsidRDefault="0095608A" w:rsidP="0095608A">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Supply chains are generally not complex, although traceability may be an issue.</w:t>
            </w:r>
          </w:p>
        </w:tc>
      </w:tr>
      <w:tr w:rsidR="0095608A" w:rsidRPr="004E70CE" w14:paraId="3C812999" w14:textId="77777777" w:rsidTr="006205BC">
        <w:trPr>
          <w:trHeight w:val="300"/>
        </w:trPr>
        <w:tc>
          <w:tcPr>
            <w:tcW w:w="1956" w:type="dxa"/>
            <w:gridSpan w:val="5"/>
            <w:shd w:val="clear" w:color="auto" w:fill="auto"/>
            <w:tcMar>
              <w:top w:w="28" w:type="dxa"/>
              <w:bottom w:w="28" w:type="dxa"/>
            </w:tcMar>
            <w:vAlign w:val="center"/>
          </w:tcPr>
          <w:p w14:paraId="40D4BDC6" w14:textId="77777777" w:rsidR="0095608A" w:rsidRPr="004E70CE" w:rsidRDefault="0095608A" w:rsidP="0095608A">
            <w:pPr>
              <w:spacing w:after="0" w:line="240" w:lineRule="auto"/>
            </w:pPr>
            <w:r w:rsidRPr="004E70CE">
              <w:rPr>
                <w:rFonts w:ascii="Calibri" w:eastAsia="Calibri" w:hAnsi="Calibri" w:cs="Times New Roman"/>
                <w:b/>
                <w:bCs/>
                <w:sz w:val="18"/>
                <w:szCs w:val="18"/>
              </w:rPr>
              <w:t>Potential future candidate for BCA based on carbon leakage risk</w:t>
            </w:r>
          </w:p>
        </w:tc>
      </w:tr>
      <w:tr w:rsidR="0095608A" w:rsidRPr="004E70CE" w14:paraId="07327646" w14:textId="77777777" w:rsidTr="006205BC">
        <w:trPr>
          <w:trHeight w:val="300"/>
        </w:trPr>
        <w:tc>
          <w:tcPr>
            <w:tcW w:w="1233" w:type="dxa"/>
            <w:tcMar>
              <w:top w:w="28" w:type="dxa"/>
              <w:bottom w:w="28" w:type="dxa"/>
            </w:tcMar>
          </w:tcPr>
          <w:p w14:paraId="4225B629" w14:textId="77777777" w:rsidR="0095608A" w:rsidRPr="004E70CE" w:rsidRDefault="0095608A" w:rsidP="0095608A">
            <w:pPr>
              <w:spacing w:after="0" w:line="240" w:lineRule="auto"/>
              <w:rPr>
                <w:rFonts w:ascii="Calibri" w:eastAsia="Calibri" w:hAnsi="Calibri" w:cs="Times New Roman"/>
                <w:sz w:val="18"/>
                <w:szCs w:val="18"/>
              </w:rPr>
            </w:pPr>
            <w:r w:rsidRPr="004E70CE">
              <w:rPr>
                <w:rFonts w:ascii="Calibri" w:eastAsia="Calibri" w:hAnsi="Calibri" w:cs="Times New Roman"/>
                <w:sz w:val="18"/>
                <w:szCs w:val="18"/>
              </w:rPr>
              <w:t>Ammonia and derivatives</w:t>
            </w:r>
          </w:p>
        </w:tc>
        <w:tc>
          <w:tcPr>
            <w:tcW w:w="1956" w:type="dxa"/>
            <w:shd w:val="clear" w:color="auto" w:fill="C6EFCE"/>
            <w:tcMar>
              <w:top w:w="28" w:type="dxa"/>
              <w:bottom w:w="28" w:type="dxa"/>
            </w:tcMar>
          </w:tcPr>
          <w:p w14:paraId="3BCA2C18" w14:textId="77777777" w:rsidR="0095608A" w:rsidRPr="004E70CE" w:rsidRDefault="0095608A" w:rsidP="0095608A">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Relatively homogenous.</w:t>
            </w:r>
          </w:p>
        </w:tc>
        <w:tc>
          <w:tcPr>
            <w:tcW w:w="1956" w:type="dxa"/>
            <w:shd w:val="clear" w:color="auto" w:fill="C6EFCE"/>
          </w:tcPr>
          <w:p w14:paraId="560A6F75" w14:textId="77777777" w:rsidR="0095608A" w:rsidRPr="004E70CE" w:rsidRDefault="0095608A" w:rsidP="0095608A">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100%</w:t>
            </w:r>
          </w:p>
        </w:tc>
        <w:tc>
          <w:tcPr>
            <w:tcW w:w="1957" w:type="dxa"/>
            <w:shd w:val="clear" w:color="auto" w:fill="FFEB9C"/>
            <w:tcMar>
              <w:top w:w="28" w:type="dxa"/>
              <w:bottom w:w="28" w:type="dxa"/>
            </w:tcMar>
          </w:tcPr>
          <w:p w14:paraId="6962B411" w14:textId="77777777" w:rsidR="0095608A" w:rsidRPr="004E70CE" w:rsidRDefault="0095608A" w:rsidP="0095608A">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Possible interactions with government investment programs.</w:t>
            </w:r>
          </w:p>
          <w:p w14:paraId="0AA2E4D8" w14:textId="77777777" w:rsidR="0095608A" w:rsidRPr="004E70CE" w:rsidRDefault="0095608A" w:rsidP="0095608A">
            <w:pPr>
              <w:spacing w:after="0" w:line="240" w:lineRule="auto"/>
              <w:contextualSpacing/>
              <w:rPr>
                <w:rFonts w:ascii="Calibri" w:eastAsia="Calibri" w:hAnsi="Calibri" w:cs="Times New Roman"/>
                <w:sz w:val="18"/>
                <w:szCs w:val="18"/>
              </w:rPr>
            </w:pPr>
          </w:p>
        </w:tc>
        <w:tc>
          <w:tcPr>
            <w:tcW w:w="1957" w:type="dxa"/>
            <w:shd w:val="clear" w:color="auto" w:fill="FFEB9C"/>
            <w:tcMar>
              <w:top w:w="28" w:type="dxa"/>
              <w:bottom w:w="28" w:type="dxa"/>
            </w:tcMar>
          </w:tcPr>
          <w:p w14:paraId="2631DED4" w14:textId="77777777" w:rsidR="0095608A" w:rsidRPr="004E70CE" w:rsidRDefault="0095608A" w:rsidP="0095608A">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International standards and verification schemes being developed</w:t>
            </w:r>
            <w:r w:rsidR="00EA5CA8" w:rsidRPr="004E70CE">
              <w:rPr>
                <w:rFonts w:ascii="Calibri" w:eastAsia="Calibri" w:hAnsi="Calibri" w:cs="Times New Roman"/>
                <w:sz w:val="18"/>
                <w:szCs w:val="18"/>
              </w:rPr>
              <w:t>.</w:t>
            </w:r>
            <w:r w:rsidRPr="004E70CE">
              <w:rPr>
                <w:rFonts w:ascii="Calibri" w:eastAsia="Calibri" w:hAnsi="Calibri" w:cs="Times New Roman"/>
                <w:sz w:val="18"/>
                <w:szCs w:val="18"/>
              </w:rPr>
              <w:t xml:space="preserve"> </w:t>
            </w:r>
          </w:p>
          <w:p w14:paraId="623E32DF" w14:textId="77777777" w:rsidR="0095608A" w:rsidRPr="004E70CE" w:rsidRDefault="0095608A" w:rsidP="0095608A">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 xml:space="preserve">Traceability an issue, but </w:t>
            </w:r>
            <w:r w:rsidR="00671969" w:rsidRPr="004E70CE">
              <w:rPr>
                <w:rFonts w:ascii="Calibri" w:eastAsia="Calibri" w:hAnsi="Calibri" w:cs="Times New Roman"/>
                <w:sz w:val="18"/>
                <w:szCs w:val="18"/>
              </w:rPr>
              <w:t xml:space="preserve">there are </w:t>
            </w:r>
            <w:r w:rsidRPr="004E70CE">
              <w:rPr>
                <w:rFonts w:ascii="Calibri" w:eastAsia="Calibri" w:hAnsi="Calibri" w:cs="Times New Roman"/>
                <w:sz w:val="18"/>
                <w:szCs w:val="18"/>
              </w:rPr>
              <w:t>synergies with GO work.</w:t>
            </w:r>
          </w:p>
        </w:tc>
      </w:tr>
      <w:tr w:rsidR="0095608A" w:rsidRPr="004E70CE" w14:paraId="726DF82F" w14:textId="77777777" w:rsidTr="006205BC">
        <w:trPr>
          <w:trHeight w:val="300"/>
        </w:trPr>
        <w:tc>
          <w:tcPr>
            <w:tcW w:w="1233" w:type="dxa"/>
            <w:tcMar>
              <w:top w:w="28" w:type="dxa"/>
              <w:bottom w:w="28" w:type="dxa"/>
            </w:tcMar>
          </w:tcPr>
          <w:p w14:paraId="35F00611" w14:textId="77777777" w:rsidR="0095608A" w:rsidRPr="004E70CE" w:rsidRDefault="0095608A" w:rsidP="0095608A">
            <w:pPr>
              <w:spacing w:after="0" w:line="240" w:lineRule="auto"/>
              <w:rPr>
                <w:rFonts w:ascii="Calibri" w:eastAsia="Calibri" w:hAnsi="Calibri" w:cs="Times New Roman"/>
                <w:sz w:val="18"/>
                <w:szCs w:val="18"/>
              </w:rPr>
            </w:pPr>
            <w:r w:rsidRPr="004E70CE">
              <w:rPr>
                <w:rFonts w:ascii="Calibri" w:eastAsia="Calibri" w:hAnsi="Calibri" w:cs="Times New Roman"/>
                <w:sz w:val="18"/>
                <w:szCs w:val="18"/>
              </w:rPr>
              <w:t>Steel</w:t>
            </w:r>
          </w:p>
        </w:tc>
        <w:tc>
          <w:tcPr>
            <w:tcW w:w="1956" w:type="dxa"/>
            <w:shd w:val="clear" w:color="auto" w:fill="FFEB9C"/>
            <w:tcMar>
              <w:top w:w="28" w:type="dxa"/>
              <w:bottom w:w="28" w:type="dxa"/>
            </w:tcMar>
          </w:tcPr>
          <w:p w14:paraId="54257B36" w14:textId="77777777" w:rsidR="0095608A" w:rsidRPr="004E70CE" w:rsidRDefault="0095608A" w:rsidP="0095608A">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Primary and secondary production methods that entail different emissions intensities.</w:t>
            </w:r>
          </w:p>
          <w:p w14:paraId="3CF4B9EF" w14:textId="77777777" w:rsidR="0095608A" w:rsidRPr="004E70CE" w:rsidRDefault="0095608A" w:rsidP="0095608A">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Multiple types of steel products.</w:t>
            </w:r>
          </w:p>
        </w:tc>
        <w:tc>
          <w:tcPr>
            <w:tcW w:w="1956" w:type="dxa"/>
            <w:shd w:val="clear" w:color="auto" w:fill="C6EFCE"/>
          </w:tcPr>
          <w:p w14:paraId="138DCE35" w14:textId="77777777" w:rsidR="0095608A" w:rsidRPr="004E70CE" w:rsidRDefault="0095608A" w:rsidP="0095608A">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100%</w:t>
            </w:r>
          </w:p>
        </w:tc>
        <w:tc>
          <w:tcPr>
            <w:tcW w:w="1957" w:type="dxa"/>
            <w:shd w:val="clear" w:color="auto" w:fill="FFEB9C"/>
            <w:tcMar>
              <w:top w:w="28" w:type="dxa"/>
              <w:bottom w:w="28" w:type="dxa"/>
            </w:tcMar>
          </w:tcPr>
          <w:p w14:paraId="422C8C90" w14:textId="77777777" w:rsidR="0095608A" w:rsidRPr="004E70CE" w:rsidRDefault="0095608A" w:rsidP="0095608A">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Potential for downstream leakage risk through a diverse range of products.</w:t>
            </w:r>
          </w:p>
        </w:tc>
        <w:tc>
          <w:tcPr>
            <w:tcW w:w="1957" w:type="dxa"/>
            <w:shd w:val="clear" w:color="auto" w:fill="FFEB9C"/>
            <w:tcMar>
              <w:top w:w="28" w:type="dxa"/>
              <w:bottom w:w="28" w:type="dxa"/>
            </w:tcMar>
          </w:tcPr>
          <w:p w14:paraId="42194AD3" w14:textId="77777777" w:rsidR="0095608A" w:rsidRPr="004E70CE" w:rsidRDefault="0095608A" w:rsidP="0095608A">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International standards being developed.</w:t>
            </w:r>
          </w:p>
          <w:p w14:paraId="5F586AAD" w14:textId="77777777" w:rsidR="0095608A" w:rsidRPr="004E70CE" w:rsidRDefault="0095608A" w:rsidP="0095608A">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Traceability an issue, possibly exacerbated by complexity of supply chains.</w:t>
            </w:r>
          </w:p>
          <w:p w14:paraId="5E014982" w14:textId="77777777" w:rsidR="0095608A" w:rsidRPr="004E70CE" w:rsidRDefault="0095608A" w:rsidP="0095608A">
            <w:pPr>
              <w:spacing w:after="0" w:line="240" w:lineRule="auto"/>
              <w:contextualSpacing/>
              <w:rPr>
                <w:rFonts w:ascii="Calibri" w:eastAsia="Calibri" w:hAnsi="Calibri" w:cs="Times New Roman"/>
                <w:sz w:val="18"/>
                <w:szCs w:val="18"/>
              </w:rPr>
            </w:pPr>
          </w:p>
        </w:tc>
      </w:tr>
      <w:tr w:rsidR="0095608A" w:rsidRPr="004E70CE" w14:paraId="4D490276" w14:textId="77777777" w:rsidTr="006205BC">
        <w:trPr>
          <w:trHeight w:val="728"/>
        </w:trPr>
        <w:tc>
          <w:tcPr>
            <w:tcW w:w="1233" w:type="dxa"/>
            <w:vMerge w:val="restart"/>
            <w:tcMar>
              <w:top w:w="28" w:type="dxa"/>
              <w:bottom w:w="28" w:type="dxa"/>
            </w:tcMar>
          </w:tcPr>
          <w:p w14:paraId="7FD71BDB" w14:textId="77777777" w:rsidR="0095608A" w:rsidRPr="004E70CE" w:rsidRDefault="0095608A" w:rsidP="0095608A">
            <w:pPr>
              <w:spacing w:after="0" w:line="240" w:lineRule="auto"/>
              <w:rPr>
                <w:rFonts w:ascii="Calibri" w:eastAsia="Calibri" w:hAnsi="Calibri" w:cs="Times New Roman"/>
                <w:sz w:val="18"/>
                <w:szCs w:val="18"/>
              </w:rPr>
            </w:pPr>
            <w:r w:rsidRPr="004E70CE">
              <w:rPr>
                <w:rFonts w:ascii="Calibri" w:eastAsia="Calibri" w:hAnsi="Calibri" w:cs="Times New Roman"/>
                <w:sz w:val="18"/>
                <w:szCs w:val="18"/>
              </w:rPr>
              <w:t>Glass</w:t>
            </w:r>
          </w:p>
        </w:tc>
        <w:tc>
          <w:tcPr>
            <w:tcW w:w="1956" w:type="dxa"/>
            <w:vMerge w:val="restart"/>
            <w:shd w:val="clear" w:color="auto" w:fill="FFEB9C"/>
            <w:tcMar>
              <w:top w:w="28" w:type="dxa"/>
              <w:bottom w:w="28" w:type="dxa"/>
            </w:tcMar>
          </w:tcPr>
          <w:p w14:paraId="7A549944" w14:textId="77777777" w:rsidR="0095608A" w:rsidRPr="004E70CE" w:rsidRDefault="0095608A" w:rsidP="0095608A">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Some complexity in product differentiation, although relatively homogenous production processes.</w:t>
            </w:r>
          </w:p>
        </w:tc>
        <w:tc>
          <w:tcPr>
            <w:tcW w:w="1956" w:type="dxa"/>
            <w:shd w:val="clear" w:color="auto" w:fill="C6EFCE"/>
          </w:tcPr>
          <w:p w14:paraId="1A88B786" w14:textId="77777777" w:rsidR="0095608A" w:rsidRPr="004E70CE" w:rsidRDefault="0095608A" w:rsidP="0095608A">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 xml:space="preserve">100% flat </w:t>
            </w:r>
          </w:p>
        </w:tc>
        <w:tc>
          <w:tcPr>
            <w:tcW w:w="1957" w:type="dxa"/>
            <w:vMerge w:val="restart"/>
            <w:shd w:val="clear" w:color="auto" w:fill="FFEB9C"/>
            <w:tcMar>
              <w:top w:w="28" w:type="dxa"/>
              <w:bottom w:w="28" w:type="dxa"/>
            </w:tcMar>
          </w:tcPr>
          <w:p w14:paraId="09F53FDD" w14:textId="77777777" w:rsidR="0095608A" w:rsidRPr="004E70CE" w:rsidRDefault="0095608A" w:rsidP="0095608A">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Relatively small volume of production may make alternative policy interventions more proportionate.</w:t>
            </w:r>
          </w:p>
          <w:p w14:paraId="209FACE5" w14:textId="77777777" w:rsidR="0095608A" w:rsidRPr="004E70CE" w:rsidRDefault="0095608A" w:rsidP="0095608A">
            <w:pPr>
              <w:spacing w:after="0" w:line="240" w:lineRule="auto"/>
              <w:contextualSpacing/>
              <w:rPr>
                <w:rFonts w:ascii="Calibri" w:eastAsia="Calibri" w:hAnsi="Calibri" w:cs="Times New Roman"/>
                <w:sz w:val="18"/>
                <w:szCs w:val="18"/>
              </w:rPr>
            </w:pPr>
          </w:p>
        </w:tc>
        <w:tc>
          <w:tcPr>
            <w:tcW w:w="1957" w:type="dxa"/>
            <w:vMerge w:val="restart"/>
            <w:shd w:val="clear" w:color="auto" w:fill="FFEB9C"/>
            <w:tcMar>
              <w:top w:w="28" w:type="dxa"/>
              <w:bottom w:w="28" w:type="dxa"/>
            </w:tcMar>
          </w:tcPr>
          <w:p w14:paraId="28B89C18" w14:textId="77777777" w:rsidR="0095608A" w:rsidRPr="004E70CE" w:rsidRDefault="00705A15" w:rsidP="0095608A">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 xml:space="preserve">Limited </w:t>
            </w:r>
            <w:r w:rsidR="0095608A" w:rsidRPr="004E70CE">
              <w:rPr>
                <w:rFonts w:ascii="Calibri" w:eastAsia="Calibri" w:hAnsi="Calibri" w:cs="Times New Roman"/>
                <w:sz w:val="18"/>
                <w:szCs w:val="18"/>
              </w:rPr>
              <w:t xml:space="preserve">work towards international standards. </w:t>
            </w:r>
          </w:p>
        </w:tc>
      </w:tr>
      <w:tr w:rsidR="00D70C50" w:rsidRPr="004E70CE" w14:paraId="29B0BA5E" w14:textId="77777777" w:rsidTr="006205BC">
        <w:trPr>
          <w:trHeight w:val="473"/>
        </w:trPr>
        <w:tc>
          <w:tcPr>
            <w:tcW w:w="1233" w:type="dxa"/>
            <w:vMerge/>
            <w:tcMar>
              <w:top w:w="28" w:type="dxa"/>
              <w:bottom w:w="28" w:type="dxa"/>
            </w:tcMar>
          </w:tcPr>
          <w:p w14:paraId="04F0361F" w14:textId="77777777" w:rsidR="00D70C50" w:rsidRPr="004E70CE" w:rsidRDefault="00D70C50" w:rsidP="00D70C50">
            <w:pPr>
              <w:spacing w:after="0" w:line="240" w:lineRule="auto"/>
              <w:rPr>
                <w:rFonts w:ascii="Calibri" w:eastAsia="Calibri" w:hAnsi="Calibri" w:cs="Times New Roman"/>
                <w:sz w:val="18"/>
                <w:szCs w:val="18"/>
              </w:rPr>
            </w:pPr>
          </w:p>
        </w:tc>
        <w:tc>
          <w:tcPr>
            <w:tcW w:w="1956" w:type="dxa"/>
            <w:vMerge/>
            <w:shd w:val="clear" w:color="auto" w:fill="FFEB9C"/>
            <w:tcMar>
              <w:top w:w="28" w:type="dxa"/>
              <w:bottom w:w="28" w:type="dxa"/>
            </w:tcMar>
          </w:tcPr>
          <w:p w14:paraId="0E590128" w14:textId="77777777" w:rsidR="00D70C50" w:rsidRPr="004E70CE" w:rsidRDefault="00D70C50" w:rsidP="00D70C50">
            <w:pPr>
              <w:spacing w:after="0" w:line="240" w:lineRule="auto"/>
              <w:contextualSpacing/>
              <w:rPr>
                <w:rFonts w:ascii="Calibri" w:eastAsia="Calibri" w:hAnsi="Calibri" w:cs="Times New Roman"/>
                <w:sz w:val="18"/>
                <w:szCs w:val="18"/>
              </w:rPr>
            </w:pPr>
          </w:p>
        </w:tc>
        <w:tc>
          <w:tcPr>
            <w:tcW w:w="1956" w:type="dxa"/>
            <w:shd w:val="clear" w:color="auto" w:fill="FFEB9C"/>
          </w:tcPr>
          <w:p w14:paraId="078E105C" w14:textId="6F60B8A2" w:rsidR="00D70C50" w:rsidRPr="004E70CE" w:rsidRDefault="00A91A64" w:rsidP="00D70C50">
            <w:pPr>
              <w:spacing w:after="0" w:line="240" w:lineRule="auto"/>
              <w:contextualSpacing/>
              <w:rPr>
                <w:rFonts w:ascii="Calibri" w:eastAsia="Calibri" w:hAnsi="Calibri" w:cs="Times New Roman"/>
                <w:sz w:val="18"/>
                <w:szCs w:val="18"/>
              </w:rPr>
            </w:pPr>
            <w:r w:rsidRPr="004E70CE">
              <w:rPr>
                <w:rFonts w:ascii="Calibri" w:eastAsia="Calibri" w:hAnsi="Calibri" w:cs="Times New Roman"/>
                <w:sz w:val="18"/>
                <w:szCs w:val="18"/>
              </w:rPr>
              <w:t>4</w:t>
            </w:r>
            <w:r w:rsidR="00D70C50" w:rsidRPr="004E70CE">
              <w:rPr>
                <w:rFonts w:ascii="Calibri" w:eastAsia="Calibri" w:hAnsi="Calibri" w:cs="Times New Roman"/>
                <w:sz w:val="18"/>
                <w:szCs w:val="18"/>
              </w:rPr>
              <w:t>4%</w:t>
            </w:r>
            <w:r w:rsidR="003D4000" w:rsidRPr="004E70CE">
              <w:rPr>
                <w:rFonts w:ascii="Calibri" w:eastAsia="Calibri" w:hAnsi="Calibri" w:cs="Times New Roman"/>
                <w:sz w:val="18"/>
                <w:szCs w:val="18"/>
              </w:rPr>
              <w:t xml:space="preserve"> container</w:t>
            </w:r>
          </w:p>
        </w:tc>
        <w:tc>
          <w:tcPr>
            <w:tcW w:w="1957" w:type="dxa"/>
            <w:vMerge/>
            <w:shd w:val="clear" w:color="auto" w:fill="FFEB9C"/>
            <w:tcMar>
              <w:top w:w="28" w:type="dxa"/>
              <w:bottom w:w="28" w:type="dxa"/>
            </w:tcMar>
          </w:tcPr>
          <w:p w14:paraId="70164F11" w14:textId="77777777" w:rsidR="00D70C50" w:rsidRPr="004E70CE" w:rsidDel="667A3B52" w:rsidRDefault="00D70C50" w:rsidP="00D70C50">
            <w:pPr>
              <w:spacing w:after="0" w:line="240" w:lineRule="auto"/>
              <w:contextualSpacing/>
              <w:rPr>
                <w:rFonts w:ascii="Calibri" w:eastAsia="Calibri" w:hAnsi="Calibri" w:cs="Times New Roman"/>
                <w:sz w:val="18"/>
                <w:szCs w:val="18"/>
              </w:rPr>
            </w:pPr>
          </w:p>
        </w:tc>
        <w:tc>
          <w:tcPr>
            <w:tcW w:w="1957" w:type="dxa"/>
            <w:vMerge/>
            <w:shd w:val="clear" w:color="auto" w:fill="FFEB9C"/>
            <w:tcMar>
              <w:top w:w="28" w:type="dxa"/>
              <w:bottom w:w="28" w:type="dxa"/>
            </w:tcMar>
          </w:tcPr>
          <w:p w14:paraId="22E4417A" w14:textId="77777777" w:rsidR="00D70C50" w:rsidRPr="004E70CE" w:rsidRDefault="00D70C50" w:rsidP="00D70C50">
            <w:pPr>
              <w:spacing w:after="0" w:line="240" w:lineRule="auto"/>
              <w:contextualSpacing/>
              <w:rPr>
                <w:rFonts w:ascii="Calibri" w:eastAsia="Calibri" w:hAnsi="Calibri" w:cs="Times New Roman"/>
                <w:sz w:val="18"/>
                <w:szCs w:val="18"/>
              </w:rPr>
            </w:pPr>
          </w:p>
        </w:tc>
      </w:tr>
    </w:tbl>
    <w:p w14:paraId="7BEA61D7" w14:textId="77777777" w:rsidR="00C20296" w:rsidRPr="004E70CE" w:rsidRDefault="00C20296" w:rsidP="00C20296">
      <w:pPr>
        <w:rPr>
          <w:b/>
          <w:bCs/>
        </w:rPr>
      </w:pPr>
    </w:p>
    <w:p w14:paraId="69B87010" w14:textId="77777777" w:rsidR="004D4EE0" w:rsidRPr="004E70CE" w:rsidRDefault="004D4EE0" w:rsidP="00C20296">
      <w:pPr>
        <w:rPr>
          <w:b/>
          <w:bCs/>
        </w:rPr>
      </w:pPr>
      <w:r w:rsidRPr="004E70CE">
        <w:rPr>
          <w:b/>
          <w:bCs/>
        </w:rPr>
        <w:t>3.4.</w:t>
      </w:r>
      <w:r w:rsidR="00135EF1" w:rsidRPr="004E70CE">
        <w:rPr>
          <w:b/>
          <w:bCs/>
        </w:rPr>
        <w:t>2</w:t>
      </w:r>
      <w:r w:rsidRPr="004E70CE">
        <w:rPr>
          <w:b/>
          <w:bCs/>
        </w:rPr>
        <w:t xml:space="preserve"> Safeguard Mechanism thresholds</w:t>
      </w:r>
    </w:p>
    <w:p w14:paraId="63AFF27F" w14:textId="77777777" w:rsidR="004D4EE0" w:rsidRPr="004E70CE" w:rsidRDefault="004D4EE0" w:rsidP="00C20296">
      <w:r w:rsidRPr="004E70CE">
        <w:t xml:space="preserve">The Safeguard Mechanism applies to facilities that emit more than 100,000 tonnes </w:t>
      </w:r>
      <w:r w:rsidR="00EE3762" w:rsidRPr="004E70CE">
        <w:t>CO</w:t>
      </w:r>
      <w:r w:rsidR="00EE3762" w:rsidRPr="004E70CE">
        <w:rPr>
          <w:vertAlign w:val="subscript"/>
        </w:rPr>
        <w:t>2</w:t>
      </w:r>
      <w:r w:rsidR="00EE3762" w:rsidRPr="004E70CE">
        <w:t>-e</w:t>
      </w:r>
      <w:r w:rsidRPr="004E70CE">
        <w:t xml:space="preserve"> in a year. </w:t>
      </w:r>
    </w:p>
    <w:p w14:paraId="6FF6E66C" w14:textId="77777777" w:rsidR="004D4EE0" w:rsidRPr="004E70CE" w:rsidRDefault="004D4EE0" w:rsidP="00C20296">
      <w:r w:rsidRPr="004E70CE">
        <w:t xml:space="preserve">To align with the international trade law principle of non-discrimination between domestic products and imports, the Safeguard Mechanism’s coverage of domestic production needs to be carefully considered when assessing what imports could be covered by a border carbon adjustment.  </w:t>
      </w:r>
      <w:r w:rsidRPr="004E70CE">
        <w:lastRenderedPageBreak/>
        <w:t>Particular consideration would be needed for commodities where the Safeguard Mechanism coverage does not cover all domestic production, such as glass</w:t>
      </w:r>
      <w:r w:rsidR="006509CF" w:rsidRPr="004E70CE">
        <w:t xml:space="preserve"> and lime</w:t>
      </w:r>
      <w:r w:rsidRPr="004E70CE">
        <w:t xml:space="preserve">. </w:t>
      </w:r>
    </w:p>
    <w:p w14:paraId="6DF2B9D6" w14:textId="77777777" w:rsidR="004D4EE0" w:rsidRPr="004E70CE" w:rsidRDefault="004D4EE0" w:rsidP="00C20296">
      <w:r w:rsidRPr="004E70CE">
        <w:t xml:space="preserve">The </w:t>
      </w:r>
      <w:r w:rsidR="00C063A6" w:rsidRPr="004E70CE">
        <w:t>R</w:t>
      </w:r>
      <w:r w:rsidRPr="004E70CE">
        <w:t xml:space="preserve">eview’s calculation of domestic production coverage for import-exposed commodities is set out in Table </w:t>
      </w:r>
      <w:r w:rsidR="00385D27" w:rsidRPr="004E70CE">
        <w:t>2</w:t>
      </w:r>
      <w:r w:rsidRPr="004E70CE">
        <w:t>.</w:t>
      </w:r>
    </w:p>
    <w:p w14:paraId="13D049A5" w14:textId="77777777" w:rsidR="004D4EE0" w:rsidRPr="004E70CE" w:rsidRDefault="004D4EE0" w:rsidP="00C20296">
      <w:r w:rsidRPr="004E70CE">
        <w:t>One design option for these commodities would be to consider</w:t>
      </w:r>
      <w:r w:rsidRPr="004E70CE" w:rsidDel="008516F0">
        <w:t xml:space="preserve"> </w:t>
      </w:r>
      <w:r w:rsidRPr="004E70CE">
        <w:t xml:space="preserve">reducing the Safeguard Mechanism threshold for domestic coverage from the existing </w:t>
      </w:r>
      <w:r w:rsidR="00EE3762" w:rsidRPr="004E70CE">
        <w:t xml:space="preserve">annual </w:t>
      </w:r>
      <w:r w:rsidRPr="004E70CE">
        <w:t>threshold of scope 1 emissions of 100,000 tonnes CO</w:t>
      </w:r>
      <w:r w:rsidRPr="004E70CE">
        <w:rPr>
          <w:vertAlign w:val="subscript"/>
        </w:rPr>
        <w:t>2</w:t>
      </w:r>
      <w:r w:rsidRPr="004E70CE">
        <w:t xml:space="preserve">-e to a level that covers all production for commodities with a border carbon adjustment. There would be separate implications of any reduction in the Safeguard Mechanism threshold which would need to be carefully considered. </w:t>
      </w:r>
    </w:p>
    <w:p w14:paraId="38A5FF02" w14:textId="77777777" w:rsidR="004D4EE0" w:rsidRPr="004E70CE" w:rsidRDefault="004D4EE0" w:rsidP="00C20296">
      <w:r w:rsidRPr="004E70CE">
        <w:t>Another design option would be to require importers to certify that imported products had come from a facility emitting more than 100,000 tonnes CO</w:t>
      </w:r>
      <w:r w:rsidRPr="004E70CE">
        <w:rPr>
          <w:vertAlign w:val="subscript"/>
        </w:rPr>
        <w:t>2</w:t>
      </w:r>
      <w:r w:rsidRPr="004E70CE">
        <w:t xml:space="preserve">-e a year. There are challenges with implementing such a requirement, such as independent verification in location, international trade law considerations, and the risk that it would cause resource shuffling and changes to business arrangements solely for the purpose of meeting these requirements, without associated emissions reductions. </w:t>
      </w:r>
    </w:p>
    <w:p w14:paraId="5334AED1" w14:textId="77777777" w:rsidR="00C04386" w:rsidRPr="004E70CE" w:rsidRDefault="00E23C82" w:rsidP="00C20296">
      <w:pPr>
        <w:pStyle w:val="Heading3"/>
        <w:spacing w:line="276" w:lineRule="auto"/>
        <w:rPr>
          <w:sz w:val="32"/>
          <w:szCs w:val="20"/>
        </w:rPr>
      </w:pPr>
      <w:bookmarkStart w:id="25" w:name="_Toc173997667"/>
      <w:r w:rsidRPr="004E70CE">
        <w:rPr>
          <w:sz w:val="32"/>
          <w:szCs w:val="32"/>
        </w:rPr>
        <w:t>De</w:t>
      </w:r>
      <w:r w:rsidR="00524F0F" w:rsidRPr="004E70CE">
        <w:rPr>
          <w:sz w:val="32"/>
          <w:szCs w:val="32"/>
        </w:rPr>
        <w:t>sign</w:t>
      </w:r>
      <w:bookmarkStart w:id="26" w:name="_Toc163721444"/>
      <w:r w:rsidR="00C04386" w:rsidRPr="004E70CE">
        <w:rPr>
          <w:sz w:val="32"/>
          <w:szCs w:val="32"/>
        </w:rPr>
        <w:t xml:space="preserve"> considerations</w:t>
      </w:r>
      <w:bookmarkEnd w:id="25"/>
      <w:bookmarkEnd w:id="26"/>
    </w:p>
    <w:p w14:paraId="27235F85" w14:textId="77777777" w:rsidR="009C3304" w:rsidRPr="004E70CE" w:rsidRDefault="009C3304" w:rsidP="00C20296">
      <w:pPr>
        <w:pStyle w:val="Calloutbox"/>
        <w:spacing w:after="200" w:line="276" w:lineRule="auto"/>
        <w:rPr>
          <w:b/>
          <w:bCs/>
        </w:rPr>
      </w:pPr>
      <w:r w:rsidRPr="004E70CE">
        <w:rPr>
          <w:b/>
          <w:bCs/>
        </w:rPr>
        <w:t>Preliminary findings</w:t>
      </w:r>
      <w:r w:rsidR="00C41B5C" w:rsidRPr="004E70CE">
        <w:rPr>
          <w:b/>
          <w:bCs/>
        </w:rPr>
        <w:t xml:space="preserve"> for consultation</w:t>
      </w:r>
    </w:p>
    <w:p w14:paraId="08C59B0C" w14:textId="50962714" w:rsidR="00735CB2" w:rsidRPr="004E70CE" w:rsidRDefault="00241F5B" w:rsidP="00735CB2">
      <w:pPr>
        <w:pStyle w:val="Calloutbox"/>
        <w:spacing w:after="200" w:line="276" w:lineRule="auto"/>
        <w:rPr>
          <w:rFonts w:ascii="Calibri" w:eastAsia="Calibri" w:hAnsi="Calibri" w:cs="Calibri"/>
        </w:rPr>
      </w:pPr>
      <w:r w:rsidRPr="004E70CE">
        <w:rPr>
          <w:rFonts w:ascii="Calibri" w:eastAsia="Calibri" w:hAnsi="Calibri" w:cs="Calibri"/>
        </w:rPr>
        <w:t xml:space="preserve">A </w:t>
      </w:r>
      <w:r w:rsidR="00735CB2" w:rsidRPr="004E70CE">
        <w:rPr>
          <w:rFonts w:ascii="Calibri" w:eastAsia="Calibri" w:hAnsi="Calibri" w:cs="Calibri"/>
        </w:rPr>
        <w:t xml:space="preserve">border carbon adjustment would need to mirror key provisions </w:t>
      </w:r>
      <w:r w:rsidRPr="004E70CE">
        <w:rPr>
          <w:rFonts w:ascii="Calibri" w:eastAsia="Calibri" w:hAnsi="Calibri" w:cs="Calibri"/>
        </w:rPr>
        <w:t xml:space="preserve">of </w:t>
      </w:r>
      <w:r w:rsidR="00735CB2" w:rsidRPr="004E70CE">
        <w:rPr>
          <w:rFonts w:ascii="Calibri" w:eastAsia="Calibri" w:hAnsi="Calibri" w:cs="Calibri"/>
        </w:rPr>
        <w:t>the Safeguard Mechanism.</w:t>
      </w:r>
      <w:r w:rsidR="00F46885">
        <w:rPr>
          <w:rFonts w:ascii="Calibri" w:eastAsia="Calibri" w:hAnsi="Calibri" w:cs="Calibri"/>
        </w:rPr>
        <w:t xml:space="preserve"> </w:t>
      </w:r>
      <w:r w:rsidR="00735CB2" w:rsidRPr="004E70CE">
        <w:rPr>
          <w:rFonts w:ascii="Calibri" w:eastAsia="Calibri" w:hAnsi="Calibri" w:cs="Calibri"/>
        </w:rPr>
        <w:t xml:space="preserve">Should a border carbon adjustment be pursued, a border carbon liability could be applied to emissions in exceedance of the Safeguard Mechanism baselines and to the extent that the </w:t>
      </w:r>
      <w:r w:rsidR="00735CB2" w:rsidRPr="004E70CE" w:rsidDel="008E19F1">
        <w:rPr>
          <w:rFonts w:ascii="Calibri" w:eastAsia="Calibri" w:hAnsi="Calibri" w:cs="Calibri"/>
        </w:rPr>
        <w:t xml:space="preserve">assessed effective </w:t>
      </w:r>
      <w:r w:rsidR="00735CB2" w:rsidRPr="004E70CE">
        <w:rPr>
          <w:rFonts w:ascii="Calibri" w:eastAsia="Calibri" w:hAnsi="Calibri" w:cs="Calibri"/>
        </w:rPr>
        <w:t xml:space="preserve">carbon </w:t>
      </w:r>
      <w:r w:rsidR="00735CB2" w:rsidRPr="004E70CE" w:rsidDel="00F4324F">
        <w:rPr>
          <w:rFonts w:ascii="Calibri" w:eastAsia="Calibri" w:hAnsi="Calibri" w:cs="Calibri"/>
        </w:rPr>
        <w:t xml:space="preserve">price </w:t>
      </w:r>
      <w:r w:rsidR="00735CB2" w:rsidRPr="004E70CE">
        <w:rPr>
          <w:rFonts w:ascii="Calibri" w:eastAsia="Calibri" w:hAnsi="Calibri" w:cs="Calibri"/>
        </w:rPr>
        <w:t xml:space="preserve">paid in the originating country is lower than in Australia. This assessment would be based on explicit emissions prices only. </w:t>
      </w:r>
    </w:p>
    <w:p w14:paraId="1FD9DE59" w14:textId="6B99E833" w:rsidR="00735CB2" w:rsidRPr="004E70CE" w:rsidRDefault="00735CB2" w:rsidP="00735CB2">
      <w:pPr>
        <w:pStyle w:val="Calloutbox"/>
        <w:spacing w:after="200" w:line="276" w:lineRule="auto"/>
        <w:rPr>
          <w:rFonts w:ascii="Calibri" w:eastAsia="Calibri" w:hAnsi="Calibri" w:cs="Calibri"/>
        </w:rPr>
      </w:pPr>
      <w:r w:rsidRPr="004E70CE">
        <w:rPr>
          <w:rFonts w:ascii="Calibri" w:eastAsia="Calibri" w:hAnsi="Calibri" w:cs="Calibri"/>
        </w:rPr>
        <w:t>The basis for emissions assessment should be the same as the Safeguard Mechanism, covering only scope 1 emissions and all relevant greenhouse gases.</w:t>
      </w:r>
    </w:p>
    <w:p w14:paraId="0433BEA6" w14:textId="77777777" w:rsidR="001C0AA9" w:rsidRPr="004E70CE" w:rsidRDefault="001C0AA9" w:rsidP="00C20296">
      <w:pPr>
        <w:pStyle w:val="Calloutbox"/>
        <w:spacing w:after="200" w:line="276" w:lineRule="auto"/>
      </w:pPr>
      <w:r w:rsidRPr="004E70CE">
        <w:t xml:space="preserve">Further consideration </w:t>
      </w:r>
      <w:r w:rsidR="00CA7CE8" w:rsidRPr="004E70CE">
        <w:t xml:space="preserve">would </w:t>
      </w:r>
      <w:r w:rsidRPr="004E70CE">
        <w:t>be needed before a border carbon adjustment is applied to a commodity with less than 100% Safeguard Mechanism coverage of domestic production.</w:t>
      </w:r>
    </w:p>
    <w:p w14:paraId="50259044" w14:textId="0A6DE757" w:rsidR="007B11A2" w:rsidRPr="004E70CE" w:rsidRDefault="007B11A2" w:rsidP="007B11A2">
      <w:pPr>
        <w:pStyle w:val="Calloutbox"/>
        <w:spacing w:after="200" w:line="276" w:lineRule="auto"/>
        <w:rPr>
          <w:rFonts w:ascii="Calibri" w:eastAsia="Calibri" w:hAnsi="Calibri" w:cs="Calibri"/>
        </w:rPr>
      </w:pPr>
      <w:r w:rsidRPr="004E70CE">
        <w:rPr>
          <w:rFonts w:ascii="Calibri" w:eastAsia="Calibri" w:hAnsi="Calibri" w:cs="Calibri"/>
        </w:rPr>
        <w:t xml:space="preserve">A border carbon adjustment for a particular </w:t>
      </w:r>
      <w:r w:rsidRPr="004E70CE" w:rsidDel="009E48D6">
        <w:rPr>
          <w:rFonts w:ascii="Calibri" w:eastAsia="Calibri" w:hAnsi="Calibri" w:cs="Calibri"/>
        </w:rPr>
        <w:t xml:space="preserve">sector </w:t>
      </w:r>
      <w:r w:rsidRPr="004E70CE">
        <w:rPr>
          <w:rFonts w:ascii="Calibri" w:eastAsia="Calibri" w:hAnsi="Calibri" w:cs="Calibri"/>
        </w:rPr>
        <w:t xml:space="preserve">would remove the policy basis for TEBA provisions for </w:t>
      </w:r>
      <w:r w:rsidRPr="004E70CE" w:rsidDel="002F0373">
        <w:rPr>
          <w:rFonts w:ascii="Calibri" w:eastAsia="Calibri" w:hAnsi="Calibri" w:cs="Calibri"/>
        </w:rPr>
        <w:t xml:space="preserve">that </w:t>
      </w:r>
      <w:r w:rsidRPr="004E70CE">
        <w:rPr>
          <w:rFonts w:ascii="Calibri" w:eastAsia="Calibri" w:hAnsi="Calibri" w:cs="Calibri"/>
        </w:rPr>
        <w:t>sector.</w:t>
      </w:r>
    </w:p>
    <w:p w14:paraId="4C1C4FC1" w14:textId="1120773A" w:rsidR="007B11A2" w:rsidRPr="004E70CE" w:rsidRDefault="00BD6547" w:rsidP="007B11A2">
      <w:pPr>
        <w:pStyle w:val="Calloutbox"/>
        <w:spacing w:after="200" w:line="276" w:lineRule="auto"/>
        <w:rPr>
          <w:rFonts w:ascii="Calibri" w:eastAsia="Calibri" w:hAnsi="Calibri" w:cs="Calibri"/>
          <w:color w:val="000000" w:themeColor="text1"/>
        </w:rPr>
      </w:pPr>
      <w:r>
        <w:rPr>
          <w:rFonts w:ascii="Calibri" w:eastAsia="Calibri" w:hAnsi="Calibri" w:cs="Calibri"/>
          <w:color w:val="000000" w:themeColor="text1"/>
        </w:rPr>
        <w:t>A b</w:t>
      </w:r>
      <w:r w:rsidR="007B11A2" w:rsidRPr="004E70CE">
        <w:rPr>
          <w:rFonts w:ascii="Calibri" w:eastAsia="Calibri" w:hAnsi="Calibri" w:cs="Calibri"/>
          <w:color w:val="000000" w:themeColor="text1"/>
        </w:rPr>
        <w:t>order carbon adjustment may generate revenue. Stakeholders have suggested that in addition to offsetting the costs of implementation of the policy, funds could also be provided to programs to support implementation and industrial decarbonisation objectives in trade partner developing countries.</w:t>
      </w:r>
    </w:p>
    <w:p w14:paraId="752C6ACA" w14:textId="77777777" w:rsidR="00F1495E" w:rsidRPr="004E70CE" w:rsidRDefault="00CA7CE8" w:rsidP="00C20296">
      <w:pPr>
        <w:pStyle w:val="Calloutbox"/>
        <w:spacing w:after="200" w:line="276" w:lineRule="auto"/>
      </w:pPr>
      <w:r w:rsidRPr="004E70CE">
        <w:rPr>
          <w:lang w:eastAsia="ja-JP"/>
        </w:rPr>
        <w:t>Should the government decide to pursue a border carbon adjustment, d</w:t>
      </w:r>
      <w:r w:rsidR="00F1495E" w:rsidRPr="004E70CE">
        <w:rPr>
          <w:lang w:eastAsia="ja-JP"/>
        </w:rPr>
        <w:t>etailed design and implementation would need to be considered and consulted on.</w:t>
      </w:r>
      <w:r w:rsidR="00F1495E" w:rsidRPr="004E70CE">
        <w:rPr>
          <w:rStyle w:val="normaltextrun"/>
          <w:rFonts w:ascii="Calibri" w:hAnsi="Calibri" w:cs="Calibri"/>
          <w:color w:val="000000"/>
          <w:shd w:val="clear" w:color="auto" w:fill="B8DCD7"/>
        </w:rPr>
        <w:t xml:space="preserve"> Consultation would need to encompass both domestic stakeholders </w:t>
      </w:r>
      <w:r w:rsidR="005E46CF" w:rsidRPr="004E70CE">
        <w:rPr>
          <w:rStyle w:val="normaltextrun"/>
          <w:rFonts w:ascii="Calibri" w:hAnsi="Calibri" w:cs="Calibri"/>
          <w:color w:val="000000"/>
          <w:shd w:val="clear" w:color="auto" w:fill="B8DCD7"/>
        </w:rPr>
        <w:t>and</w:t>
      </w:r>
      <w:r w:rsidR="00F1495E" w:rsidRPr="004E70CE">
        <w:rPr>
          <w:rStyle w:val="normaltextrun"/>
          <w:rFonts w:ascii="Calibri" w:hAnsi="Calibri" w:cs="Calibri"/>
          <w:color w:val="000000"/>
          <w:shd w:val="clear" w:color="auto" w:fill="B8DCD7"/>
        </w:rPr>
        <w:t xml:space="preserve"> trading partner countries.</w:t>
      </w:r>
    </w:p>
    <w:p w14:paraId="4409B2C1" w14:textId="77777777" w:rsidR="00661CF9" w:rsidRPr="004E70CE" w:rsidRDefault="143F8173" w:rsidP="00C20296">
      <w:pPr>
        <w:rPr>
          <w:rFonts w:ascii="CIDFont+F4" w:hAnsi="CIDFont+F4" w:cs="CIDFont+F4"/>
        </w:rPr>
      </w:pPr>
      <w:r w:rsidRPr="004E70CE">
        <w:rPr>
          <w:rFonts w:ascii="CIDFont+F4" w:hAnsi="CIDFont+F4" w:cs="CIDFont+F4"/>
        </w:rPr>
        <w:lastRenderedPageBreak/>
        <w:t xml:space="preserve">The key principle of a border carbon adjustment is to </w:t>
      </w:r>
      <w:r w:rsidR="413140B9" w:rsidRPr="004E70CE">
        <w:rPr>
          <w:rFonts w:ascii="CIDFont+F4" w:hAnsi="CIDFont+F4" w:cs="CIDFont+F4"/>
        </w:rPr>
        <w:t xml:space="preserve">mirror </w:t>
      </w:r>
      <w:r w:rsidR="0030175F" w:rsidRPr="004E70CE">
        <w:rPr>
          <w:rFonts w:ascii="CIDFont+F4" w:hAnsi="CIDFont+F4" w:cs="CIDFont+F4"/>
        </w:rPr>
        <w:t xml:space="preserve">domestic policy settings </w:t>
      </w:r>
      <w:r w:rsidR="136D43AF" w:rsidRPr="004E70CE">
        <w:rPr>
          <w:rFonts w:ascii="CIDFont+F4" w:hAnsi="CIDFont+F4" w:cs="CIDFont+F4"/>
        </w:rPr>
        <w:t xml:space="preserve">for </w:t>
      </w:r>
      <w:r w:rsidR="0030175F" w:rsidRPr="004E70CE">
        <w:rPr>
          <w:rFonts w:ascii="CIDFont+F4" w:hAnsi="CIDFont+F4" w:cs="CIDFont+F4"/>
        </w:rPr>
        <w:t>imported goods</w:t>
      </w:r>
      <w:r w:rsidRPr="004E70CE">
        <w:rPr>
          <w:rFonts w:ascii="CIDFont+F4" w:hAnsi="CIDFont+F4" w:cs="CIDFont+F4"/>
        </w:rPr>
        <w:t xml:space="preserve">. As such, the </w:t>
      </w:r>
      <w:r w:rsidR="7A1020CE" w:rsidRPr="004E70CE">
        <w:rPr>
          <w:rFonts w:ascii="CIDFont+F4" w:hAnsi="CIDFont+F4" w:cs="CIDFont+F4"/>
        </w:rPr>
        <w:t xml:space="preserve">provisions of the </w:t>
      </w:r>
      <w:r w:rsidRPr="004E70CE">
        <w:rPr>
          <w:rFonts w:ascii="CIDFont+F4" w:hAnsi="CIDFont+F4" w:cs="CIDFont+F4"/>
        </w:rPr>
        <w:t xml:space="preserve">Safeguard Mechanism </w:t>
      </w:r>
      <w:r w:rsidR="00CA7CE8" w:rsidRPr="004E70CE">
        <w:rPr>
          <w:rFonts w:ascii="CIDFont+F4" w:hAnsi="CIDFont+F4" w:cs="CIDFont+F4"/>
        </w:rPr>
        <w:t xml:space="preserve">would be </w:t>
      </w:r>
      <w:r w:rsidRPr="004E70CE">
        <w:rPr>
          <w:rFonts w:ascii="CIDFont+F4" w:hAnsi="CIDFont+F4" w:cs="CIDFont+F4"/>
        </w:rPr>
        <w:t>the starting point for designing the core elements of a border carbon adjustment, including emissions covered and calculating a liability.</w:t>
      </w:r>
    </w:p>
    <w:p w14:paraId="431B7B31" w14:textId="77777777" w:rsidR="00646A28" w:rsidRPr="004E70CE" w:rsidRDefault="00646A28" w:rsidP="00C20296">
      <w:pPr>
        <w:rPr>
          <w:bCs/>
          <w:lang w:val="en-GB"/>
        </w:rPr>
      </w:pPr>
      <w:r w:rsidRPr="004E70CE">
        <w:rPr>
          <w:bCs/>
          <w:lang w:val="en-GB"/>
        </w:rPr>
        <w:t>Engagement with domestic stakeholders and international partners has affirmed the importance of the compliance of any measure with international law, particularly WTO law. International partners encouraged Australia to consider a design, if it pursued a border carbon adjustment, that was non-discriminatory, had low transaction and compliance costs, and supported an open and fair</w:t>
      </w:r>
      <w:r w:rsidR="00C1228D" w:rsidRPr="004E70CE">
        <w:rPr>
          <w:bCs/>
          <w:lang w:val="en-GB"/>
        </w:rPr>
        <w:t xml:space="preserve"> </w:t>
      </w:r>
      <w:r w:rsidRPr="004E70CE">
        <w:rPr>
          <w:bCs/>
          <w:lang w:val="en-GB"/>
        </w:rPr>
        <w:t xml:space="preserve">trading system. </w:t>
      </w:r>
    </w:p>
    <w:p w14:paraId="1051E1EB" w14:textId="77777777" w:rsidR="00B24D6E" w:rsidRPr="004E70CE" w:rsidRDefault="00646A28" w:rsidP="00C20296">
      <w:pPr>
        <w:rPr>
          <w:bCs/>
          <w:lang w:val="en-GB"/>
        </w:rPr>
      </w:pPr>
      <w:r w:rsidRPr="004E70CE">
        <w:rPr>
          <w:bCs/>
          <w:lang w:val="en-GB"/>
        </w:rPr>
        <w:t>Several specific issues were raised, including the importance of protecting confidentiality of trade secrets for importers, ensuring small and medium enterprises could comply and ensuring that any measure was applied fairly to domestic and foreign producers. These issues and other ideas raised by partners have been carefully considered in developing this Consultation Paper</w:t>
      </w:r>
      <w:r w:rsidR="00D35F8B" w:rsidRPr="004E70CE">
        <w:rPr>
          <w:bCs/>
          <w:lang w:val="en-GB"/>
        </w:rPr>
        <w:t xml:space="preserve"> and should be further considered and consulted on</w:t>
      </w:r>
      <w:r w:rsidR="00C1228D" w:rsidRPr="004E70CE">
        <w:rPr>
          <w:bCs/>
          <w:lang w:val="en-GB"/>
        </w:rPr>
        <w:t>,</w:t>
      </w:r>
      <w:r w:rsidR="00D35F8B" w:rsidRPr="004E70CE">
        <w:rPr>
          <w:bCs/>
          <w:lang w:val="en-GB"/>
        </w:rPr>
        <w:t xml:space="preserve"> should the government decide to pursue a border carbon adjustment</w:t>
      </w:r>
      <w:r w:rsidRPr="004E70CE">
        <w:rPr>
          <w:bCs/>
          <w:lang w:val="en-GB"/>
        </w:rPr>
        <w:t>.</w:t>
      </w:r>
    </w:p>
    <w:p w14:paraId="3054A30D" w14:textId="77777777" w:rsidR="00646A28" w:rsidRPr="004E70CE" w:rsidRDefault="00646A28" w:rsidP="00C20296">
      <w:pPr>
        <w:ind w:left="720"/>
        <w:rPr>
          <w:rFonts w:eastAsia="Times New Roman" w:cstheme="minorHAnsi"/>
          <w:lang w:eastAsia="ja-JP"/>
        </w:rPr>
      </w:pPr>
      <w:r w:rsidRPr="004E70CE">
        <w:rPr>
          <w:rFonts w:eastAsia="Times New Roman" w:cstheme="minorHAnsi"/>
          <w:i/>
          <w:lang w:eastAsia="ja-JP"/>
        </w:rPr>
        <w:t xml:space="preserve">Based on our experience, we acknowledge the potential for carbon border adjustments to reduce carbon leakage, however full regional coordination would be needed for a carbon border adjustment mechanism (CBAM) to be effective, particularly given the role that Australia plays in the regional supply chain and price sensitivity of customers for some Australian exports, including </w:t>
      </w:r>
      <w:r w:rsidR="00C1228D" w:rsidRPr="004E70CE">
        <w:rPr>
          <w:rFonts w:eastAsia="Times New Roman" w:cstheme="minorHAnsi"/>
          <w:i/>
          <w:lang w:eastAsia="ja-JP"/>
        </w:rPr>
        <w:t>a</w:t>
      </w:r>
      <w:r w:rsidRPr="004E70CE">
        <w:rPr>
          <w:rFonts w:eastAsia="Times New Roman" w:cstheme="minorHAnsi"/>
          <w:i/>
          <w:lang w:eastAsia="ja-JP"/>
        </w:rPr>
        <w:t xml:space="preserve">lumina and </w:t>
      </w:r>
      <w:r w:rsidR="00C1228D" w:rsidRPr="004E70CE">
        <w:rPr>
          <w:rFonts w:eastAsia="Times New Roman" w:cstheme="minorHAnsi"/>
          <w:i/>
          <w:lang w:eastAsia="ja-JP"/>
        </w:rPr>
        <w:t>a</w:t>
      </w:r>
      <w:r w:rsidRPr="004E70CE">
        <w:rPr>
          <w:rFonts w:eastAsia="Times New Roman" w:cstheme="minorHAnsi"/>
          <w:i/>
          <w:lang w:eastAsia="ja-JP"/>
        </w:rPr>
        <w:t xml:space="preserve">luminium. - </w:t>
      </w:r>
      <w:r w:rsidRPr="004E70CE">
        <w:rPr>
          <w:rFonts w:eastAsia="Times New Roman" w:cstheme="minorHAnsi"/>
          <w:b/>
          <w:i/>
          <w:lang w:eastAsia="ja-JP"/>
        </w:rPr>
        <w:t>Rio Tinto</w:t>
      </w:r>
    </w:p>
    <w:p w14:paraId="3A0009C8" w14:textId="77777777" w:rsidR="00206340" w:rsidRPr="004E70CE" w:rsidRDefault="00FA04E8" w:rsidP="00C20296">
      <w:pPr>
        <w:rPr>
          <w:rFonts w:ascii="CIDFont+F4" w:hAnsi="CIDFont+F4" w:cs="CIDFont+F4"/>
          <w:b/>
          <w:bCs/>
        </w:rPr>
      </w:pPr>
      <w:r w:rsidRPr="004E70CE">
        <w:rPr>
          <w:rFonts w:ascii="CIDFont+F4" w:hAnsi="CIDFont+F4" w:cs="CIDFont+F4"/>
          <w:b/>
          <w:bCs/>
        </w:rPr>
        <w:t>3.</w:t>
      </w:r>
      <w:r w:rsidR="00661CF9" w:rsidRPr="004E70CE">
        <w:rPr>
          <w:rFonts w:ascii="CIDFont+F4" w:hAnsi="CIDFont+F4" w:cs="CIDFont+F4"/>
          <w:b/>
          <w:bCs/>
        </w:rPr>
        <w:t>5</w:t>
      </w:r>
      <w:r w:rsidRPr="004E70CE">
        <w:rPr>
          <w:rFonts w:ascii="CIDFont+F4" w:hAnsi="CIDFont+F4" w:cs="CIDFont+F4"/>
          <w:b/>
          <w:bCs/>
        </w:rPr>
        <w:t xml:space="preserve">.1 </w:t>
      </w:r>
      <w:r w:rsidR="000C253F" w:rsidRPr="004E70CE">
        <w:rPr>
          <w:rFonts w:ascii="CIDFont+F4" w:hAnsi="CIDFont+F4" w:cs="CIDFont+F4"/>
          <w:b/>
          <w:bCs/>
        </w:rPr>
        <w:t>Emissions</w:t>
      </w:r>
      <w:r w:rsidR="00206340" w:rsidRPr="004E70CE">
        <w:rPr>
          <w:rFonts w:ascii="CIDFont+F4" w:hAnsi="CIDFont+F4" w:cs="CIDFont+F4"/>
          <w:b/>
          <w:bCs/>
        </w:rPr>
        <w:t xml:space="preserve"> scope</w:t>
      </w:r>
    </w:p>
    <w:p w14:paraId="2E841240" w14:textId="55C9D7D0" w:rsidR="00EE2C6F" w:rsidRPr="004E70CE" w:rsidRDefault="18955B72" w:rsidP="00C20296">
      <w:r w:rsidRPr="004E70CE">
        <w:rPr>
          <w:rFonts w:ascii="CIDFont+F4" w:hAnsi="CIDFont+F4" w:cs="CIDFont+F4"/>
        </w:rPr>
        <w:t>T</w:t>
      </w:r>
      <w:r w:rsidR="7AAABF4E" w:rsidRPr="004E70CE">
        <w:rPr>
          <w:rFonts w:ascii="CIDFont+F4" w:hAnsi="CIDFont+F4" w:cs="CIDFont+F4"/>
        </w:rPr>
        <w:t>o align with</w:t>
      </w:r>
      <w:r w:rsidR="7AAABF4E" w:rsidRPr="004E70CE" w:rsidDel="00FA04E8">
        <w:rPr>
          <w:rFonts w:ascii="CIDFont+F4" w:hAnsi="CIDFont+F4" w:cs="CIDFont+F4"/>
        </w:rPr>
        <w:t xml:space="preserve"> </w:t>
      </w:r>
      <w:r w:rsidR="00CD0F69">
        <w:rPr>
          <w:rFonts w:ascii="CIDFont+F4" w:hAnsi="CIDFont+F4" w:cs="CIDFont+F4"/>
        </w:rPr>
        <w:t xml:space="preserve">the </w:t>
      </w:r>
      <w:r w:rsidR="7AAABF4E" w:rsidRPr="004E70CE">
        <w:rPr>
          <w:rFonts w:ascii="CIDFont+F4" w:hAnsi="CIDFont+F4" w:cs="CIDFont+F4"/>
        </w:rPr>
        <w:t>Safeguard Mechanism</w:t>
      </w:r>
      <w:r w:rsidRPr="004E70CE">
        <w:rPr>
          <w:rFonts w:ascii="CIDFont+F4" w:hAnsi="CIDFont+F4" w:cs="CIDFont+F4"/>
        </w:rPr>
        <w:t>, a</w:t>
      </w:r>
      <w:r w:rsidR="3DDB4473" w:rsidRPr="004E70CE">
        <w:rPr>
          <w:rFonts w:ascii="CIDFont+F4" w:hAnsi="CIDFont+F4" w:cs="CIDFont+F4"/>
        </w:rPr>
        <w:t xml:space="preserve"> </w:t>
      </w:r>
      <w:r w:rsidR="65B254D1" w:rsidRPr="004E70CE">
        <w:rPr>
          <w:rFonts w:ascii="CIDFont+F4" w:hAnsi="CIDFont+F4" w:cs="CIDFont+F4"/>
        </w:rPr>
        <w:t>border carbon adjustment</w:t>
      </w:r>
      <w:r w:rsidR="3DDB4473" w:rsidRPr="004E70CE">
        <w:rPr>
          <w:rFonts w:ascii="CIDFont+F4" w:hAnsi="CIDFont+F4" w:cs="CIDFont+F4"/>
        </w:rPr>
        <w:t xml:space="preserve"> would apply to imports based on the scope 1 emissions</w:t>
      </w:r>
      <w:r w:rsidR="6A880066" w:rsidRPr="004E70CE">
        <w:rPr>
          <w:rFonts w:ascii="CIDFont+F4" w:hAnsi="CIDFont+F4" w:cs="CIDFont+F4"/>
        </w:rPr>
        <w:t xml:space="preserve"> from the manufacture of products</w:t>
      </w:r>
      <w:r w:rsidR="49DF3102" w:rsidRPr="004E70CE">
        <w:rPr>
          <w:rFonts w:ascii="CIDFont+F4" w:hAnsi="CIDFont+F4" w:cs="CIDFont+F4"/>
        </w:rPr>
        <w:t>, for all greenhouse gas emissions covered by the Safeguard Mechanism</w:t>
      </w:r>
      <w:r w:rsidR="3DDB4473" w:rsidRPr="004E70CE">
        <w:rPr>
          <w:rFonts w:ascii="CIDFont+F4" w:hAnsi="CIDFont+F4" w:cs="CIDFont+F4"/>
        </w:rPr>
        <w:t xml:space="preserve">. </w:t>
      </w:r>
      <w:r w:rsidR="3DA18EFD" w:rsidRPr="004E70CE">
        <w:t xml:space="preserve">Scope 2 and 3 emissions </w:t>
      </w:r>
      <w:r w:rsidR="741ABFCB" w:rsidRPr="004E70CE">
        <w:t>would not be included as</w:t>
      </w:r>
      <w:r w:rsidR="3DDB4473" w:rsidRPr="004E70CE">
        <w:t xml:space="preserve"> </w:t>
      </w:r>
      <w:r w:rsidR="741ABFCB" w:rsidRPr="004E70CE">
        <w:t>t</w:t>
      </w:r>
      <w:r w:rsidR="3DDB4473" w:rsidRPr="004E70CE">
        <w:t>hese emissions are not covered by the Safeguard Mechanism.</w:t>
      </w:r>
      <w:r w:rsidR="00EE2C6F" w:rsidRPr="004E70CE">
        <w:rPr>
          <w:rStyle w:val="FootnoteReference"/>
        </w:rPr>
        <w:footnoteReference w:id="100"/>
      </w:r>
      <w:r w:rsidR="1D3B3140" w:rsidRPr="004E70CE">
        <w:t xml:space="preserve"> </w:t>
      </w:r>
      <w:r w:rsidR="645DA399" w:rsidRPr="004E70CE">
        <w:t xml:space="preserve">In comparison, </w:t>
      </w:r>
      <w:r w:rsidR="0CB183CF" w:rsidRPr="004E70CE">
        <w:t>both</w:t>
      </w:r>
      <w:r w:rsidR="645DA399" w:rsidRPr="004E70CE">
        <w:t xml:space="preserve"> the EU CBAM </w:t>
      </w:r>
      <w:r w:rsidR="24678E58" w:rsidRPr="004E70CE">
        <w:t xml:space="preserve">and </w:t>
      </w:r>
      <w:r w:rsidR="570BC913" w:rsidRPr="004E70CE">
        <w:t xml:space="preserve">proposed </w:t>
      </w:r>
      <w:r w:rsidR="24678E58" w:rsidRPr="004E70CE">
        <w:t>UK CBAM</w:t>
      </w:r>
      <w:r w:rsidR="645DA399" w:rsidRPr="004E70CE">
        <w:t xml:space="preserve"> include scope 2 emissions because the electricity sector is covered by the</w:t>
      </w:r>
      <w:r w:rsidR="24EA0BBD" w:rsidRPr="004E70CE">
        <w:t>ir</w:t>
      </w:r>
      <w:r w:rsidR="645DA399" w:rsidRPr="004E70CE">
        <w:t xml:space="preserve"> </w:t>
      </w:r>
      <w:r w:rsidR="659E87C8" w:rsidRPr="004E70CE">
        <w:t xml:space="preserve">respective </w:t>
      </w:r>
      <w:r w:rsidR="78E65EF0" w:rsidRPr="004E70CE">
        <w:t>emissions trading schemes</w:t>
      </w:r>
      <w:r w:rsidR="645DA399" w:rsidRPr="004E70CE">
        <w:t>.</w:t>
      </w:r>
    </w:p>
    <w:p w14:paraId="1BBCFDDD" w14:textId="77777777" w:rsidR="00C23054" w:rsidRPr="004E70CE" w:rsidRDefault="00C23054" w:rsidP="00C20296">
      <w:r w:rsidRPr="004E70CE">
        <w:t xml:space="preserve">For commodities where intermediate inputs are also covered by </w:t>
      </w:r>
      <w:r w:rsidR="00181166" w:rsidRPr="004E70CE">
        <w:t xml:space="preserve">the </w:t>
      </w:r>
      <w:r w:rsidRPr="004E70CE">
        <w:t>Safeguard</w:t>
      </w:r>
      <w:r w:rsidR="009F5669" w:rsidRPr="004E70CE">
        <w:t xml:space="preserve"> Mechanism</w:t>
      </w:r>
      <w:r w:rsidRPr="004E70CE">
        <w:t xml:space="preserve">, such as clinker into cement or ammonia into ammonium nitrate, the extent of emissions </w:t>
      </w:r>
      <w:r w:rsidR="00A33112" w:rsidRPr="004E70CE">
        <w:t>included</w:t>
      </w:r>
      <w:r w:rsidRPr="004E70CE">
        <w:t xml:space="preserve"> </w:t>
      </w:r>
      <w:r w:rsidR="00A33112" w:rsidRPr="004E70CE">
        <w:t>in</w:t>
      </w:r>
      <w:r w:rsidRPr="004E70CE">
        <w:t xml:space="preserve"> a </w:t>
      </w:r>
      <w:r w:rsidR="00471C79" w:rsidRPr="004E70CE">
        <w:t xml:space="preserve">border carbon adjustment </w:t>
      </w:r>
      <w:r w:rsidRPr="004E70CE">
        <w:t xml:space="preserve">would be equivalent to the coverage under the Safeguard Mechanism. </w:t>
      </w:r>
    </w:p>
    <w:p w14:paraId="3C63CE3E" w14:textId="77777777" w:rsidR="00C617CC" w:rsidRPr="004E70CE" w:rsidRDefault="17834677" w:rsidP="00C20296">
      <w:r w:rsidRPr="004E70CE">
        <w:t>T</w:t>
      </w:r>
      <w:r w:rsidR="400CDF95" w:rsidRPr="004E70CE">
        <w:t xml:space="preserve">ransport </w:t>
      </w:r>
      <w:r w:rsidR="0ADBA2F6" w:rsidRPr="004E70CE">
        <w:t xml:space="preserve">emissions from shipping </w:t>
      </w:r>
      <w:r w:rsidR="2A69888C" w:rsidRPr="004E70CE">
        <w:t>commodities</w:t>
      </w:r>
      <w:r w:rsidR="0ADBA2F6" w:rsidRPr="004E70CE">
        <w:t xml:space="preserve"> to Australia </w:t>
      </w:r>
      <w:r w:rsidR="2A52BD56" w:rsidRPr="004E70CE">
        <w:t>would not</w:t>
      </w:r>
      <w:r w:rsidR="15D3DB35" w:rsidRPr="004E70CE">
        <w:t xml:space="preserve"> be</w:t>
      </w:r>
      <w:r w:rsidR="2A52BD56" w:rsidRPr="004E70CE">
        <w:t xml:space="preserve"> </w:t>
      </w:r>
      <w:r w:rsidR="15D3DB35" w:rsidRPr="004E70CE">
        <w:t>included</w:t>
      </w:r>
      <w:r w:rsidR="00E062FC" w:rsidRPr="004E70CE">
        <w:t>.</w:t>
      </w:r>
      <w:r w:rsidR="15D3DB35" w:rsidRPr="004E70CE">
        <w:t xml:space="preserve"> </w:t>
      </w:r>
      <w:r w:rsidR="00E062FC" w:rsidRPr="004E70CE">
        <w:t>T</w:t>
      </w:r>
      <w:r w:rsidR="62784327" w:rsidRPr="004E70CE">
        <w:t>ransport emissions</w:t>
      </w:r>
      <w:r w:rsidR="0ADBA2F6" w:rsidRPr="004E70CE">
        <w:t xml:space="preserve"> </w:t>
      </w:r>
      <w:r w:rsidR="00F46D99" w:rsidRPr="004E70CE">
        <w:t xml:space="preserve">outside of site boundaries </w:t>
      </w:r>
      <w:r w:rsidR="2ABF26CD" w:rsidRPr="004E70CE">
        <w:t>are</w:t>
      </w:r>
      <w:r w:rsidR="0ADBA2F6" w:rsidRPr="004E70CE">
        <w:t xml:space="preserve"> not </w:t>
      </w:r>
      <w:r w:rsidR="3FDD8D24" w:rsidRPr="004E70CE">
        <w:t>included</w:t>
      </w:r>
      <w:r w:rsidR="2A52BD56" w:rsidRPr="004E70CE">
        <w:t xml:space="preserve"> under the Safeguard Mechanism</w:t>
      </w:r>
      <w:r w:rsidR="396F7F4B" w:rsidRPr="004E70CE">
        <w:t xml:space="preserve">. </w:t>
      </w:r>
      <w:r w:rsidR="15D3DB35" w:rsidRPr="004E70CE">
        <w:t xml:space="preserve">In addition, </w:t>
      </w:r>
      <w:r w:rsidR="13A5F935" w:rsidRPr="004E70CE">
        <w:t xml:space="preserve">international </w:t>
      </w:r>
      <w:r w:rsidR="15D3DB35" w:rsidRPr="004E70CE">
        <w:t>t</w:t>
      </w:r>
      <w:r w:rsidR="1A8D6738" w:rsidRPr="004E70CE">
        <w:t xml:space="preserve">ransport emissions are </w:t>
      </w:r>
      <w:r w:rsidR="3A22F591" w:rsidRPr="004E70CE">
        <w:t xml:space="preserve">difficult to account for and attribute </w:t>
      </w:r>
      <w:r w:rsidR="45AD5B54" w:rsidRPr="004E70CE">
        <w:t>to specific products shipped</w:t>
      </w:r>
      <w:r w:rsidR="00E215E7" w:rsidRPr="004E70CE">
        <w:t>.</w:t>
      </w:r>
      <w:r w:rsidR="005767D0" w:rsidRPr="004E70CE">
        <w:t xml:space="preserve"> </w:t>
      </w:r>
      <w:r w:rsidR="00E215E7" w:rsidRPr="004E70CE">
        <w:t>W</w:t>
      </w:r>
      <w:r w:rsidR="005767D0" w:rsidRPr="004E70CE">
        <w:t>ork is</w:t>
      </w:r>
      <w:r w:rsidR="001E4549" w:rsidRPr="004E70CE">
        <w:t xml:space="preserve"> </w:t>
      </w:r>
      <w:r w:rsidR="005767D0" w:rsidRPr="004E70CE">
        <w:t xml:space="preserve">being undertaken by the International Maritime Organisation on a multilateral approach to levying </w:t>
      </w:r>
      <w:r w:rsidR="001B198A" w:rsidRPr="004E70CE">
        <w:t>greenhouse gas</w:t>
      </w:r>
      <w:r w:rsidR="005767D0" w:rsidRPr="004E70CE">
        <w:t xml:space="preserve"> emissions from international shipping</w:t>
      </w:r>
      <w:r w:rsidR="3A22F591" w:rsidRPr="004E70CE">
        <w:t>.</w:t>
      </w:r>
      <w:r w:rsidR="00207AC9" w:rsidRPr="004E70CE">
        <w:rPr>
          <w:rStyle w:val="FootnoteReference"/>
        </w:rPr>
        <w:footnoteReference w:id="101"/>
      </w:r>
      <w:r w:rsidR="3A22F591" w:rsidRPr="004E70CE">
        <w:t xml:space="preserve"> </w:t>
      </w:r>
    </w:p>
    <w:p w14:paraId="624782A0" w14:textId="77777777" w:rsidR="00671A70" w:rsidRPr="004E70CE" w:rsidRDefault="00671A70">
      <w:pPr>
        <w:spacing w:after="0" w:line="240" w:lineRule="auto"/>
        <w:rPr>
          <w:b/>
          <w:bCs/>
        </w:rPr>
      </w:pPr>
      <w:r w:rsidRPr="004E70CE">
        <w:rPr>
          <w:b/>
          <w:bCs/>
        </w:rPr>
        <w:br w:type="page"/>
      </w:r>
    </w:p>
    <w:p w14:paraId="5BEBFAE3" w14:textId="4AF4581A" w:rsidR="002A7E32" w:rsidRPr="004E70CE" w:rsidRDefault="00FA04E8" w:rsidP="00C20296">
      <w:pPr>
        <w:rPr>
          <w:b/>
          <w:bCs/>
        </w:rPr>
      </w:pPr>
      <w:r w:rsidRPr="004E70CE">
        <w:rPr>
          <w:b/>
          <w:bCs/>
        </w:rPr>
        <w:lastRenderedPageBreak/>
        <w:t>3.</w:t>
      </w:r>
      <w:r w:rsidR="00661CF9" w:rsidRPr="004E70CE">
        <w:rPr>
          <w:b/>
          <w:bCs/>
        </w:rPr>
        <w:t>5</w:t>
      </w:r>
      <w:r w:rsidRPr="004E70CE">
        <w:rPr>
          <w:b/>
          <w:bCs/>
        </w:rPr>
        <w:t xml:space="preserve">.2 </w:t>
      </w:r>
      <w:r w:rsidR="002A7E32" w:rsidRPr="004E70CE">
        <w:rPr>
          <w:b/>
          <w:bCs/>
        </w:rPr>
        <w:t xml:space="preserve">Calculating the </w:t>
      </w:r>
      <w:r w:rsidR="00DE1748" w:rsidRPr="004E70CE">
        <w:rPr>
          <w:b/>
          <w:bCs/>
        </w:rPr>
        <w:t>border carbon adjustment</w:t>
      </w:r>
      <w:r w:rsidR="002A7E32" w:rsidRPr="004E70CE">
        <w:rPr>
          <w:b/>
          <w:bCs/>
        </w:rPr>
        <w:t xml:space="preserve"> </w:t>
      </w:r>
    </w:p>
    <w:p w14:paraId="3A06AA62" w14:textId="1FC7EB97" w:rsidR="009D6A5D" w:rsidRDefault="00A134DC" w:rsidP="00C20296">
      <w:pPr>
        <w:rPr>
          <w:rFonts w:ascii="Calibri" w:eastAsia="Calibri" w:hAnsi="Calibri" w:cs="Calibri"/>
        </w:rPr>
      </w:pPr>
      <w:r>
        <w:rPr>
          <w:rFonts w:ascii="Calibri" w:eastAsia="Calibri" w:hAnsi="Calibri" w:cs="Calibri"/>
          <w:color w:val="000000" w:themeColor="text1"/>
        </w:rPr>
        <w:t>Should government decide to pursue a border carbon adjustment, t</w:t>
      </w:r>
      <w:r w:rsidRPr="004E70CE">
        <w:rPr>
          <w:rFonts w:ascii="Calibri" w:eastAsia="Calibri" w:hAnsi="Calibri" w:cs="Calibri"/>
          <w:color w:val="000000" w:themeColor="text1"/>
        </w:rPr>
        <w:t xml:space="preserve">o </w:t>
      </w:r>
      <w:r w:rsidR="3C1A38A0" w:rsidRPr="004E70CE">
        <w:rPr>
          <w:rFonts w:ascii="Calibri" w:eastAsia="Calibri" w:hAnsi="Calibri" w:cs="Calibri"/>
          <w:color w:val="000000" w:themeColor="text1"/>
        </w:rPr>
        <w:t xml:space="preserve">mirror the Safeguard Mechanism, an Australian border carbon adjustment </w:t>
      </w:r>
      <w:r w:rsidR="00C35D75" w:rsidRPr="004E70CE">
        <w:rPr>
          <w:rFonts w:ascii="Calibri" w:eastAsia="Calibri" w:hAnsi="Calibri" w:cs="Calibri"/>
          <w:color w:val="000000" w:themeColor="text1"/>
        </w:rPr>
        <w:t>sh</w:t>
      </w:r>
      <w:r w:rsidR="3C1A38A0" w:rsidRPr="004E70CE">
        <w:rPr>
          <w:rFonts w:ascii="Calibri" w:eastAsia="Calibri" w:hAnsi="Calibri" w:cs="Calibri"/>
          <w:color w:val="000000" w:themeColor="text1"/>
        </w:rPr>
        <w:t xml:space="preserve">ould only apply a liability on emissions above </w:t>
      </w:r>
      <w:r w:rsidR="3C1A38A0" w:rsidRPr="004E70CE">
        <w:rPr>
          <w:rFonts w:ascii="Calibri" w:eastAsia="Calibri" w:hAnsi="Calibri" w:cs="Calibri"/>
        </w:rPr>
        <w:t>the applicable Safeguard Mechanism production variable baseline</w:t>
      </w:r>
      <w:r w:rsidR="009D6A5D">
        <w:rPr>
          <w:rFonts w:ascii="Calibri" w:eastAsia="Calibri" w:hAnsi="Calibri" w:cs="Calibri"/>
        </w:rPr>
        <w:t>, and deducting any carbon costs already incurred in the producing jurisdiction</w:t>
      </w:r>
      <w:r w:rsidR="3C1A38A0" w:rsidRPr="004E70CE">
        <w:rPr>
          <w:rFonts w:ascii="Calibri" w:eastAsia="Calibri" w:hAnsi="Calibri" w:cs="Calibri"/>
        </w:rPr>
        <w:t>.</w:t>
      </w:r>
      <w:r w:rsidR="001F67B8" w:rsidRPr="004E70CE">
        <w:rPr>
          <w:rStyle w:val="FootnoteReference"/>
          <w:rFonts w:ascii="Calibri" w:eastAsia="Calibri" w:hAnsi="Calibri" w:cs="Calibri"/>
        </w:rPr>
        <w:footnoteReference w:id="102"/>
      </w:r>
      <w:r w:rsidR="3C1A38A0" w:rsidRPr="004E70CE">
        <w:rPr>
          <w:rFonts w:ascii="Calibri" w:eastAsia="Calibri" w:hAnsi="Calibri" w:cs="Calibri"/>
        </w:rPr>
        <w:t xml:space="preserve"> </w:t>
      </w:r>
    </w:p>
    <w:p w14:paraId="0704B28E" w14:textId="2C14EE4C" w:rsidR="5EABDBB5" w:rsidRPr="004E70CE" w:rsidRDefault="3C1A38A0" w:rsidP="00C20296">
      <w:pPr>
        <w:rPr>
          <w:rFonts w:ascii="Calibri" w:eastAsia="Calibri" w:hAnsi="Calibri" w:cs="Calibri"/>
          <w:color w:val="000000" w:themeColor="text1"/>
        </w:rPr>
      </w:pPr>
      <w:r w:rsidRPr="004E70CE">
        <w:rPr>
          <w:rFonts w:ascii="Calibri" w:eastAsia="Calibri" w:hAnsi="Calibri" w:cs="Calibri"/>
        </w:rPr>
        <w:t>Safeguard Mechanism baselines effectively provide a portion of ‘free allocation’ of the right to emit to covered facilities, which would be mirrored on imports</w:t>
      </w:r>
      <w:r w:rsidRPr="004E70CE">
        <w:rPr>
          <w:rFonts w:ascii="Calibri" w:eastAsia="Calibri" w:hAnsi="Calibri" w:cs="Calibri"/>
          <w:color w:val="000000" w:themeColor="text1"/>
        </w:rPr>
        <w:t xml:space="preserve">. </w:t>
      </w:r>
    </w:p>
    <w:p w14:paraId="5A42AE20" w14:textId="77777777" w:rsidR="00AB325B" w:rsidRPr="004E70CE" w:rsidRDefault="3C1A38A0" w:rsidP="00C20296">
      <w:pPr>
        <w:rPr>
          <w:rFonts w:ascii="Calibri" w:eastAsia="Calibri" w:hAnsi="Calibri" w:cs="Calibri"/>
          <w:color w:val="000000" w:themeColor="text1"/>
        </w:rPr>
      </w:pPr>
      <w:r w:rsidRPr="004E70CE">
        <w:rPr>
          <w:rFonts w:ascii="Calibri" w:eastAsia="Calibri" w:hAnsi="Calibri" w:cs="Calibri"/>
          <w:color w:val="000000" w:themeColor="text1"/>
        </w:rPr>
        <w:t>The Safeguard Mechanism baseline emission intensity per commodity (production variable) is set out in the Safeguard Mechanism Rules.</w:t>
      </w:r>
      <w:r w:rsidR="00800E90" w:rsidRPr="004E70CE">
        <w:rPr>
          <w:rStyle w:val="FootnoteReference"/>
          <w:rFonts w:ascii="Calibri" w:eastAsia="Calibri" w:hAnsi="Calibri" w:cs="Calibri"/>
          <w:color w:val="000000" w:themeColor="text1"/>
        </w:rPr>
        <w:footnoteReference w:id="103"/>
      </w:r>
      <w:r w:rsidRPr="004E70CE">
        <w:rPr>
          <w:rFonts w:ascii="Calibri" w:eastAsia="Calibri" w:hAnsi="Calibri" w:cs="Calibri"/>
          <w:color w:val="000000" w:themeColor="text1"/>
        </w:rPr>
        <w:t xml:space="preserve"> </w:t>
      </w:r>
      <w:r w:rsidR="00AB325B" w:rsidRPr="004E70CE">
        <w:rPr>
          <w:rFonts w:ascii="Calibri" w:eastAsia="Calibri" w:hAnsi="Calibri" w:cs="Calibri"/>
          <w:color w:val="000000" w:themeColor="text1"/>
        </w:rPr>
        <w:t xml:space="preserve">Baselines are currently transitioning from facility-specific emissions intensity baselines to industry average defaults by 2030. </w:t>
      </w:r>
    </w:p>
    <w:p w14:paraId="4DA7956B" w14:textId="77777777" w:rsidR="00455A1E" w:rsidRDefault="00AB325B" w:rsidP="00C20296">
      <w:pPr>
        <w:rPr>
          <w:rFonts w:ascii="Calibri" w:eastAsia="Calibri" w:hAnsi="Calibri" w:cs="Calibri"/>
          <w:color w:val="000000" w:themeColor="text1"/>
        </w:rPr>
      </w:pPr>
      <w:r w:rsidRPr="004E70CE">
        <w:rPr>
          <w:rFonts w:ascii="Calibri" w:eastAsia="Calibri" w:hAnsi="Calibri" w:cs="Calibri"/>
          <w:color w:val="000000" w:themeColor="text1"/>
        </w:rPr>
        <w:t xml:space="preserve">Baselines for the border carbon adjustment would have to account for the different domestic baseline arrangements, including any adjustments if TEBA was phased out rather than removed </w:t>
      </w:r>
      <w:r w:rsidR="008D54CF" w:rsidRPr="004E70CE">
        <w:rPr>
          <w:rFonts w:ascii="Calibri" w:eastAsia="Calibri" w:hAnsi="Calibri" w:cs="Calibri"/>
          <w:color w:val="000000" w:themeColor="text1"/>
        </w:rPr>
        <w:t>immediately, and different arrangements for any new entrants</w:t>
      </w:r>
      <w:r w:rsidRPr="004E70CE">
        <w:rPr>
          <w:rFonts w:ascii="Calibri" w:eastAsia="Calibri" w:hAnsi="Calibri" w:cs="Calibri"/>
          <w:color w:val="000000" w:themeColor="text1"/>
        </w:rPr>
        <w:t>.</w:t>
      </w:r>
    </w:p>
    <w:p w14:paraId="4B1EF8D6" w14:textId="53A5B7C0" w:rsidR="3C1A38A0" w:rsidRPr="004E70CE" w:rsidRDefault="00455A1E" w:rsidP="00C20296">
      <w:pPr>
        <w:rPr>
          <w:rFonts w:ascii="Calibri" w:eastAsia="Calibri" w:hAnsi="Calibri" w:cs="Calibri"/>
          <w:color w:val="000000" w:themeColor="text1"/>
        </w:rPr>
      </w:pPr>
      <w:r>
        <w:rPr>
          <w:rFonts w:ascii="Calibri" w:eastAsia="Calibri" w:hAnsi="Calibri" w:cs="Calibri"/>
          <w:color w:val="000000" w:themeColor="text1"/>
        </w:rPr>
        <w:t>For further consideration of issues relating to the calculation of a potential border carbon adjustment</w:t>
      </w:r>
      <w:r w:rsidR="005448D4">
        <w:rPr>
          <w:rFonts w:ascii="Calibri" w:eastAsia="Calibri" w:hAnsi="Calibri" w:cs="Calibri"/>
          <w:color w:val="000000" w:themeColor="text1"/>
        </w:rPr>
        <w:t xml:space="preserve"> should government decide to pursue a border carbon adjustment</w:t>
      </w:r>
      <w:r>
        <w:rPr>
          <w:rFonts w:ascii="Calibri" w:eastAsia="Calibri" w:hAnsi="Calibri" w:cs="Calibri"/>
          <w:color w:val="000000" w:themeColor="text1"/>
        </w:rPr>
        <w:t xml:space="preserve">, see the Appendix. </w:t>
      </w:r>
      <w:r w:rsidR="00AB325B" w:rsidRPr="004E70CE" w:rsidDel="00AB325B">
        <w:rPr>
          <w:rFonts w:ascii="Calibri" w:eastAsia="Calibri" w:hAnsi="Calibri" w:cs="Calibri"/>
          <w:color w:val="000000" w:themeColor="text1"/>
        </w:rPr>
        <w:t xml:space="preserve"> </w:t>
      </w:r>
    </w:p>
    <w:p w14:paraId="39BCAE7C" w14:textId="106C5179" w:rsidR="00694311" w:rsidRPr="004E70CE" w:rsidRDefault="00694311" w:rsidP="0042745C">
      <w:pPr>
        <w:rPr>
          <w:b/>
          <w:bCs/>
        </w:rPr>
      </w:pPr>
      <w:r w:rsidRPr="004E70CE">
        <w:rPr>
          <w:b/>
          <w:bCs/>
        </w:rPr>
        <w:t xml:space="preserve">3.5.3 Revenue from </w:t>
      </w:r>
      <w:r w:rsidR="003D7633" w:rsidRPr="004E70CE">
        <w:rPr>
          <w:b/>
          <w:bCs/>
        </w:rPr>
        <w:t xml:space="preserve">a </w:t>
      </w:r>
      <w:r w:rsidRPr="004E70CE">
        <w:rPr>
          <w:b/>
          <w:bCs/>
        </w:rPr>
        <w:t>border carbon adjustment</w:t>
      </w:r>
    </w:p>
    <w:p w14:paraId="167E9348" w14:textId="77777777" w:rsidR="006203B1" w:rsidRPr="004E70CE" w:rsidRDefault="006203B1" w:rsidP="0042745C">
      <w:pPr>
        <w:rPr>
          <w:lang w:val="en-GB"/>
        </w:rPr>
      </w:pPr>
      <w:r w:rsidRPr="004E70CE">
        <w:rPr>
          <w:lang w:val="en-GB"/>
        </w:rPr>
        <w:t xml:space="preserve">A border carbon adjustment may result in revenue collected by government if it </w:t>
      </w:r>
      <w:r w:rsidR="008B32F7" w:rsidRPr="004E70CE">
        <w:rPr>
          <w:lang w:val="en-GB"/>
        </w:rPr>
        <w:t xml:space="preserve">partially or fully </w:t>
      </w:r>
      <w:r w:rsidRPr="004E70CE">
        <w:rPr>
          <w:lang w:val="en-GB"/>
        </w:rPr>
        <w:t>adopts a fee model instead of</w:t>
      </w:r>
      <w:r w:rsidR="008B32F7" w:rsidRPr="004E70CE">
        <w:rPr>
          <w:lang w:val="en-GB"/>
        </w:rPr>
        <w:t>, or as well as</w:t>
      </w:r>
      <w:r w:rsidRPr="004E70CE">
        <w:rPr>
          <w:lang w:val="en-GB"/>
        </w:rPr>
        <w:t xml:space="preserve"> an ACCU surrender model. The amount of revenue is difficult to predict because of lack of specific data on emissions intensities of imports and because a border carbon adjustment may result in importation from lower</w:t>
      </w:r>
      <w:r w:rsidR="00E2799F" w:rsidRPr="004E70CE">
        <w:rPr>
          <w:lang w:val="en-GB"/>
        </w:rPr>
        <w:t xml:space="preserve"> </w:t>
      </w:r>
      <w:r w:rsidRPr="004E70CE">
        <w:rPr>
          <w:lang w:val="en-GB"/>
        </w:rPr>
        <w:t>emissions facilities (</w:t>
      </w:r>
      <w:r w:rsidR="00E2799F" w:rsidRPr="004E70CE">
        <w:rPr>
          <w:lang w:val="en-GB"/>
        </w:rPr>
        <w:t>s</w:t>
      </w:r>
      <w:r w:rsidRPr="004E70CE">
        <w:rPr>
          <w:lang w:val="en-GB"/>
        </w:rPr>
        <w:t xml:space="preserve">ee </w:t>
      </w:r>
      <w:r w:rsidRPr="004E70CE">
        <w:rPr>
          <w:b/>
          <w:bCs/>
          <w:lang w:val="en-GB"/>
        </w:rPr>
        <w:t>Section 3.3</w:t>
      </w:r>
      <w:r w:rsidRPr="004E70CE">
        <w:rPr>
          <w:lang w:val="en-GB"/>
        </w:rPr>
        <w:t xml:space="preserve">) and because future emissions credit prices and differences to effective prices </w:t>
      </w:r>
      <w:r w:rsidR="000E013D" w:rsidRPr="004E70CE">
        <w:rPr>
          <w:lang w:val="en-GB"/>
        </w:rPr>
        <w:t xml:space="preserve">paid </w:t>
      </w:r>
      <w:r w:rsidR="00E2799F" w:rsidRPr="004E70CE">
        <w:rPr>
          <w:lang w:val="en-GB"/>
        </w:rPr>
        <w:t xml:space="preserve">in </w:t>
      </w:r>
      <w:r w:rsidRPr="004E70CE">
        <w:rPr>
          <w:lang w:val="en-GB"/>
        </w:rPr>
        <w:t xml:space="preserve">exporting countries are unknown. </w:t>
      </w:r>
    </w:p>
    <w:p w14:paraId="10E4E888" w14:textId="77777777" w:rsidR="006203B1" w:rsidRPr="004E70CE" w:rsidRDefault="006203B1" w:rsidP="0042745C">
      <w:pPr>
        <w:rPr>
          <w:lang w:val="en-GB"/>
        </w:rPr>
      </w:pPr>
      <w:r w:rsidRPr="004E70CE">
        <w:t xml:space="preserve">However, it is </w:t>
      </w:r>
      <w:r w:rsidR="008B32F7" w:rsidRPr="004E70CE">
        <w:t xml:space="preserve">likely </w:t>
      </w:r>
      <w:r w:rsidRPr="004E70CE">
        <w:t>that the amount of border revenue will be small relative to the overall value of imported products, just as the financial emissions obligation under the Safeguard Mechanism is small relative to the value of Australian production of these commodities.</w:t>
      </w:r>
      <w:r w:rsidRPr="004E70CE" w:rsidDel="00680743">
        <w:rPr>
          <w:lang w:val="en-US"/>
        </w:rPr>
        <w:t xml:space="preserve"> </w:t>
      </w:r>
    </w:p>
    <w:p w14:paraId="38B965CD" w14:textId="14D07952" w:rsidR="00A815FB" w:rsidRPr="004E70CE" w:rsidRDefault="006509CF" w:rsidP="00A815FB">
      <w:pPr>
        <w:rPr>
          <w:rFonts w:ascii="Calibri" w:eastAsia="Calibri" w:hAnsi="Calibri" w:cs="Calibri"/>
          <w:color w:val="000000" w:themeColor="text1"/>
        </w:rPr>
      </w:pPr>
      <w:r w:rsidRPr="004E70CE">
        <w:rPr>
          <w:rFonts w:ascii="Calibri" w:eastAsia="Calibri" w:hAnsi="Calibri" w:cs="Calibri"/>
          <w:color w:val="000000" w:themeColor="text1"/>
          <w:lang w:val="en-GB"/>
        </w:rPr>
        <w:t>With regard to any b</w:t>
      </w:r>
      <w:r w:rsidR="00A815FB" w:rsidRPr="004E70CE">
        <w:rPr>
          <w:rFonts w:ascii="Calibri" w:eastAsia="Calibri" w:hAnsi="Calibri" w:cs="Calibri"/>
          <w:color w:val="000000" w:themeColor="text1"/>
          <w:lang w:val="en-GB"/>
        </w:rPr>
        <w:t>order carbon adjustment revenue</w:t>
      </w:r>
      <w:r w:rsidRPr="004E70CE">
        <w:rPr>
          <w:rFonts w:ascii="Calibri" w:eastAsia="Calibri" w:hAnsi="Calibri" w:cs="Calibri"/>
          <w:color w:val="000000" w:themeColor="text1"/>
          <w:lang w:val="en-GB"/>
        </w:rPr>
        <w:t xml:space="preserve">, the </w:t>
      </w:r>
      <w:r w:rsidR="0012668E" w:rsidRPr="004E70CE">
        <w:rPr>
          <w:rFonts w:ascii="Calibri" w:eastAsia="Calibri" w:hAnsi="Calibri" w:cs="Calibri"/>
          <w:color w:val="000000" w:themeColor="text1"/>
          <w:lang w:val="en-GB"/>
        </w:rPr>
        <w:t>g</w:t>
      </w:r>
      <w:r w:rsidRPr="004E70CE">
        <w:rPr>
          <w:rFonts w:ascii="Calibri" w:eastAsia="Calibri" w:hAnsi="Calibri" w:cs="Calibri"/>
          <w:color w:val="000000" w:themeColor="text1"/>
          <w:lang w:val="en-GB"/>
        </w:rPr>
        <w:t>overnment would need to fund</w:t>
      </w:r>
      <w:r w:rsidR="00A815FB" w:rsidRPr="004E70CE">
        <w:rPr>
          <w:rFonts w:ascii="Calibri" w:eastAsia="Calibri" w:hAnsi="Calibri" w:cs="Calibri"/>
          <w:color w:val="000000" w:themeColor="text1"/>
          <w:lang w:val="en-GB"/>
        </w:rPr>
        <w:t xml:space="preserve"> the costs of implementing the program. </w:t>
      </w:r>
      <w:r w:rsidRPr="004E70CE">
        <w:rPr>
          <w:rFonts w:ascii="Calibri" w:eastAsia="Calibri" w:hAnsi="Calibri" w:cs="Calibri"/>
          <w:color w:val="000000" w:themeColor="text1"/>
          <w:lang w:val="en-GB"/>
        </w:rPr>
        <w:t>A</w:t>
      </w:r>
      <w:r w:rsidR="00A815FB" w:rsidRPr="004E70CE">
        <w:rPr>
          <w:rFonts w:ascii="Calibri" w:eastAsia="Calibri" w:hAnsi="Calibri" w:cs="Calibri"/>
          <w:color w:val="000000" w:themeColor="text1"/>
          <w:lang w:val="en-GB"/>
        </w:rPr>
        <w:t xml:space="preserve">dditional funding could go to support other policy priorities, including decarbonisation programs. </w:t>
      </w:r>
    </w:p>
    <w:p w14:paraId="3B832C62" w14:textId="77777777" w:rsidR="00A815FB" w:rsidRPr="004E70CE" w:rsidRDefault="00A815FB" w:rsidP="00A815FB">
      <w:pPr>
        <w:rPr>
          <w:rFonts w:ascii="Calibri" w:eastAsia="Calibri" w:hAnsi="Calibri" w:cs="Calibri"/>
          <w:color w:val="000000" w:themeColor="text1"/>
        </w:rPr>
      </w:pPr>
      <w:r w:rsidRPr="004E70CE">
        <w:rPr>
          <w:rFonts w:ascii="Calibri" w:eastAsia="Calibri" w:hAnsi="Calibri" w:cs="Calibri"/>
          <w:color w:val="000000" w:themeColor="text1"/>
          <w:lang w:val="en-GB"/>
        </w:rPr>
        <w:t xml:space="preserve">As part of the Review’s engagement, both domestic and international stakeholders have raised that in conjunction with the introduction of a BCA, funding for technical assistance and capacity building programs to assist developing countries could be increased, in particular to establish systems for monitoring, verification and reporting emissions intensity of production. It could also support </w:t>
      </w:r>
      <w:r w:rsidRPr="004E70CE">
        <w:rPr>
          <w:rFonts w:ascii="Calibri" w:eastAsia="Calibri" w:hAnsi="Calibri" w:cs="Calibri"/>
          <w:color w:val="000000" w:themeColor="text1"/>
          <w:lang w:val="en-GB"/>
        </w:rPr>
        <w:lastRenderedPageBreak/>
        <w:t>programs to support clean industry transition in developing countries to advance shared climate objectives.</w:t>
      </w:r>
    </w:p>
    <w:p w14:paraId="560C2E1D" w14:textId="57B10236" w:rsidR="00751F64" w:rsidRPr="004E70CE" w:rsidRDefault="00661CF9" w:rsidP="0042745C">
      <w:r w:rsidRPr="004E70CE">
        <w:rPr>
          <w:b/>
          <w:bCs/>
        </w:rPr>
        <w:t>3.5.</w:t>
      </w:r>
      <w:r w:rsidR="00FA04F9" w:rsidRPr="004E70CE">
        <w:rPr>
          <w:b/>
          <w:bCs/>
        </w:rPr>
        <w:t>4</w:t>
      </w:r>
      <w:r w:rsidRPr="004E70CE">
        <w:rPr>
          <w:b/>
          <w:bCs/>
        </w:rPr>
        <w:t xml:space="preserve"> </w:t>
      </w:r>
      <w:r w:rsidR="003D7633" w:rsidRPr="004E70CE">
        <w:rPr>
          <w:b/>
          <w:bCs/>
        </w:rPr>
        <w:t xml:space="preserve">Safeguard </w:t>
      </w:r>
      <w:r w:rsidR="00751F64" w:rsidRPr="004E70CE">
        <w:rPr>
          <w:b/>
          <w:bCs/>
        </w:rPr>
        <w:t xml:space="preserve">TEBA arrangements </w:t>
      </w:r>
    </w:p>
    <w:p w14:paraId="2C520440" w14:textId="77777777" w:rsidR="00A05E0F" w:rsidRPr="004E70CE" w:rsidRDefault="00595997" w:rsidP="0042745C">
      <w:pPr>
        <w:rPr>
          <w:color w:val="000000"/>
        </w:rPr>
      </w:pPr>
      <w:r w:rsidRPr="004E70CE">
        <w:rPr>
          <w:color w:val="000000"/>
        </w:rPr>
        <w:t xml:space="preserve">Facilities covered by </w:t>
      </w:r>
      <w:r w:rsidR="00E551C1" w:rsidRPr="004E70CE">
        <w:rPr>
          <w:color w:val="000000"/>
        </w:rPr>
        <w:t xml:space="preserve">the </w:t>
      </w:r>
      <w:r w:rsidRPr="004E70CE">
        <w:rPr>
          <w:color w:val="000000"/>
        </w:rPr>
        <w:t xml:space="preserve">Safeguard </w:t>
      </w:r>
      <w:r w:rsidR="00E551C1" w:rsidRPr="004E70CE">
        <w:rPr>
          <w:color w:val="000000"/>
        </w:rPr>
        <w:t xml:space="preserve">Mechanism </w:t>
      </w:r>
      <w:r w:rsidRPr="004E70CE">
        <w:rPr>
          <w:color w:val="000000"/>
        </w:rPr>
        <w:t xml:space="preserve">can apply </w:t>
      </w:r>
      <w:r w:rsidR="00A02F2F" w:rsidRPr="004E70CE">
        <w:rPr>
          <w:color w:val="000000"/>
        </w:rPr>
        <w:t>to become</w:t>
      </w:r>
      <w:r w:rsidRPr="004E70CE">
        <w:rPr>
          <w:color w:val="000000"/>
        </w:rPr>
        <w:t xml:space="preserve"> </w:t>
      </w:r>
      <w:r w:rsidR="00A05E0F" w:rsidRPr="004E70CE">
        <w:rPr>
          <w:color w:val="000000"/>
        </w:rPr>
        <w:t>TEBA</w:t>
      </w:r>
      <w:r w:rsidR="006F2903" w:rsidRPr="004E70CE">
        <w:rPr>
          <w:color w:val="000000"/>
        </w:rPr>
        <w:t xml:space="preserve"> facilities</w:t>
      </w:r>
      <w:r w:rsidR="00A05E0F" w:rsidRPr="004E70CE">
        <w:rPr>
          <w:color w:val="000000"/>
        </w:rPr>
        <w:t xml:space="preserve"> </w:t>
      </w:r>
      <w:r w:rsidR="00D2713E" w:rsidRPr="004E70CE">
        <w:rPr>
          <w:color w:val="000000"/>
        </w:rPr>
        <w:t xml:space="preserve">if they meet a particular cost impact metric based on </w:t>
      </w:r>
      <w:r w:rsidR="005616E0" w:rsidRPr="004E70CE">
        <w:rPr>
          <w:color w:val="000000"/>
        </w:rPr>
        <w:t>Earnings Before Interest and Tax</w:t>
      </w:r>
      <w:r w:rsidR="00431BAC" w:rsidRPr="004E70CE">
        <w:rPr>
          <w:color w:val="000000"/>
        </w:rPr>
        <w:t>es</w:t>
      </w:r>
      <w:r w:rsidR="005616E0" w:rsidRPr="004E70CE">
        <w:rPr>
          <w:color w:val="000000"/>
        </w:rPr>
        <w:t xml:space="preserve"> (for manufacturing sectors) or </w:t>
      </w:r>
      <w:r w:rsidR="00D2713E" w:rsidRPr="004E70CE">
        <w:rPr>
          <w:color w:val="000000"/>
        </w:rPr>
        <w:t>revenue</w:t>
      </w:r>
      <w:r w:rsidR="005616E0" w:rsidRPr="004E70CE">
        <w:rPr>
          <w:color w:val="000000"/>
        </w:rPr>
        <w:t xml:space="preserve"> (for non-manufacturing sectors)</w:t>
      </w:r>
      <w:r w:rsidR="00D2713E" w:rsidRPr="004E70CE">
        <w:rPr>
          <w:color w:val="000000"/>
        </w:rPr>
        <w:t xml:space="preserve">. The facility must demonstrate the cost impact, including </w:t>
      </w:r>
      <w:r w:rsidR="001E1613" w:rsidRPr="004E70CE">
        <w:rPr>
          <w:color w:val="000000"/>
        </w:rPr>
        <w:t>engaging an independent auditor, before they become eligible.</w:t>
      </w:r>
    </w:p>
    <w:p w14:paraId="6179CC70" w14:textId="77777777" w:rsidR="00751F64" w:rsidRPr="004E70CE" w:rsidRDefault="00B85987" w:rsidP="0042745C">
      <w:r w:rsidRPr="004E70CE">
        <w:rPr>
          <w:color w:val="000000"/>
        </w:rPr>
        <w:t>Because a</w:t>
      </w:r>
      <w:r w:rsidR="00751F64" w:rsidRPr="004E70CE">
        <w:rPr>
          <w:color w:val="000000"/>
        </w:rPr>
        <w:t xml:space="preserve"> border carbon adjustment for a particular </w:t>
      </w:r>
      <w:r w:rsidR="00F82E6D" w:rsidRPr="004E70CE">
        <w:rPr>
          <w:color w:val="000000"/>
        </w:rPr>
        <w:t>commodity</w:t>
      </w:r>
      <w:r w:rsidR="00751F64" w:rsidRPr="004E70CE">
        <w:rPr>
          <w:color w:val="000000"/>
        </w:rPr>
        <w:t xml:space="preserve"> would ensure that imports would receive equivalent policy treatment as domestic production,</w:t>
      </w:r>
      <w:r w:rsidR="003373C8" w:rsidRPr="004E70CE">
        <w:rPr>
          <w:color w:val="000000"/>
        </w:rPr>
        <w:t xml:space="preserve"> this would remove the policy basis for TEBA for </w:t>
      </w:r>
      <w:r w:rsidR="00F82E6D" w:rsidRPr="004E70CE">
        <w:rPr>
          <w:color w:val="000000"/>
        </w:rPr>
        <w:t xml:space="preserve">producers of </w:t>
      </w:r>
      <w:r w:rsidR="003373C8" w:rsidRPr="004E70CE">
        <w:rPr>
          <w:color w:val="000000"/>
        </w:rPr>
        <w:t xml:space="preserve">that </w:t>
      </w:r>
      <w:r w:rsidR="00F82E6D" w:rsidRPr="004E70CE">
        <w:rPr>
          <w:color w:val="000000"/>
        </w:rPr>
        <w:t>commodity</w:t>
      </w:r>
      <w:r w:rsidR="003373C8" w:rsidRPr="004E70CE">
        <w:rPr>
          <w:color w:val="000000"/>
        </w:rPr>
        <w:t xml:space="preserve">. </w:t>
      </w:r>
      <w:r w:rsidR="00AB325B" w:rsidRPr="004E70CE">
        <w:rPr>
          <w:color w:val="000000"/>
        </w:rPr>
        <w:t xml:space="preserve">TEBA allocation could </w:t>
      </w:r>
      <w:r w:rsidR="0038329B" w:rsidRPr="004E70CE">
        <w:rPr>
          <w:color w:val="000000"/>
        </w:rPr>
        <w:t xml:space="preserve">therefore </w:t>
      </w:r>
      <w:r w:rsidR="00AB325B" w:rsidRPr="004E70CE">
        <w:rPr>
          <w:color w:val="000000"/>
        </w:rPr>
        <w:t xml:space="preserve">be removed or phased out. </w:t>
      </w:r>
      <w:r w:rsidR="00751F64" w:rsidRPr="004E70CE">
        <w:t xml:space="preserve">This is in line with the EU approach of phasing in the CBAM alongside the phase out of free allocations under the ETS. </w:t>
      </w:r>
    </w:p>
    <w:p w14:paraId="18A4BF94" w14:textId="77777777" w:rsidR="00DB5AC3" w:rsidRPr="004E70CE" w:rsidRDefault="000F0393" w:rsidP="0042745C">
      <w:r w:rsidRPr="004E70CE">
        <w:t>Furthermore, if a border carbon adjustment is introduced</w:t>
      </w:r>
      <w:r w:rsidR="00B5720B" w:rsidRPr="004E70CE">
        <w:t>,</w:t>
      </w:r>
      <w:r w:rsidRPr="004E70CE">
        <w:t xml:space="preserve"> then the number of facilities </w:t>
      </w:r>
      <w:r w:rsidR="00377AB1" w:rsidRPr="004E70CE">
        <w:t xml:space="preserve">that qualify for TEBA should </w:t>
      </w:r>
      <w:r w:rsidR="00CE5729" w:rsidRPr="004E70CE">
        <w:t>lower significantly</w:t>
      </w:r>
      <w:r w:rsidR="00B5720B" w:rsidRPr="004E70CE">
        <w:t xml:space="preserve"> since a</w:t>
      </w:r>
      <w:r w:rsidR="00CE5729" w:rsidRPr="004E70CE">
        <w:t xml:space="preserve"> border carbon adjustment allows </w:t>
      </w:r>
      <w:r w:rsidR="00DB5AC3" w:rsidRPr="004E70CE">
        <w:t xml:space="preserve">pass through </w:t>
      </w:r>
      <w:r w:rsidR="00B5720B" w:rsidRPr="004E70CE">
        <w:t xml:space="preserve">of </w:t>
      </w:r>
      <w:r w:rsidR="00DB5AC3" w:rsidRPr="004E70CE">
        <w:t>carbon costs</w:t>
      </w:r>
      <w:r w:rsidR="00CE5729" w:rsidRPr="004E70CE">
        <w:t xml:space="preserve">. </w:t>
      </w:r>
    </w:p>
    <w:p w14:paraId="035650E9" w14:textId="77777777" w:rsidR="00751F64" w:rsidRPr="004E70CE" w:rsidRDefault="00751F64" w:rsidP="0042745C">
      <w:r w:rsidRPr="004E70CE">
        <w:t xml:space="preserve">Some industry submissions proposed that TEBA arrangements should be retained, even with the introduction of a border carbon adjustment, to provide an ultimate back stop to prevent leakage risk for any facility still facing particularly high costs. </w:t>
      </w:r>
    </w:p>
    <w:p w14:paraId="216A9A57" w14:textId="77777777" w:rsidR="00DA1DD8" w:rsidRPr="004E70CE" w:rsidRDefault="00DA1DD8" w:rsidP="0042745C">
      <w:r w:rsidRPr="004E70CE">
        <w:t xml:space="preserve">If the facilities have a higher cost base because they remain more carbon intensive than their competitors, the only remaining basis for supporting such a facility would be reasons other than </w:t>
      </w:r>
      <w:r w:rsidR="1DFF31E4" w:rsidRPr="004E70CE">
        <w:t xml:space="preserve">differential </w:t>
      </w:r>
      <w:r w:rsidR="5FA37459" w:rsidRPr="004E70CE">
        <w:t>climate</w:t>
      </w:r>
      <w:r w:rsidRPr="004E70CE">
        <w:t xml:space="preserve"> policy</w:t>
      </w:r>
      <w:r w:rsidR="00764272" w:rsidRPr="004E70CE">
        <w:t>.</w:t>
      </w:r>
      <w:r w:rsidR="007B4C71" w:rsidRPr="004E70CE">
        <w:t xml:space="preserve"> </w:t>
      </w:r>
      <w:r w:rsidR="00764272" w:rsidRPr="004E70CE">
        <w:t xml:space="preserve">Such a policy </w:t>
      </w:r>
      <w:r w:rsidR="007B4C71" w:rsidRPr="004E70CE">
        <w:t>would therefore be best delivered through an approach outside the Safeguard Mechanism’s TEBA arrangements.</w:t>
      </w:r>
    </w:p>
    <w:p w14:paraId="11AFCF14" w14:textId="77777777" w:rsidR="00FB3CBF" w:rsidRPr="004E70CE" w:rsidRDefault="00D2355C" w:rsidP="0042745C">
      <w:r w:rsidRPr="004E70CE">
        <w:t xml:space="preserve">Retaining </w:t>
      </w:r>
      <w:r w:rsidR="00C75FBD" w:rsidRPr="004E70CE">
        <w:t xml:space="preserve">or phasing out </w:t>
      </w:r>
      <w:r w:rsidRPr="004E70CE">
        <w:t xml:space="preserve">TEBA with a border carbon adjustment would create complexity in determining the relevant border carbon adjustment liability. Given the intention to equalise costs across domestic production and imports, any TEBA allocation would need to be reflected in the liability calculation. This calculation would be particularly complex if different facilities </w:t>
      </w:r>
      <w:r w:rsidR="006210F4" w:rsidRPr="004E70CE">
        <w:t xml:space="preserve">producing a commodity </w:t>
      </w:r>
      <w:r w:rsidRPr="004E70CE">
        <w:t>received different adjustments under TEBA.</w:t>
      </w:r>
    </w:p>
    <w:p w14:paraId="20A7F315" w14:textId="77777777" w:rsidR="00D2355C" w:rsidRPr="004E70CE" w:rsidRDefault="00D2355C" w:rsidP="0042745C">
      <w:r w:rsidRPr="004E70CE">
        <w:t xml:space="preserve">The retention of TEBA with a border carbon adjustment raises international trade law concerns, particularly regarding the principle of non-discrimination. </w:t>
      </w:r>
    </w:p>
    <w:p w14:paraId="662524AC" w14:textId="77777777" w:rsidR="00F20EC9" w:rsidRPr="004E70CE" w:rsidRDefault="00F20EC9" w:rsidP="0042745C">
      <w:r w:rsidRPr="004E70CE">
        <w:t xml:space="preserve">Retaining TEBA </w:t>
      </w:r>
      <w:r w:rsidR="00E7290C" w:rsidRPr="004E70CE">
        <w:t xml:space="preserve">for sectors </w:t>
      </w:r>
      <w:r w:rsidRPr="004E70CE">
        <w:t xml:space="preserve">with a border carbon adjustment would also continue the limits on emissions reduction contribution from </w:t>
      </w:r>
      <w:r w:rsidR="00E7290C" w:rsidRPr="004E70CE">
        <w:t>those sectors</w:t>
      </w:r>
      <w:r w:rsidRPr="004E70CE">
        <w:t>.</w:t>
      </w:r>
    </w:p>
    <w:p w14:paraId="39FCD598" w14:textId="77777777" w:rsidR="00751F64" w:rsidRPr="004E70CE" w:rsidRDefault="00751F64" w:rsidP="0042745C">
      <w:r w:rsidRPr="004E70CE">
        <w:t xml:space="preserve">Overall, the </w:t>
      </w:r>
      <w:r w:rsidR="00E7290C" w:rsidRPr="004E70CE">
        <w:t>R</w:t>
      </w:r>
      <w:r w:rsidRPr="004E70CE">
        <w:t xml:space="preserve">eview sees merit in the potential to </w:t>
      </w:r>
      <w:r w:rsidR="00C75FBD" w:rsidRPr="004E70CE">
        <w:t xml:space="preserve">remove or </w:t>
      </w:r>
      <w:r w:rsidR="00B45372" w:rsidRPr="004E70CE">
        <w:t>phase out</w:t>
      </w:r>
      <w:r w:rsidRPr="004E70CE">
        <w:t xml:space="preserve"> TEBA for </w:t>
      </w:r>
      <w:r w:rsidR="00E7290C" w:rsidRPr="004E70CE">
        <w:t>sectors where</w:t>
      </w:r>
      <w:r w:rsidRPr="004E70CE">
        <w:t xml:space="preserve"> a border carbon adjustment</w:t>
      </w:r>
      <w:r w:rsidR="00E7290C" w:rsidRPr="004E70CE">
        <w:t xml:space="preserve"> is introduced</w:t>
      </w:r>
      <w:r w:rsidRPr="004E70CE">
        <w:t xml:space="preserve">. Implementation of the TEBA removal could take a phased approach, </w:t>
      </w:r>
      <w:r w:rsidR="1983E95E" w:rsidRPr="004E70CE">
        <w:t xml:space="preserve">in line with or </w:t>
      </w:r>
      <w:r w:rsidR="28FDB5C9" w:rsidRPr="004E70CE">
        <w:t>following</w:t>
      </w:r>
      <w:r w:rsidRPr="004E70CE">
        <w:t xml:space="preserve"> introduction of a border carbon adjustment.</w:t>
      </w:r>
    </w:p>
    <w:p w14:paraId="6B9703A4" w14:textId="28A7E831" w:rsidR="0027219B" w:rsidRPr="004E70CE" w:rsidRDefault="0027219B">
      <w:pPr>
        <w:spacing w:after="0" w:line="240" w:lineRule="auto"/>
        <w:rPr>
          <w:rFonts w:cstheme="minorHAnsi"/>
        </w:rPr>
      </w:pPr>
      <w:r w:rsidRPr="004E70CE">
        <w:rPr>
          <w:rFonts w:cstheme="minorHAnsi"/>
        </w:rPr>
        <w:br w:type="page"/>
      </w:r>
    </w:p>
    <w:p w14:paraId="745FA8EA" w14:textId="77777777" w:rsidR="0064719D" w:rsidRPr="004E70CE" w:rsidRDefault="0064719D" w:rsidP="0064719D">
      <w:pPr>
        <w:pStyle w:val="Heading2"/>
        <w:numPr>
          <w:ilvl w:val="0"/>
          <w:numId w:val="26"/>
        </w:numPr>
        <w:spacing w:after="200" w:line="276" w:lineRule="auto"/>
      </w:pPr>
      <w:bookmarkStart w:id="27" w:name="_Toc166871097"/>
      <w:bookmarkStart w:id="28" w:name="_Toc171870463"/>
      <w:bookmarkStart w:id="29" w:name="_Toc173997669"/>
      <w:r w:rsidRPr="004E70CE">
        <w:lastRenderedPageBreak/>
        <w:t>Modelling a border carbon adjustment for Australia</w:t>
      </w:r>
      <w:bookmarkEnd w:id="27"/>
      <w:bookmarkEnd w:id="28"/>
      <w:bookmarkEnd w:id="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85F8A" w:rsidRPr="004E70CE" w14:paraId="703E0C32" w14:textId="77777777" w:rsidTr="00A963EA">
        <w:tc>
          <w:tcPr>
            <w:tcW w:w="9016" w:type="dxa"/>
          </w:tcPr>
          <w:p w14:paraId="1B94C0BA" w14:textId="71DEFAF3" w:rsidR="00085F8A" w:rsidRPr="004E70CE" w:rsidRDefault="00085F8A" w:rsidP="00A963EA">
            <w:pPr>
              <w:pStyle w:val="Calloutbox"/>
              <w:spacing w:before="0" w:after="200" w:line="276" w:lineRule="auto"/>
              <w:rPr>
                <w:b/>
              </w:rPr>
            </w:pPr>
            <w:r w:rsidRPr="004E70CE">
              <w:rPr>
                <w:b/>
              </w:rPr>
              <w:t xml:space="preserve">Preliminary findings </w:t>
            </w:r>
            <w:r w:rsidR="00E352A9">
              <w:rPr>
                <w:b/>
              </w:rPr>
              <w:t>for consultation</w:t>
            </w:r>
          </w:p>
          <w:p w14:paraId="34B267CD" w14:textId="77777777" w:rsidR="00085F8A" w:rsidRPr="004E70CE" w:rsidRDefault="00085F8A" w:rsidP="00A963EA">
            <w:pPr>
              <w:pStyle w:val="Calloutbox"/>
              <w:spacing w:before="0" w:after="200" w:line="276" w:lineRule="auto"/>
            </w:pPr>
            <w:r w:rsidRPr="004E70CE">
              <w:t xml:space="preserve">The Review used a variety of analytical tools to assess the potential impacts of border carbon adjustments on prices and output.  </w:t>
            </w:r>
          </w:p>
          <w:p w14:paraId="3B450135" w14:textId="77777777" w:rsidR="00085F8A" w:rsidRPr="004E70CE" w:rsidRDefault="00085F8A" w:rsidP="00A963EA">
            <w:pPr>
              <w:pStyle w:val="Calloutbox"/>
              <w:spacing w:before="0" w:after="200" w:line="276" w:lineRule="auto"/>
            </w:pPr>
            <w:r w:rsidRPr="004E70CE">
              <w:t xml:space="preserve">None of this analysis found material impacts on the macroeconomy.  </w:t>
            </w:r>
          </w:p>
          <w:p w14:paraId="614C3102" w14:textId="77777777" w:rsidR="00085F8A" w:rsidRPr="004E70CE" w:rsidRDefault="00085F8A" w:rsidP="00A963EA">
            <w:pPr>
              <w:pStyle w:val="Calloutbox"/>
              <w:spacing w:before="0" w:after="200" w:line="276" w:lineRule="auto"/>
              <w:rPr>
                <w:rStyle w:val="eop"/>
                <w:rFonts w:ascii="Calibri" w:hAnsi="Calibri" w:cs="Calibri"/>
              </w:rPr>
            </w:pPr>
            <w:r w:rsidRPr="004E70CE">
              <w:t xml:space="preserve">Computable General Equilibrium (CGE) modelling of a potential border carbon adjustment on cement, clinker, lime, steel, ammonia and ammonia derivatives shows </w:t>
            </w:r>
            <w:r w:rsidRPr="004E70CE">
              <w:rPr>
                <w:rStyle w:val="eop"/>
                <w:rFonts w:ascii="Calibri" w:hAnsi="Calibri" w:cs="Calibri"/>
              </w:rPr>
              <w:t xml:space="preserve">no material impact on aggregate economic activity and negligible changes to imports and exports when compared to current policy settings. </w:t>
            </w:r>
          </w:p>
          <w:p w14:paraId="43010300" w14:textId="77777777" w:rsidR="00085F8A" w:rsidRPr="004E70CE" w:rsidRDefault="00085F8A" w:rsidP="00A963EA">
            <w:pPr>
              <w:pStyle w:val="Calloutbox"/>
              <w:spacing w:before="0" w:after="200" w:line="276" w:lineRule="auto"/>
            </w:pPr>
            <w:r w:rsidRPr="004E70CE">
              <w:t xml:space="preserve">Input-Output analysis indicates that the impact of a border carbon adjustment on downstream activity, such as construction, would be very limited. </w:t>
            </w:r>
          </w:p>
          <w:p w14:paraId="18DCF8B6" w14:textId="77777777" w:rsidR="00085F8A" w:rsidRPr="004E70CE" w:rsidRDefault="00085F8A" w:rsidP="00A963EA">
            <w:pPr>
              <w:pStyle w:val="Calloutbox"/>
              <w:spacing w:before="0" w:after="200" w:line="276" w:lineRule="auto"/>
            </w:pPr>
            <w:r w:rsidRPr="004E70CE">
              <w:t>The analysis suggests that the maximum price impacts on goods, such as wind farms, house construction and crops like wheat, would also be very small.</w:t>
            </w:r>
          </w:p>
        </w:tc>
      </w:tr>
    </w:tbl>
    <w:p w14:paraId="1766CF34" w14:textId="77777777" w:rsidR="00085F8A" w:rsidRPr="004E70CE" w:rsidRDefault="00085F8A" w:rsidP="00085F8A">
      <w:r w:rsidRPr="004E70CE">
        <w:t xml:space="preserve">Indicative modelling of a border carbon adjustment was undertaken using an integrated modelling framework that combines sectoral, domestic and global models. Modelling presents an economic assessment of potential policies designed to address carbon leakage. The modelling is focused on </w:t>
      </w:r>
      <w:r w:rsidRPr="004E70CE" w:rsidDel="009A4B1D">
        <w:t xml:space="preserve">a </w:t>
      </w:r>
      <w:r w:rsidRPr="004E70CE">
        <w:t xml:space="preserve">border carbon adjustment in combination with current settings under the Safeguard Mechanism, and a comparison with the option to remove TEBA for sectors covered by a border carbon adjustment. This modelling complements the economic analysis of a border carbon adjustment (see </w:t>
      </w:r>
      <w:r w:rsidRPr="004E70CE">
        <w:rPr>
          <w:b/>
        </w:rPr>
        <w:t>Section 3.3</w:t>
      </w:r>
      <w:r w:rsidRPr="004E70CE">
        <w:t>).</w:t>
      </w:r>
    </w:p>
    <w:p w14:paraId="5E27CD3D" w14:textId="77777777" w:rsidR="00085F8A" w:rsidRPr="004E70CE" w:rsidRDefault="00085F8A" w:rsidP="00085F8A">
      <w:r w:rsidRPr="004E70CE">
        <w:t xml:space="preserve">Modelling has focused on cement, clinker, lime, steel, ammonia and ammonia derivatives to demonstrate the possible economic effects of a border carbon adjustment on multiple sectors. The Review’s preliminary assessment is that these sectors may be suitable for consideration of a border carbon adjustment (see </w:t>
      </w:r>
      <w:r w:rsidRPr="004E70CE">
        <w:rPr>
          <w:b/>
        </w:rPr>
        <w:t>Section 3.4</w:t>
      </w:r>
      <w:r w:rsidRPr="004E70CE">
        <w:t xml:space="preserve">). One set of scenarios applies a border carbon adjustment on cement, clinker and lime only, and a second set of scenarios applies the adjustment to all sectors. </w:t>
      </w:r>
    </w:p>
    <w:p w14:paraId="37F984B6" w14:textId="77777777" w:rsidR="00085F8A" w:rsidRPr="004E70CE" w:rsidRDefault="00085F8A" w:rsidP="00085F8A">
      <w:r w:rsidRPr="004E70CE">
        <w:t>Climate policy modelling is highly complex. There are many data sources and assumptions that are used throughout this process. This modelling is illustrative of possible scenarios that could emerge, but each scenario represents only one possible outcome. Therefore, the economic outcomes of these scenarios should not be viewed as predictions or forecasts, but as an illustrative description of a possible future outcome given a potential carbon leakage policy.</w:t>
      </w:r>
    </w:p>
    <w:p w14:paraId="7A651501" w14:textId="77777777" w:rsidR="00085F8A" w:rsidRPr="004E70CE" w:rsidRDefault="00085F8A" w:rsidP="00085F8A">
      <w:r w:rsidRPr="004E70CE">
        <w:t>Details of the modelling approach and scenarios are contained within the Annex.</w:t>
      </w:r>
    </w:p>
    <w:p w14:paraId="12E3ADDE" w14:textId="77777777" w:rsidR="00085F8A" w:rsidRPr="004E70CE" w:rsidRDefault="00085F8A" w:rsidP="00085F8A">
      <w:pPr>
        <w:pStyle w:val="Heading3"/>
        <w:numPr>
          <w:ilvl w:val="1"/>
          <w:numId w:val="26"/>
        </w:numPr>
        <w:spacing w:line="276" w:lineRule="auto"/>
      </w:pPr>
      <w:bookmarkStart w:id="30" w:name="_Toc169621822"/>
      <w:bookmarkStart w:id="31" w:name="_Toc173997670"/>
      <w:r w:rsidRPr="004E70CE">
        <w:lastRenderedPageBreak/>
        <w:t>Potential border carbon adjustment scenario options</w:t>
      </w:r>
      <w:bookmarkEnd w:id="30"/>
      <w:bookmarkEnd w:id="31"/>
    </w:p>
    <w:p w14:paraId="4391E3B5" w14:textId="77777777" w:rsidR="00085F8A" w:rsidRPr="004E70CE" w:rsidRDefault="00085F8A" w:rsidP="00085F8A">
      <w:r w:rsidRPr="004E70CE">
        <w:t xml:space="preserve">Two policy options for introducing a potential border carbon adjustment within Australia have been explored to examine how they may address carbon leakage risk in the Australian economy. </w:t>
      </w:r>
    </w:p>
    <w:p w14:paraId="4ED96A39" w14:textId="77777777" w:rsidR="00085F8A" w:rsidRPr="004E70CE" w:rsidRDefault="00085F8A" w:rsidP="00085F8A">
      <w:r w:rsidRPr="004E70CE">
        <w:t xml:space="preserve">Scenario one models the introduction of a border carbon adjustment for imports of steel, cement, clinker, lime, and ammonia including derivatives, with current Safeguard Mechanism arrangements. This option has a minimal impact on the Australian economy. </w:t>
      </w:r>
    </w:p>
    <w:p w14:paraId="05CCF3E3" w14:textId="77777777" w:rsidR="00085F8A" w:rsidRPr="004E70CE" w:rsidRDefault="00085F8A" w:rsidP="00085F8A">
      <w:r w:rsidRPr="004E70CE">
        <w:t>Scenario two models the option of introducing a border carbon adjustment for imports of steel, cement, clinker, lime, and ammonia including derivatives,</w:t>
      </w:r>
      <w:r w:rsidRPr="004E70CE" w:rsidDel="00855032">
        <w:t xml:space="preserve"> </w:t>
      </w:r>
      <w:r w:rsidRPr="004E70CE">
        <w:t xml:space="preserve">in combination with removing TEBA for these sectors. Total Safeguard emissions reductions are held constant to ensure comparability of economic effects. </w:t>
      </w:r>
    </w:p>
    <w:p w14:paraId="22B50383" w14:textId="77777777" w:rsidR="00085F8A" w:rsidRPr="004E70CE" w:rsidRDefault="00085F8A" w:rsidP="00085F8A">
      <w:pPr>
        <w:rPr>
          <w:b/>
        </w:rPr>
      </w:pPr>
      <w:r w:rsidRPr="004E70CE">
        <w:rPr>
          <w:b/>
        </w:rPr>
        <w:t>4.1.1 Modelling the border carbon adjustment liability</w:t>
      </w:r>
    </w:p>
    <w:p w14:paraId="15548D56" w14:textId="77777777" w:rsidR="00085F8A" w:rsidRPr="004E70CE" w:rsidRDefault="00085F8A" w:rsidP="00085F8A">
      <w:r w:rsidRPr="004E70CE">
        <w:t xml:space="preserve">The modelling uses a stylised representation of how a border carbon adjustment would be implemented. While in practice any border carbon adjustment would be based on facility-level emissions intensity for different producers of goods imported to Australia, the CGE modelling is undertaken at an industry level. This necessarily assumes that there is a representative Safeguard firm in an industry and that its behaviour is identical to that of the rest of the industry. In many industries, Safeguard firms do represent the bulk (or all) of the economic activity. </w:t>
      </w:r>
    </w:p>
    <w:p w14:paraId="67BEE06D" w14:textId="77777777" w:rsidR="00085F8A" w:rsidRPr="004E70CE" w:rsidRDefault="00085F8A" w:rsidP="00085F8A">
      <w:r w:rsidRPr="004E70CE">
        <w:t xml:space="preserve">As discussed in </w:t>
      </w:r>
      <w:r w:rsidRPr="004E70CE">
        <w:rPr>
          <w:b/>
        </w:rPr>
        <w:t>Section 3.3</w:t>
      </w:r>
      <w:r w:rsidRPr="004E70CE">
        <w:t xml:space="preserve">, facility-level emissions intensity data is not available for most trading partners. The global CGE model, GTEM, uses industry-level data for each country from the Global Trade Analysis Project (GTAP) database.  This database does not have capability to represent intra-country variation or variation at a facility level. Emissions intensity is represented using GTAP data for each trading partner at the country-level, where available for each sector. Differences between trading partners are illustrated through different assumptions about the effective carbon price applied. </w:t>
      </w:r>
    </w:p>
    <w:p w14:paraId="20B49AAE" w14:textId="151663B1" w:rsidR="00085F8A" w:rsidRPr="004E70CE" w:rsidRDefault="00085F8A" w:rsidP="00085F8A">
      <w:r w:rsidRPr="004E70CE">
        <w:t>An effective carbon price for Australia is calculated by scaling the projected future ACCU price by the proportion of emissions reductions under the Safeguard Mechanism. This scaling is also applied to international trading partners to account for the effective discount from baselines.</w:t>
      </w:r>
      <w:r w:rsidRPr="004E70CE">
        <w:rPr>
          <w:rStyle w:val="FootnoteReference"/>
        </w:rPr>
        <w:footnoteReference w:id="104"/>
      </w:r>
      <w:r w:rsidRPr="004E70CE">
        <w:t xml:space="preserve"> These scenarios do not represent forecasts, but are instead illustrative model estimates based on a specific set of assumptions. As such, they are intended to help support an understanding of various potential carbon border adjustment scenarios.  </w:t>
      </w:r>
    </w:p>
    <w:p w14:paraId="5C219162" w14:textId="77777777" w:rsidR="00417D5D" w:rsidRDefault="00417D5D">
      <w:pPr>
        <w:spacing w:after="0" w:line="240" w:lineRule="auto"/>
        <w:rPr>
          <w:rFonts w:ascii="Calibri" w:eastAsia="Times New Roman" w:hAnsi="Calibri" w:cs="Times New Roman"/>
          <w:b/>
          <w:bCs/>
          <w:sz w:val="36"/>
          <w:szCs w:val="24"/>
        </w:rPr>
      </w:pPr>
      <w:bookmarkStart w:id="32" w:name="_Toc169621823"/>
      <w:bookmarkStart w:id="33" w:name="_Toc173997671"/>
      <w:r>
        <w:br w:type="page"/>
      </w:r>
    </w:p>
    <w:p w14:paraId="4B9EB9F6" w14:textId="2EB4760D" w:rsidR="00085F8A" w:rsidRPr="004E70CE" w:rsidRDefault="00085F8A" w:rsidP="00085F8A">
      <w:pPr>
        <w:pStyle w:val="Heading3"/>
        <w:numPr>
          <w:ilvl w:val="1"/>
          <w:numId w:val="26"/>
        </w:numPr>
        <w:spacing w:line="276" w:lineRule="auto"/>
      </w:pPr>
      <w:r w:rsidRPr="004E70CE">
        <w:lastRenderedPageBreak/>
        <w:t>Potential macroeconomic impacts</w:t>
      </w:r>
      <w:bookmarkEnd w:id="32"/>
      <w:bookmarkEnd w:id="33"/>
    </w:p>
    <w:p w14:paraId="2350E76A" w14:textId="77777777" w:rsidR="00085F8A" w:rsidRPr="004E70CE" w:rsidRDefault="00085F8A" w:rsidP="00085F8A">
      <w:r w:rsidRPr="004E70CE">
        <w:t xml:space="preserve">The modelled scenarios explored in the Review provide several insights into the potential impact of different options and approaches to implementing a potential border carbon adjustment for selected sectors. </w:t>
      </w:r>
    </w:p>
    <w:p w14:paraId="71CA8733" w14:textId="77777777" w:rsidR="00085F8A" w:rsidRPr="004E70CE" w:rsidRDefault="00085F8A" w:rsidP="00085F8A">
      <w:r w:rsidRPr="004E70CE">
        <w:t xml:space="preserve">The modelling shows </w:t>
      </w:r>
      <w:r w:rsidRPr="004E70CE">
        <w:rPr>
          <w:rStyle w:val="eop"/>
          <w:rFonts w:ascii="Calibri" w:hAnsi="Calibri" w:cs="Calibri"/>
        </w:rPr>
        <w:t>no impact on aggregate economic activity and negligible changes to imports and exports when compared to current policy settings</w:t>
      </w:r>
      <w:r w:rsidRPr="004E70CE" w:rsidDel="00C25997">
        <w:rPr>
          <w:rStyle w:val="eop"/>
          <w:rFonts w:ascii="Calibri" w:hAnsi="Calibri" w:cs="Calibri"/>
        </w:rPr>
        <w:t xml:space="preserve"> (Table </w:t>
      </w:r>
      <w:r w:rsidRPr="004E70CE">
        <w:rPr>
          <w:rStyle w:val="eop"/>
          <w:rFonts w:ascii="Calibri" w:hAnsi="Calibri" w:cs="Calibri"/>
        </w:rPr>
        <w:t>6</w:t>
      </w:r>
      <w:r w:rsidRPr="004E70CE" w:rsidDel="00C25997">
        <w:rPr>
          <w:rStyle w:val="eop"/>
          <w:rFonts w:ascii="Calibri" w:hAnsi="Calibri" w:cs="Calibri"/>
        </w:rPr>
        <w:t>).</w:t>
      </w:r>
      <w:r w:rsidRPr="004E70CE">
        <w:rPr>
          <w:rStyle w:val="eop"/>
          <w:rFonts w:ascii="Calibri" w:hAnsi="Calibri" w:cs="Calibri"/>
        </w:rPr>
        <w:t xml:space="preserve"> The small increase in Australia’s net CO</w:t>
      </w:r>
      <w:r w:rsidRPr="004E70CE">
        <w:rPr>
          <w:rStyle w:val="eop"/>
          <w:rFonts w:ascii="Calibri" w:hAnsi="Calibri" w:cs="Calibri"/>
          <w:vertAlign w:val="subscript"/>
        </w:rPr>
        <w:t>2</w:t>
      </w:r>
      <w:r w:rsidRPr="004E70CE">
        <w:rPr>
          <w:rStyle w:val="eop"/>
          <w:rFonts w:ascii="Calibri" w:hAnsi="Calibri" w:cs="Calibri"/>
        </w:rPr>
        <w:t>-e emissions is due to production remaining in Australia.</w:t>
      </w:r>
    </w:p>
    <w:p w14:paraId="01B1AA7D" w14:textId="77777777" w:rsidR="00085F8A" w:rsidRPr="004E70CE" w:rsidDel="003540FB" w:rsidRDefault="00085F8A" w:rsidP="00085F8A">
      <w:pPr>
        <w:pStyle w:val="Bullet"/>
        <w:numPr>
          <w:ilvl w:val="0"/>
          <w:numId w:val="0"/>
        </w:numPr>
        <w:spacing w:after="200"/>
        <w:rPr>
          <w:b/>
          <w:color w:val="000000" w:themeColor="text1"/>
          <w:lang w:eastAsia="en-AU"/>
        </w:rPr>
      </w:pPr>
      <w:r w:rsidRPr="004E70CE" w:rsidDel="003540FB">
        <w:rPr>
          <w:b/>
          <w:lang w:eastAsia="en-AU"/>
        </w:rPr>
        <w:t xml:space="preserve">Table </w:t>
      </w:r>
      <w:r w:rsidRPr="004E70CE">
        <w:rPr>
          <w:b/>
          <w:lang w:eastAsia="en-AU"/>
        </w:rPr>
        <w:t>6</w:t>
      </w:r>
      <w:r w:rsidRPr="004E70CE" w:rsidDel="003540FB">
        <w:rPr>
          <w:b/>
          <w:lang w:eastAsia="en-AU"/>
        </w:rPr>
        <w:t>: Summary of potential macroeconomic impacts in 2030 (% deviation from current policy)</w:t>
      </w:r>
    </w:p>
    <w:tbl>
      <w:tblPr>
        <w:tblStyle w:val="ListTable3-Accent1"/>
        <w:tblW w:w="9026" w:type="dxa"/>
        <w:tblLayout w:type="fixed"/>
        <w:tblLook w:val="04A0" w:firstRow="1" w:lastRow="0" w:firstColumn="1" w:lastColumn="0" w:noHBand="0" w:noVBand="1"/>
      </w:tblPr>
      <w:tblGrid>
        <w:gridCol w:w="1805"/>
        <w:gridCol w:w="1805"/>
        <w:gridCol w:w="1805"/>
        <w:gridCol w:w="1805"/>
        <w:gridCol w:w="1806"/>
      </w:tblGrid>
      <w:tr w:rsidR="00393F18" w:rsidRPr="003A7F64" w:rsidDel="003540FB" w14:paraId="76E6DBA1" w14:textId="77777777" w:rsidTr="00393F18">
        <w:trPr>
          <w:cnfStyle w:val="100000000000" w:firstRow="1" w:lastRow="0" w:firstColumn="0" w:lastColumn="0" w:oddVBand="0" w:evenVBand="0" w:oddHBand="0" w:evenHBand="0" w:firstRowFirstColumn="0" w:firstRowLastColumn="0" w:lastRowFirstColumn="0" w:lastRowLastColumn="0"/>
          <w:trHeight w:val="50"/>
        </w:trPr>
        <w:tc>
          <w:tcPr>
            <w:cnfStyle w:val="001000000100" w:firstRow="0" w:lastRow="0" w:firstColumn="1" w:lastColumn="0" w:oddVBand="0" w:evenVBand="0" w:oddHBand="0" w:evenHBand="0" w:firstRowFirstColumn="1" w:firstRowLastColumn="0" w:lastRowFirstColumn="0" w:lastRowLastColumn="0"/>
            <w:tcW w:w="1805" w:type="dxa"/>
            <w:hideMark/>
          </w:tcPr>
          <w:p w14:paraId="17E633BC" w14:textId="77777777" w:rsidR="00085F8A" w:rsidRPr="003A7F64" w:rsidDel="003540FB" w:rsidRDefault="00085F8A" w:rsidP="00A963EA">
            <w:pPr>
              <w:spacing w:after="0"/>
              <w:jc w:val="center"/>
              <w:rPr>
                <w:rFonts w:ascii="Calibri" w:eastAsia="Times New Roman" w:hAnsi="Calibri" w:cs="Calibri"/>
                <w:b w:val="0"/>
                <w:i/>
                <w:sz w:val="20"/>
                <w:szCs w:val="20"/>
                <w:lang w:eastAsia="en-AU"/>
              </w:rPr>
            </w:pPr>
            <w:r w:rsidRPr="003A7F64" w:rsidDel="003540FB">
              <w:rPr>
                <w:rFonts w:ascii="Calibri" w:eastAsia="Times New Roman" w:hAnsi="Calibri" w:cs="Calibri"/>
                <w:sz w:val="20"/>
                <w:szCs w:val="20"/>
                <w:lang w:eastAsia="en-AU"/>
              </w:rPr>
              <w:t>Variable</w:t>
            </w:r>
          </w:p>
        </w:tc>
        <w:tc>
          <w:tcPr>
            <w:tcW w:w="1805" w:type="dxa"/>
            <w:hideMark/>
          </w:tcPr>
          <w:p w14:paraId="755B8139" w14:textId="77777777" w:rsidR="00085F8A" w:rsidRPr="003A7F64" w:rsidDel="003540FB" w:rsidRDefault="00085F8A" w:rsidP="00A963EA">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i/>
                <w:sz w:val="20"/>
                <w:szCs w:val="20"/>
                <w:lang w:eastAsia="en-AU"/>
              </w:rPr>
            </w:pPr>
            <w:r w:rsidRPr="003A7F64" w:rsidDel="003540FB">
              <w:rPr>
                <w:rFonts w:ascii="Calibri" w:eastAsia="Times New Roman" w:hAnsi="Calibri" w:cs="Calibri"/>
                <w:sz w:val="20"/>
                <w:szCs w:val="20"/>
                <w:lang w:eastAsia="en-AU"/>
              </w:rPr>
              <w:t xml:space="preserve">Scenario </w:t>
            </w:r>
            <w:r w:rsidRPr="003A7F64">
              <w:rPr>
                <w:rFonts w:ascii="Calibri" w:eastAsia="Times New Roman" w:hAnsi="Calibri" w:cs="Calibri"/>
                <w:sz w:val="20"/>
                <w:szCs w:val="20"/>
                <w:lang w:eastAsia="en-AU"/>
              </w:rPr>
              <w:t>1</w:t>
            </w:r>
            <w:r w:rsidRPr="003A7F64" w:rsidDel="003540FB">
              <w:rPr>
                <w:rFonts w:ascii="Calibri" w:eastAsia="Times New Roman" w:hAnsi="Calibri" w:cs="Calibri"/>
                <w:sz w:val="20"/>
                <w:szCs w:val="20"/>
                <w:lang w:eastAsia="en-AU"/>
              </w:rPr>
              <w:t xml:space="preserve"> – combined sectors </w:t>
            </w:r>
          </w:p>
        </w:tc>
        <w:tc>
          <w:tcPr>
            <w:tcW w:w="1805" w:type="dxa"/>
            <w:hideMark/>
          </w:tcPr>
          <w:p w14:paraId="527954F4" w14:textId="77777777" w:rsidR="00085F8A" w:rsidRPr="003A7F64" w:rsidDel="003540FB" w:rsidRDefault="00085F8A" w:rsidP="00A963EA">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i/>
                <w:sz w:val="20"/>
                <w:szCs w:val="20"/>
                <w:lang w:eastAsia="en-AU"/>
              </w:rPr>
            </w:pPr>
            <w:r w:rsidRPr="003A7F64" w:rsidDel="003540FB">
              <w:rPr>
                <w:rFonts w:ascii="Calibri" w:eastAsia="Times New Roman" w:hAnsi="Calibri" w:cs="Calibri"/>
                <w:sz w:val="20"/>
                <w:szCs w:val="20"/>
                <w:lang w:eastAsia="en-AU"/>
              </w:rPr>
              <w:t xml:space="preserve">Scenario </w:t>
            </w:r>
            <w:r w:rsidRPr="003A7F64">
              <w:rPr>
                <w:rFonts w:ascii="Calibri" w:eastAsia="Times New Roman" w:hAnsi="Calibri" w:cs="Calibri"/>
                <w:sz w:val="20"/>
                <w:szCs w:val="20"/>
                <w:lang w:eastAsia="en-AU"/>
              </w:rPr>
              <w:t>2</w:t>
            </w:r>
            <w:r w:rsidRPr="003A7F64" w:rsidDel="003540FB">
              <w:rPr>
                <w:rFonts w:ascii="Calibri" w:eastAsia="Times New Roman" w:hAnsi="Calibri" w:cs="Calibri"/>
                <w:sz w:val="20"/>
                <w:szCs w:val="20"/>
                <w:lang w:eastAsia="en-AU"/>
              </w:rPr>
              <w:t xml:space="preserve"> – combined sectors</w:t>
            </w:r>
          </w:p>
        </w:tc>
        <w:tc>
          <w:tcPr>
            <w:tcW w:w="1805" w:type="dxa"/>
          </w:tcPr>
          <w:p w14:paraId="13BCE830" w14:textId="77777777" w:rsidR="00085F8A" w:rsidRPr="003A7F64" w:rsidDel="003540FB" w:rsidRDefault="00085F8A" w:rsidP="00A963EA">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i/>
                <w:sz w:val="20"/>
                <w:szCs w:val="20"/>
                <w:lang w:eastAsia="en-AU"/>
              </w:rPr>
            </w:pPr>
            <w:r w:rsidRPr="003A7F64" w:rsidDel="003540FB">
              <w:rPr>
                <w:rFonts w:ascii="Calibri" w:eastAsia="Times New Roman" w:hAnsi="Calibri" w:cs="Calibri"/>
                <w:sz w:val="20"/>
                <w:szCs w:val="20"/>
                <w:lang w:eastAsia="en-AU"/>
              </w:rPr>
              <w:t xml:space="preserve">Scenario </w:t>
            </w:r>
            <w:r w:rsidRPr="003A7F64">
              <w:rPr>
                <w:rFonts w:ascii="Calibri" w:eastAsia="Times New Roman" w:hAnsi="Calibri" w:cs="Calibri"/>
                <w:sz w:val="20"/>
                <w:szCs w:val="20"/>
                <w:lang w:eastAsia="en-AU"/>
              </w:rPr>
              <w:t>1</w:t>
            </w:r>
            <w:r w:rsidRPr="003A7F64" w:rsidDel="003540FB">
              <w:rPr>
                <w:rFonts w:ascii="Calibri" w:eastAsia="Times New Roman" w:hAnsi="Calibri" w:cs="Calibri"/>
                <w:sz w:val="20"/>
                <w:szCs w:val="20"/>
                <w:lang w:eastAsia="en-AU"/>
              </w:rPr>
              <w:t xml:space="preserve"> – cement only</w:t>
            </w:r>
          </w:p>
        </w:tc>
        <w:tc>
          <w:tcPr>
            <w:tcW w:w="1806" w:type="dxa"/>
          </w:tcPr>
          <w:p w14:paraId="51244138" w14:textId="77777777" w:rsidR="00085F8A" w:rsidRPr="003A7F64" w:rsidDel="003540FB" w:rsidRDefault="00085F8A" w:rsidP="00A963EA">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i/>
                <w:sz w:val="20"/>
                <w:szCs w:val="20"/>
                <w:lang w:eastAsia="en-AU"/>
              </w:rPr>
            </w:pPr>
            <w:r w:rsidRPr="003A7F64" w:rsidDel="003540FB">
              <w:rPr>
                <w:rFonts w:ascii="Calibri" w:eastAsia="Times New Roman" w:hAnsi="Calibri" w:cs="Calibri"/>
                <w:sz w:val="20"/>
                <w:szCs w:val="20"/>
                <w:lang w:eastAsia="en-AU"/>
              </w:rPr>
              <w:t xml:space="preserve">Scenario </w:t>
            </w:r>
            <w:r w:rsidRPr="003A7F64">
              <w:rPr>
                <w:rFonts w:ascii="Calibri" w:eastAsia="Times New Roman" w:hAnsi="Calibri" w:cs="Calibri"/>
                <w:sz w:val="20"/>
                <w:szCs w:val="20"/>
                <w:lang w:eastAsia="en-AU"/>
              </w:rPr>
              <w:t>2</w:t>
            </w:r>
            <w:r w:rsidRPr="003A7F64" w:rsidDel="003540FB">
              <w:rPr>
                <w:rFonts w:ascii="Calibri" w:eastAsia="Times New Roman" w:hAnsi="Calibri" w:cs="Calibri"/>
                <w:sz w:val="20"/>
                <w:szCs w:val="20"/>
                <w:lang w:eastAsia="en-AU"/>
              </w:rPr>
              <w:t xml:space="preserve"> – cement only</w:t>
            </w:r>
          </w:p>
        </w:tc>
      </w:tr>
      <w:tr w:rsidR="00085F8A" w:rsidRPr="003A7F64" w:rsidDel="003540FB" w14:paraId="105F00A3" w14:textId="77777777" w:rsidTr="00393F1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05" w:type="dxa"/>
            <w:noWrap/>
            <w:hideMark/>
          </w:tcPr>
          <w:p w14:paraId="1184AAF9" w14:textId="77777777" w:rsidR="00085F8A" w:rsidRPr="003A7F64" w:rsidDel="003540FB" w:rsidRDefault="00085F8A" w:rsidP="00A963EA">
            <w:pPr>
              <w:spacing w:after="0"/>
              <w:jc w:val="center"/>
              <w:rPr>
                <w:rFonts w:ascii="Calibri" w:eastAsia="Times New Roman" w:hAnsi="Calibri" w:cs="Calibri"/>
                <w:i/>
                <w:color w:val="000000"/>
                <w:sz w:val="20"/>
                <w:szCs w:val="20"/>
                <w:lang w:eastAsia="en-AU"/>
              </w:rPr>
            </w:pPr>
            <w:r w:rsidRPr="003A7F64" w:rsidDel="003540FB">
              <w:rPr>
                <w:rFonts w:ascii="Calibri" w:eastAsia="Times New Roman" w:hAnsi="Calibri" w:cs="Calibri"/>
                <w:color w:val="000000"/>
                <w:sz w:val="20"/>
                <w:szCs w:val="20"/>
                <w:lang w:eastAsia="en-AU"/>
              </w:rPr>
              <w:t xml:space="preserve">Real </w:t>
            </w:r>
            <w:r w:rsidRPr="003A7F64">
              <w:rPr>
                <w:rFonts w:ascii="Calibri" w:eastAsia="Times New Roman" w:hAnsi="Calibri" w:cs="Calibri"/>
                <w:color w:val="000000"/>
                <w:sz w:val="20"/>
                <w:szCs w:val="20"/>
                <w:lang w:eastAsia="en-AU"/>
              </w:rPr>
              <w:t>GDP</w:t>
            </w:r>
          </w:p>
        </w:tc>
        <w:tc>
          <w:tcPr>
            <w:tcW w:w="1805" w:type="dxa"/>
            <w:noWrap/>
            <w:hideMark/>
          </w:tcPr>
          <w:p w14:paraId="299FD31F" w14:textId="77777777" w:rsidR="00085F8A" w:rsidRPr="003A7F64" w:rsidDel="003540FB"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3A7F64" w:rsidDel="003540FB">
              <w:rPr>
                <w:rFonts w:ascii="Calibri" w:eastAsia="Cambria" w:hAnsi="Calibri" w:cs="Calibri"/>
                <w:color w:val="000000"/>
                <w:sz w:val="20"/>
                <w:szCs w:val="20"/>
                <w:lang w:eastAsia="en-AU"/>
              </w:rPr>
              <w:t xml:space="preserve"> ˜</w:t>
            </w:r>
          </w:p>
        </w:tc>
        <w:tc>
          <w:tcPr>
            <w:tcW w:w="1805" w:type="dxa"/>
            <w:noWrap/>
            <w:hideMark/>
          </w:tcPr>
          <w:p w14:paraId="73731CBB" w14:textId="77777777" w:rsidR="00085F8A" w:rsidRPr="003A7F64" w:rsidDel="003540FB"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3A7F64">
              <w:rPr>
                <w:rFonts w:ascii="Calibri" w:eastAsia="Cambria" w:hAnsi="Calibri" w:cs="Calibri"/>
                <w:color w:val="000000"/>
                <w:sz w:val="20"/>
                <w:szCs w:val="20"/>
                <w:lang w:eastAsia="en-AU"/>
              </w:rPr>
              <w:t>-</w:t>
            </w:r>
            <w:r w:rsidRPr="003A7F64" w:rsidDel="003540FB">
              <w:rPr>
                <w:rFonts w:ascii="Calibri" w:eastAsia="Cambria" w:hAnsi="Calibri" w:cs="Calibri"/>
                <w:color w:val="000000"/>
                <w:sz w:val="20"/>
                <w:szCs w:val="20"/>
                <w:lang w:eastAsia="en-AU"/>
              </w:rPr>
              <w:t>0.</w:t>
            </w:r>
            <w:r w:rsidRPr="003A7F64">
              <w:rPr>
                <w:rFonts w:ascii="Calibri" w:eastAsia="Cambria" w:hAnsi="Calibri" w:cs="Calibri"/>
                <w:color w:val="000000"/>
                <w:sz w:val="20"/>
                <w:szCs w:val="20"/>
                <w:lang w:eastAsia="en-AU"/>
              </w:rPr>
              <w:t>002%</w:t>
            </w:r>
          </w:p>
        </w:tc>
        <w:tc>
          <w:tcPr>
            <w:tcW w:w="1805" w:type="dxa"/>
          </w:tcPr>
          <w:p w14:paraId="22223549" w14:textId="77777777" w:rsidR="00085F8A" w:rsidRPr="003A7F64" w:rsidDel="003540FB"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A7F64">
              <w:rPr>
                <w:rFonts w:ascii="Calibri" w:eastAsia="Cambria" w:hAnsi="Calibri" w:cs="Calibri"/>
                <w:color w:val="000000"/>
                <w:sz w:val="20"/>
                <w:szCs w:val="20"/>
                <w:lang w:eastAsia="en-AU"/>
              </w:rPr>
              <w:t>~</w:t>
            </w:r>
          </w:p>
        </w:tc>
        <w:tc>
          <w:tcPr>
            <w:tcW w:w="1806" w:type="dxa"/>
          </w:tcPr>
          <w:p w14:paraId="1562F508" w14:textId="77777777" w:rsidR="00085F8A" w:rsidRPr="003A7F64" w:rsidDel="003540FB"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A7F64" w:rsidDel="003540FB">
              <w:rPr>
                <w:rFonts w:ascii="Calibri" w:eastAsia="Cambria" w:hAnsi="Calibri" w:cs="Calibri"/>
                <w:color w:val="000000"/>
                <w:sz w:val="20"/>
                <w:szCs w:val="20"/>
                <w:lang w:eastAsia="en-AU"/>
              </w:rPr>
              <w:t>˜</w:t>
            </w:r>
          </w:p>
        </w:tc>
      </w:tr>
      <w:tr w:rsidR="00085F8A" w:rsidRPr="003A7F64" w:rsidDel="003540FB" w14:paraId="239B7EA2" w14:textId="77777777" w:rsidTr="00393F18">
        <w:trPr>
          <w:trHeight w:val="240"/>
        </w:trPr>
        <w:tc>
          <w:tcPr>
            <w:cnfStyle w:val="001000000000" w:firstRow="0" w:lastRow="0" w:firstColumn="1" w:lastColumn="0" w:oddVBand="0" w:evenVBand="0" w:oddHBand="0" w:evenHBand="0" w:firstRowFirstColumn="0" w:firstRowLastColumn="0" w:lastRowFirstColumn="0" w:lastRowLastColumn="0"/>
            <w:tcW w:w="1805" w:type="dxa"/>
            <w:noWrap/>
            <w:hideMark/>
          </w:tcPr>
          <w:p w14:paraId="27A820B1" w14:textId="77777777" w:rsidR="00085F8A" w:rsidRPr="003A7F64" w:rsidDel="003540FB" w:rsidRDefault="00085F8A" w:rsidP="00A963EA">
            <w:pPr>
              <w:spacing w:after="0"/>
              <w:jc w:val="center"/>
              <w:rPr>
                <w:rFonts w:ascii="Calibri" w:eastAsia="Times New Roman" w:hAnsi="Calibri" w:cs="Calibri"/>
                <w:i/>
                <w:color w:val="000000"/>
                <w:sz w:val="20"/>
                <w:szCs w:val="20"/>
                <w:lang w:eastAsia="en-AU"/>
              </w:rPr>
            </w:pPr>
            <w:r w:rsidRPr="003A7F64" w:rsidDel="003540FB">
              <w:rPr>
                <w:rFonts w:ascii="Calibri" w:eastAsia="Times New Roman" w:hAnsi="Calibri" w:cs="Calibri"/>
                <w:color w:val="000000"/>
                <w:sz w:val="20"/>
                <w:szCs w:val="20"/>
                <w:lang w:eastAsia="en-AU"/>
              </w:rPr>
              <w:t>Real exports</w:t>
            </w:r>
          </w:p>
        </w:tc>
        <w:tc>
          <w:tcPr>
            <w:tcW w:w="1805" w:type="dxa"/>
            <w:noWrap/>
            <w:hideMark/>
          </w:tcPr>
          <w:p w14:paraId="77FAF7F8" w14:textId="77777777" w:rsidR="00085F8A" w:rsidRPr="003A7F64" w:rsidDel="003540FB" w:rsidRDefault="00085F8A" w:rsidP="00A963EA">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3A7F64">
              <w:rPr>
                <w:rFonts w:ascii="Calibri" w:eastAsia="Cambria" w:hAnsi="Calibri" w:cs="Calibri"/>
                <w:color w:val="000000"/>
                <w:sz w:val="20"/>
                <w:szCs w:val="20"/>
                <w:lang w:eastAsia="en-AU"/>
              </w:rPr>
              <w:t>-</w:t>
            </w:r>
            <w:r w:rsidRPr="003A7F64" w:rsidDel="003540FB">
              <w:rPr>
                <w:rFonts w:ascii="Calibri" w:eastAsia="Cambria" w:hAnsi="Calibri" w:cs="Calibri"/>
                <w:color w:val="000000"/>
                <w:sz w:val="20"/>
                <w:szCs w:val="20"/>
                <w:lang w:eastAsia="en-AU"/>
              </w:rPr>
              <w:t>0.</w:t>
            </w:r>
            <w:r w:rsidRPr="003A7F64">
              <w:rPr>
                <w:rFonts w:ascii="Calibri" w:eastAsia="Cambria" w:hAnsi="Calibri" w:cs="Calibri"/>
                <w:color w:val="000000"/>
                <w:sz w:val="20"/>
                <w:szCs w:val="20"/>
                <w:lang w:eastAsia="en-AU"/>
              </w:rPr>
              <w:t>003%</w:t>
            </w:r>
          </w:p>
        </w:tc>
        <w:tc>
          <w:tcPr>
            <w:tcW w:w="1805" w:type="dxa"/>
            <w:noWrap/>
            <w:hideMark/>
          </w:tcPr>
          <w:p w14:paraId="7207E4D8" w14:textId="77777777" w:rsidR="00085F8A" w:rsidRPr="003A7F64" w:rsidDel="003540FB" w:rsidRDefault="00085F8A" w:rsidP="00A963EA">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3A7F64" w:rsidDel="003540FB">
              <w:rPr>
                <w:rFonts w:ascii="Calibri" w:eastAsia="Cambria" w:hAnsi="Calibri" w:cs="Calibri"/>
                <w:color w:val="000000"/>
                <w:sz w:val="20"/>
                <w:szCs w:val="20"/>
                <w:lang w:eastAsia="en-AU"/>
              </w:rPr>
              <w:t>0.</w:t>
            </w:r>
            <w:r w:rsidRPr="003A7F64">
              <w:rPr>
                <w:rFonts w:ascii="Calibri" w:eastAsia="Cambria" w:hAnsi="Calibri" w:cs="Calibri"/>
                <w:color w:val="000000"/>
                <w:sz w:val="20"/>
                <w:szCs w:val="20"/>
                <w:lang w:eastAsia="en-AU"/>
              </w:rPr>
              <w:t>007%</w:t>
            </w:r>
          </w:p>
        </w:tc>
        <w:tc>
          <w:tcPr>
            <w:tcW w:w="1805" w:type="dxa"/>
          </w:tcPr>
          <w:p w14:paraId="33E32722" w14:textId="77777777" w:rsidR="00085F8A" w:rsidRPr="003A7F64" w:rsidDel="003540FB" w:rsidRDefault="00085F8A" w:rsidP="00A963E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A7F64">
              <w:rPr>
                <w:rFonts w:ascii="Calibri" w:eastAsia="Cambria" w:hAnsi="Calibri" w:cs="Calibri"/>
                <w:color w:val="000000"/>
                <w:sz w:val="20"/>
                <w:szCs w:val="20"/>
                <w:lang w:eastAsia="en-AU"/>
              </w:rPr>
              <w:t>~</w:t>
            </w:r>
          </w:p>
        </w:tc>
        <w:tc>
          <w:tcPr>
            <w:tcW w:w="1806" w:type="dxa"/>
          </w:tcPr>
          <w:p w14:paraId="2C611626" w14:textId="77777777" w:rsidR="00085F8A" w:rsidRPr="003A7F64" w:rsidDel="003540FB" w:rsidRDefault="00085F8A" w:rsidP="00A963E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A7F64" w:rsidDel="003540FB">
              <w:rPr>
                <w:rFonts w:ascii="Calibri" w:eastAsia="Cambria" w:hAnsi="Calibri" w:cs="Calibri"/>
                <w:color w:val="000000"/>
                <w:sz w:val="20"/>
                <w:szCs w:val="20"/>
                <w:lang w:eastAsia="en-AU"/>
              </w:rPr>
              <w:t>0.</w:t>
            </w:r>
            <w:r w:rsidRPr="003A7F64">
              <w:rPr>
                <w:rFonts w:ascii="Calibri" w:eastAsia="Cambria" w:hAnsi="Calibri" w:cs="Calibri"/>
                <w:color w:val="000000"/>
                <w:sz w:val="20"/>
                <w:szCs w:val="20"/>
                <w:lang w:eastAsia="en-AU"/>
              </w:rPr>
              <w:t>001%</w:t>
            </w:r>
          </w:p>
        </w:tc>
      </w:tr>
      <w:tr w:rsidR="00085F8A" w:rsidRPr="003A7F64" w:rsidDel="003540FB" w14:paraId="57A832BA" w14:textId="77777777" w:rsidTr="00393F1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05" w:type="dxa"/>
            <w:noWrap/>
            <w:hideMark/>
          </w:tcPr>
          <w:p w14:paraId="1F55C3A0" w14:textId="77777777" w:rsidR="00085F8A" w:rsidRPr="003A7F64" w:rsidDel="003540FB" w:rsidRDefault="00085F8A" w:rsidP="00A963EA">
            <w:pPr>
              <w:spacing w:after="0"/>
              <w:jc w:val="center"/>
              <w:rPr>
                <w:rFonts w:ascii="Calibri" w:eastAsia="Times New Roman" w:hAnsi="Calibri" w:cs="Calibri"/>
                <w:i/>
                <w:color w:val="000000"/>
                <w:sz w:val="20"/>
                <w:szCs w:val="20"/>
                <w:lang w:eastAsia="en-AU"/>
              </w:rPr>
            </w:pPr>
            <w:r w:rsidRPr="003A7F64" w:rsidDel="003540FB">
              <w:rPr>
                <w:rFonts w:ascii="Calibri" w:eastAsia="Times New Roman" w:hAnsi="Calibri" w:cs="Calibri"/>
                <w:color w:val="000000"/>
                <w:sz w:val="20"/>
                <w:szCs w:val="20"/>
                <w:lang w:eastAsia="en-AU"/>
              </w:rPr>
              <w:t>Real imports</w:t>
            </w:r>
          </w:p>
        </w:tc>
        <w:tc>
          <w:tcPr>
            <w:tcW w:w="1805" w:type="dxa"/>
            <w:noWrap/>
            <w:hideMark/>
          </w:tcPr>
          <w:p w14:paraId="383EA27F" w14:textId="77777777" w:rsidR="00085F8A" w:rsidRPr="003A7F64" w:rsidDel="003540FB"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3A7F64">
              <w:rPr>
                <w:rFonts w:ascii="Calibri" w:eastAsia="Cambria" w:hAnsi="Calibri" w:cs="Calibri"/>
                <w:color w:val="000000"/>
                <w:sz w:val="20"/>
                <w:szCs w:val="20"/>
                <w:lang w:eastAsia="en-AU"/>
              </w:rPr>
              <w:t>-</w:t>
            </w:r>
            <w:r w:rsidRPr="003A7F64" w:rsidDel="003540FB">
              <w:rPr>
                <w:rFonts w:ascii="Calibri" w:eastAsia="Cambria" w:hAnsi="Calibri" w:cs="Calibri"/>
                <w:color w:val="000000"/>
                <w:sz w:val="20"/>
                <w:szCs w:val="20"/>
                <w:lang w:eastAsia="en-AU"/>
              </w:rPr>
              <w:t>0.</w:t>
            </w:r>
            <w:r w:rsidRPr="003A7F64">
              <w:rPr>
                <w:rFonts w:ascii="Calibri" w:eastAsia="Cambria" w:hAnsi="Calibri" w:cs="Calibri"/>
                <w:color w:val="000000"/>
                <w:sz w:val="20"/>
                <w:szCs w:val="20"/>
                <w:lang w:eastAsia="en-AU"/>
              </w:rPr>
              <w:t>004%</w:t>
            </w:r>
          </w:p>
        </w:tc>
        <w:tc>
          <w:tcPr>
            <w:tcW w:w="1805" w:type="dxa"/>
            <w:noWrap/>
            <w:hideMark/>
          </w:tcPr>
          <w:p w14:paraId="55ECC604" w14:textId="77777777" w:rsidR="00085F8A" w:rsidRPr="003A7F64" w:rsidDel="003540FB"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3A7F64" w:rsidDel="003540FB">
              <w:rPr>
                <w:rFonts w:ascii="Calibri" w:eastAsia="Cambria" w:hAnsi="Calibri" w:cs="Calibri"/>
                <w:color w:val="000000"/>
                <w:sz w:val="20"/>
                <w:szCs w:val="20"/>
                <w:lang w:eastAsia="en-AU"/>
              </w:rPr>
              <w:t xml:space="preserve"> ˜</w:t>
            </w:r>
          </w:p>
        </w:tc>
        <w:tc>
          <w:tcPr>
            <w:tcW w:w="1805" w:type="dxa"/>
          </w:tcPr>
          <w:p w14:paraId="77756629" w14:textId="77777777" w:rsidR="00085F8A" w:rsidRPr="003A7F64" w:rsidDel="003540FB"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A7F64">
              <w:rPr>
                <w:rFonts w:ascii="Calibri" w:eastAsia="Cambria" w:hAnsi="Calibri" w:cs="Calibri"/>
                <w:color w:val="000000"/>
                <w:sz w:val="20"/>
                <w:szCs w:val="20"/>
                <w:lang w:eastAsia="en-AU"/>
              </w:rPr>
              <w:t>~</w:t>
            </w:r>
          </w:p>
        </w:tc>
        <w:tc>
          <w:tcPr>
            <w:tcW w:w="1806" w:type="dxa"/>
          </w:tcPr>
          <w:p w14:paraId="6DDD2382" w14:textId="77777777" w:rsidR="00085F8A" w:rsidRPr="003A7F64" w:rsidDel="003540FB"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A7F64" w:rsidDel="003540FB">
              <w:rPr>
                <w:rFonts w:ascii="Calibri" w:eastAsia="Cambria" w:hAnsi="Calibri" w:cs="Calibri"/>
                <w:color w:val="000000"/>
                <w:sz w:val="20"/>
                <w:szCs w:val="20"/>
                <w:lang w:eastAsia="en-AU"/>
              </w:rPr>
              <w:t>0.</w:t>
            </w:r>
            <w:r w:rsidRPr="003A7F64">
              <w:rPr>
                <w:rFonts w:ascii="Calibri" w:eastAsia="Cambria" w:hAnsi="Calibri" w:cs="Calibri"/>
                <w:color w:val="000000"/>
                <w:sz w:val="20"/>
                <w:szCs w:val="20"/>
                <w:lang w:eastAsia="en-AU"/>
              </w:rPr>
              <w:t>002%</w:t>
            </w:r>
          </w:p>
        </w:tc>
      </w:tr>
      <w:tr w:rsidR="00085F8A" w:rsidRPr="003A7F64" w:rsidDel="003540FB" w14:paraId="74189882" w14:textId="77777777" w:rsidTr="00393F18">
        <w:trPr>
          <w:trHeight w:val="240"/>
        </w:trPr>
        <w:tc>
          <w:tcPr>
            <w:cnfStyle w:val="001000000000" w:firstRow="0" w:lastRow="0" w:firstColumn="1" w:lastColumn="0" w:oddVBand="0" w:evenVBand="0" w:oddHBand="0" w:evenHBand="0" w:firstRowFirstColumn="0" w:firstRowLastColumn="0" w:lastRowFirstColumn="0" w:lastRowLastColumn="0"/>
            <w:tcW w:w="1805" w:type="dxa"/>
            <w:noWrap/>
            <w:hideMark/>
          </w:tcPr>
          <w:p w14:paraId="6AAEF730" w14:textId="77777777" w:rsidR="00085F8A" w:rsidRPr="003A7F64" w:rsidDel="003540FB" w:rsidRDefault="00085F8A" w:rsidP="00A963EA">
            <w:pPr>
              <w:spacing w:after="0"/>
              <w:jc w:val="center"/>
              <w:rPr>
                <w:rFonts w:ascii="Calibri" w:eastAsia="Times New Roman" w:hAnsi="Calibri" w:cs="Calibri"/>
                <w:i/>
                <w:color w:val="000000"/>
                <w:sz w:val="20"/>
                <w:szCs w:val="20"/>
                <w:lang w:eastAsia="en-AU"/>
              </w:rPr>
            </w:pPr>
            <w:r w:rsidRPr="003A7F64" w:rsidDel="003540FB">
              <w:rPr>
                <w:rFonts w:ascii="Calibri" w:eastAsia="Times New Roman" w:hAnsi="Calibri" w:cs="Calibri"/>
                <w:color w:val="000000"/>
                <w:sz w:val="20"/>
                <w:szCs w:val="20"/>
                <w:lang w:eastAsia="en-AU"/>
              </w:rPr>
              <w:t>CO</w:t>
            </w:r>
            <w:r w:rsidRPr="003A7F64" w:rsidDel="003540FB">
              <w:rPr>
                <w:rFonts w:ascii="Calibri" w:eastAsia="Times New Roman" w:hAnsi="Calibri" w:cs="Calibri"/>
                <w:color w:val="000000"/>
                <w:sz w:val="20"/>
                <w:szCs w:val="20"/>
                <w:vertAlign w:val="subscript"/>
                <w:lang w:eastAsia="en-AU"/>
              </w:rPr>
              <w:t>2</w:t>
            </w:r>
            <w:r w:rsidRPr="003A7F64">
              <w:rPr>
                <w:rFonts w:ascii="Calibri" w:eastAsia="Times New Roman" w:hAnsi="Calibri" w:cs="Calibri"/>
                <w:color w:val="000000"/>
                <w:sz w:val="20"/>
                <w:szCs w:val="20"/>
                <w:lang w:eastAsia="en-AU"/>
              </w:rPr>
              <w:t>-</w:t>
            </w:r>
            <w:r w:rsidRPr="003A7F64" w:rsidDel="003540FB">
              <w:rPr>
                <w:rFonts w:ascii="Calibri" w:eastAsia="Times New Roman" w:hAnsi="Calibri" w:cs="Calibri"/>
                <w:color w:val="000000"/>
                <w:sz w:val="20"/>
                <w:szCs w:val="20"/>
                <w:lang w:eastAsia="en-AU"/>
              </w:rPr>
              <w:t>e net emissions</w:t>
            </w:r>
          </w:p>
        </w:tc>
        <w:tc>
          <w:tcPr>
            <w:tcW w:w="1805" w:type="dxa"/>
            <w:noWrap/>
            <w:hideMark/>
          </w:tcPr>
          <w:p w14:paraId="554DE2AC" w14:textId="77777777" w:rsidR="00085F8A" w:rsidRPr="003A7F64" w:rsidDel="003540FB" w:rsidRDefault="00085F8A" w:rsidP="00A963EA">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3A7F64" w:rsidDel="003540FB">
              <w:rPr>
                <w:rFonts w:ascii="Calibri" w:eastAsia="Cambria" w:hAnsi="Calibri" w:cs="Calibri"/>
                <w:color w:val="000000"/>
                <w:sz w:val="20"/>
                <w:szCs w:val="20"/>
                <w:lang w:eastAsia="en-AU"/>
              </w:rPr>
              <w:t>0.</w:t>
            </w:r>
            <w:r w:rsidRPr="003A7F64">
              <w:rPr>
                <w:rFonts w:ascii="Calibri" w:eastAsia="Cambria" w:hAnsi="Calibri" w:cs="Calibri"/>
                <w:color w:val="000000"/>
                <w:sz w:val="20"/>
                <w:szCs w:val="20"/>
                <w:lang w:eastAsia="en-AU"/>
              </w:rPr>
              <w:t>001%</w:t>
            </w:r>
          </w:p>
        </w:tc>
        <w:tc>
          <w:tcPr>
            <w:tcW w:w="1805" w:type="dxa"/>
            <w:noWrap/>
            <w:hideMark/>
          </w:tcPr>
          <w:p w14:paraId="27FDD274" w14:textId="77777777" w:rsidR="00085F8A" w:rsidRPr="003A7F64" w:rsidDel="003540FB" w:rsidRDefault="00085F8A" w:rsidP="00A963EA">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3A7F64" w:rsidDel="003540FB">
              <w:rPr>
                <w:rFonts w:ascii="Calibri" w:eastAsia="Cambria" w:hAnsi="Calibri" w:cs="Calibri"/>
                <w:color w:val="000000"/>
                <w:sz w:val="20"/>
                <w:szCs w:val="20"/>
                <w:lang w:eastAsia="en-AU"/>
              </w:rPr>
              <w:t>0.</w:t>
            </w:r>
            <w:r w:rsidRPr="003A7F64">
              <w:rPr>
                <w:rFonts w:ascii="Calibri" w:eastAsia="Cambria" w:hAnsi="Calibri" w:cs="Calibri"/>
                <w:color w:val="000000"/>
                <w:sz w:val="20"/>
                <w:szCs w:val="20"/>
                <w:lang w:eastAsia="en-AU"/>
              </w:rPr>
              <w:t>006%</w:t>
            </w:r>
          </w:p>
        </w:tc>
        <w:tc>
          <w:tcPr>
            <w:tcW w:w="1805" w:type="dxa"/>
          </w:tcPr>
          <w:p w14:paraId="4F7F6A2E" w14:textId="77777777" w:rsidR="00085F8A" w:rsidRPr="003A7F64" w:rsidDel="003540FB" w:rsidRDefault="00085F8A" w:rsidP="00A963E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A7F64">
              <w:rPr>
                <w:rFonts w:ascii="Calibri" w:eastAsia="Cambria" w:hAnsi="Calibri" w:cs="Calibri"/>
                <w:color w:val="000000"/>
                <w:sz w:val="20"/>
                <w:szCs w:val="20"/>
                <w:lang w:eastAsia="en-AU"/>
              </w:rPr>
              <w:t>~</w:t>
            </w:r>
          </w:p>
        </w:tc>
        <w:tc>
          <w:tcPr>
            <w:tcW w:w="1806" w:type="dxa"/>
          </w:tcPr>
          <w:p w14:paraId="66194FD5" w14:textId="703E9EFD" w:rsidR="00085F8A" w:rsidRPr="003A7F64" w:rsidDel="003540FB" w:rsidRDefault="00085F8A" w:rsidP="00A963E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A7F64" w:rsidDel="003540FB">
              <w:rPr>
                <w:rFonts w:ascii="Calibri" w:eastAsia="Cambria" w:hAnsi="Calibri" w:cs="Calibri"/>
                <w:color w:val="000000"/>
                <w:sz w:val="20"/>
                <w:szCs w:val="20"/>
                <w:lang w:eastAsia="en-AU"/>
              </w:rPr>
              <w:t>0.</w:t>
            </w:r>
            <w:r w:rsidRPr="003A7F64">
              <w:rPr>
                <w:rFonts w:ascii="Calibri" w:eastAsia="Cambria" w:hAnsi="Calibri" w:cs="Calibri"/>
                <w:color w:val="000000"/>
                <w:sz w:val="20"/>
                <w:szCs w:val="20"/>
                <w:lang w:eastAsia="en-AU"/>
              </w:rPr>
              <w:t>001%</w:t>
            </w:r>
          </w:p>
        </w:tc>
      </w:tr>
    </w:tbl>
    <w:p w14:paraId="6E9FB646" w14:textId="77777777" w:rsidR="00085F8A" w:rsidRPr="004E70CE" w:rsidDel="003540FB" w:rsidRDefault="00085F8A" w:rsidP="00085F8A">
      <w:pPr>
        <w:spacing w:before="120"/>
        <w:jc w:val="center"/>
        <w:rPr>
          <w:rFonts w:cstheme="minorHAnsi"/>
          <w:sz w:val="20"/>
          <w:szCs w:val="20"/>
        </w:rPr>
      </w:pPr>
      <w:r w:rsidRPr="004E70CE" w:rsidDel="003540FB">
        <w:rPr>
          <w:rFonts w:cstheme="minorHAnsi"/>
          <w:sz w:val="20"/>
          <w:szCs w:val="20"/>
        </w:rPr>
        <w:t xml:space="preserve">Note: ~ The value is smaller than </w:t>
      </w:r>
      <m:oMath>
        <m:r>
          <m:rPr>
            <m:sty m:val="p"/>
          </m:rPr>
          <w:rPr>
            <w:rFonts w:ascii="Cambria Math" w:hAnsi="Cambria Math" w:cstheme="minorHAnsi"/>
            <w:sz w:val="20"/>
            <w:szCs w:val="20"/>
          </w:rPr>
          <m:t>±</m:t>
        </m:r>
      </m:oMath>
      <w:r w:rsidRPr="004E70CE" w:rsidDel="003540FB">
        <w:rPr>
          <w:rFonts w:eastAsiaTheme="minorEastAsia" w:cstheme="minorHAnsi"/>
          <w:sz w:val="20"/>
          <w:szCs w:val="20"/>
        </w:rPr>
        <w:t>0.001% and is considered to be zero</w:t>
      </w:r>
    </w:p>
    <w:p w14:paraId="00208FCC" w14:textId="77777777" w:rsidR="00085F8A" w:rsidRPr="004E70CE" w:rsidRDefault="00085F8A" w:rsidP="00085F8A">
      <w:r w:rsidRPr="004E70CE">
        <w:t xml:space="preserve">The absence of meaningful aggregate economic effects is explained by several factors: </w:t>
      </w:r>
    </w:p>
    <w:p w14:paraId="7C393C07" w14:textId="0EA66B8D" w:rsidR="00085F8A" w:rsidRPr="004E70CE" w:rsidRDefault="00085F8A" w:rsidP="00085F8A">
      <w:pPr>
        <w:pStyle w:val="Bullet"/>
        <w:numPr>
          <w:ilvl w:val="0"/>
          <w:numId w:val="45"/>
        </w:numPr>
        <w:spacing w:after="200" w:line="276" w:lineRule="auto"/>
      </w:pPr>
      <w:r w:rsidRPr="004E70CE">
        <w:t>The cement, steel and ammonia sectors make up a small proportion of Australia’s economic output (total gross value add is less than 1% of GDP in 2021-22</w:t>
      </w:r>
      <w:r w:rsidRPr="004E70CE">
        <w:rPr>
          <w:vertAlign w:val="superscript"/>
        </w:rPr>
        <w:footnoteReference w:id="105"/>
      </w:r>
      <w:r w:rsidRPr="004E70CE">
        <w:t>). Only a small proportion of Australia’s overall imports are covered by a border carbon adjustment for these sectors in these scenarios (</w:t>
      </w:r>
      <w:r w:rsidR="00F03293">
        <w:t>slightly more than</w:t>
      </w:r>
      <w:r w:rsidRPr="004E70CE">
        <w:t xml:space="preserve"> </w:t>
      </w:r>
      <w:r w:rsidR="00F03293">
        <w:t>3</w:t>
      </w:r>
      <w:r w:rsidRPr="004E70CE">
        <w:t>% of total import value</w:t>
      </w:r>
      <w:r w:rsidRPr="004E70CE">
        <w:rPr>
          <w:vertAlign w:val="superscript"/>
        </w:rPr>
        <w:footnoteReference w:id="106"/>
      </w:r>
      <w:r w:rsidRPr="004E70CE">
        <w:t>).</w:t>
      </w:r>
    </w:p>
    <w:p w14:paraId="3AC0DE38" w14:textId="77777777" w:rsidR="00085F8A" w:rsidRPr="004E70CE" w:rsidRDefault="00085F8A" w:rsidP="00085F8A">
      <w:pPr>
        <w:pStyle w:val="Bullet"/>
        <w:numPr>
          <w:ilvl w:val="0"/>
          <w:numId w:val="45"/>
        </w:numPr>
        <w:spacing w:after="200" w:line="276" w:lineRule="auto"/>
      </w:pPr>
      <w:r w:rsidRPr="004E70CE">
        <w:t xml:space="preserve">The border carbon adjustment liabilities are expected to be small because some imported goods are subject to emissions reductions requirements in the source country. </w:t>
      </w:r>
    </w:p>
    <w:p w14:paraId="1419CE02" w14:textId="77777777" w:rsidR="00085F8A" w:rsidRPr="004E70CE" w:rsidRDefault="00085F8A" w:rsidP="00085F8A">
      <w:pPr>
        <w:pStyle w:val="Bullet"/>
        <w:numPr>
          <w:ilvl w:val="0"/>
          <w:numId w:val="45"/>
        </w:numPr>
        <w:spacing w:after="200" w:line="276" w:lineRule="auto"/>
      </w:pPr>
      <w:r w:rsidRPr="004E70CE">
        <w:t xml:space="preserve">The border carbon adjustment would be reduced to account for the effective price on carbon paid overseas. </w:t>
      </w:r>
    </w:p>
    <w:p w14:paraId="3D00D707" w14:textId="77777777" w:rsidR="00085F8A" w:rsidRPr="004E70CE" w:rsidRDefault="00085F8A" w:rsidP="00085F8A">
      <w:r w:rsidRPr="004E70CE">
        <w:t xml:space="preserve">The longer-run macroeconomic impact of a border carbon adjustment will depend on future changes in difference in carbon prices between Australia and its trading partners. However, the impact is expected to remain limited given the relatively small share of the sectors potentially covered in total Australian production and imports. Further, any liabilities created from a border carbon adjustment are likely to shrink as more countries strengthen their climate policies.   </w:t>
      </w:r>
    </w:p>
    <w:p w14:paraId="6445F923" w14:textId="27DA2008" w:rsidR="00085F8A" w:rsidRPr="004E70CE" w:rsidRDefault="00085F8A" w:rsidP="00085F8A">
      <w:pPr>
        <w:pStyle w:val="Heading3"/>
        <w:numPr>
          <w:ilvl w:val="1"/>
          <w:numId w:val="26"/>
        </w:numPr>
        <w:spacing w:line="276" w:lineRule="auto"/>
      </w:pPr>
      <w:bookmarkStart w:id="34" w:name="_Toc169621824"/>
      <w:bookmarkStart w:id="35" w:name="_Toc173997672"/>
      <w:r w:rsidRPr="004E70CE">
        <w:t>Potential industry impacts</w:t>
      </w:r>
      <w:bookmarkEnd w:id="34"/>
      <w:bookmarkEnd w:id="35"/>
    </w:p>
    <w:p w14:paraId="6B73AC7F" w14:textId="77777777" w:rsidR="00085F8A" w:rsidRPr="004E70CE" w:rsidRDefault="00085F8A" w:rsidP="00085F8A">
      <w:r w:rsidRPr="004E70CE">
        <w:t>Introducing a border carbon adjustment without any adjustments to TEBA is expected</w:t>
      </w:r>
      <w:r w:rsidRPr="004E70CE" w:rsidDel="00036590">
        <w:t xml:space="preserve"> </w:t>
      </w:r>
      <w:r w:rsidRPr="004E70CE">
        <w:t xml:space="preserve">to increase output by a very small amount relative to current policy settings, as it redistributes demand towards </w:t>
      </w:r>
      <w:r w:rsidRPr="004E70CE">
        <w:lastRenderedPageBreak/>
        <w:t>domestic producers. With TEBA removal (scenario two) the results indicate a small reduction in output reflecting the greater emissions reduction efforts by these sectors in response. This is balanced by small increases in output by other sectors throughout the economy.</w:t>
      </w:r>
    </w:p>
    <w:p w14:paraId="4FAD7CD8" w14:textId="77777777" w:rsidR="00085F8A" w:rsidRPr="004E70CE" w:rsidRDefault="00085F8A" w:rsidP="00085F8A">
      <w:r w:rsidRPr="004E70CE">
        <w:t>Downstream</w:t>
      </w:r>
      <w:r w:rsidRPr="004E70CE" w:rsidDel="00081327">
        <w:t xml:space="preserve"> </w:t>
      </w:r>
      <w:r w:rsidRPr="004E70CE">
        <w:t xml:space="preserve">sectors using covered imports as inputs to production may see a small increase in input costs, as the border carbon adjustment raises the price of imported goods, and consequently a moderate contraction in output. </w:t>
      </w:r>
    </w:p>
    <w:p w14:paraId="4D9B5C49" w14:textId="2178AEE8" w:rsidR="00085F8A" w:rsidRPr="004E70CE" w:rsidRDefault="00085F8A" w:rsidP="00085F8A">
      <w:pPr>
        <w:pStyle w:val="Bullet"/>
        <w:numPr>
          <w:ilvl w:val="0"/>
          <w:numId w:val="0"/>
        </w:numPr>
        <w:rPr>
          <w:b/>
          <w:lang w:eastAsia="en-AU"/>
        </w:rPr>
      </w:pPr>
      <w:r w:rsidRPr="004E70CE">
        <w:rPr>
          <w:b/>
          <w:lang w:eastAsia="en-AU"/>
        </w:rPr>
        <w:t xml:space="preserve">Table 7: Production </w:t>
      </w:r>
      <w:r w:rsidR="00280D1F">
        <w:rPr>
          <w:b/>
          <w:lang w:eastAsia="en-AU"/>
        </w:rPr>
        <w:t>o</w:t>
      </w:r>
      <w:r w:rsidRPr="004E70CE">
        <w:rPr>
          <w:b/>
          <w:lang w:eastAsia="en-AU"/>
        </w:rPr>
        <w:t>utput in 2030, by industry (% deviation from current policy)</w:t>
      </w:r>
    </w:p>
    <w:tbl>
      <w:tblPr>
        <w:tblStyle w:val="ListTable3-Accent1"/>
        <w:tblW w:w="9026" w:type="dxa"/>
        <w:tblLayout w:type="fixed"/>
        <w:tblLook w:val="04A0" w:firstRow="1" w:lastRow="0" w:firstColumn="1" w:lastColumn="0" w:noHBand="0" w:noVBand="1"/>
      </w:tblPr>
      <w:tblGrid>
        <w:gridCol w:w="2263"/>
        <w:gridCol w:w="1690"/>
        <w:gridCol w:w="1691"/>
        <w:gridCol w:w="1691"/>
        <w:gridCol w:w="1691"/>
      </w:tblGrid>
      <w:tr w:rsidR="00212392" w:rsidRPr="0015719B" w14:paraId="32781563" w14:textId="77777777" w:rsidTr="00212392">
        <w:trPr>
          <w:cnfStyle w:val="100000000000" w:firstRow="1" w:lastRow="0" w:firstColumn="0" w:lastColumn="0" w:oddVBand="0" w:evenVBand="0" w:oddHBand="0" w:evenHBand="0" w:firstRowFirstColumn="0" w:firstRowLastColumn="0" w:lastRowFirstColumn="0" w:lastRowLastColumn="0"/>
          <w:trHeight w:val="355"/>
        </w:trPr>
        <w:tc>
          <w:tcPr>
            <w:cnfStyle w:val="001000000100" w:firstRow="0" w:lastRow="0" w:firstColumn="1" w:lastColumn="0" w:oddVBand="0" w:evenVBand="0" w:oddHBand="0" w:evenHBand="0" w:firstRowFirstColumn="1" w:firstRowLastColumn="0" w:lastRowFirstColumn="0" w:lastRowLastColumn="0"/>
            <w:tcW w:w="2263" w:type="dxa"/>
            <w:hideMark/>
          </w:tcPr>
          <w:p w14:paraId="5C3032FC" w14:textId="77777777" w:rsidR="00085F8A" w:rsidRPr="0015719B" w:rsidRDefault="00085F8A" w:rsidP="00A963EA">
            <w:pPr>
              <w:spacing w:after="0" w:line="240" w:lineRule="auto"/>
              <w:rPr>
                <w:rFonts w:ascii="Calibri" w:eastAsia="Times New Roman" w:hAnsi="Calibri" w:cs="Calibri"/>
                <w:b w:val="0"/>
                <w:i/>
                <w:sz w:val="18"/>
                <w:szCs w:val="18"/>
                <w:lang w:eastAsia="en-AU"/>
              </w:rPr>
            </w:pPr>
            <w:r w:rsidRPr="0015719B">
              <w:rPr>
                <w:rFonts w:ascii="Calibri" w:eastAsia="Times New Roman" w:hAnsi="Calibri" w:cs="Calibri"/>
                <w:sz w:val="18"/>
                <w:szCs w:val="18"/>
                <w:lang w:eastAsia="en-AU"/>
              </w:rPr>
              <w:t>Variable</w:t>
            </w:r>
          </w:p>
        </w:tc>
        <w:tc>
          <w:tcPr>
            <w:tcW w:w="1690" w:type="dxa"/>
            <w:hideMark/>
          </w:tcPr>
          <w:p w14:paraId="4020DEEA" w14:textId="77777777" w:rsidR="00085F8A" w:rsidRPr="0015719B" w:rsidRDefault="00085F8A" w:rsidP="00A963E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i/>
                <w:sz w:val="18"/>
                <w:szCs w:val="18"/>
                <w:lang w:eastAsia="en-AU"/>
              </w:rPr>
            </w:pPr>
            <w:r w:rsidRPr="0015719B">
              <w:rPr>
                <w:rFonts w:ascii="Calibri" w:eastAsia="Times New Roman" w:hAnsi="Calibri" w:cs="Calibri"/>
                <w:sz w:val="18"/>
                <w:szCs w:val="18"/>
                <w:lang w:eastAsia="en-AU"/>
              </w:rPr>
              <w:t>Scenario 1 – combined sectors</w:t>
            </w:r>
          </w:p>
        </w:tc>
        <w:tc>
          <w:tcPr>
            <w:tcW w:w="1691" w:type="dxa"/>
            <w:hideMark/>
          </w:tcPr>
          <w:p w14:paraId="48148A07" w14:textId="77777777" w:rsidR="00085F8A" w:rsidRPr="0015719B" w:rsidRDefault="00085F8A" w:rsidP="00A963E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i/>
                <w:sz w:val="18"/>
                <w:szCs w:val="18"/>
                <w:lang w:eastAsia="en-AU"/>
              </w:rPr>
            </w:pPr>
            <w:r w:rsidRPr="0015719B">
              <w:rPr>
                <w:rFonts w:ascii="Calibri" w:eastAsia="Times New Roman" w:hAnsi="Calibri" w:cs="Calibri"/>
                <w:sz w:val="18"/>
                <w:szCs w:val="18"/>
                <w:lang w:eastAsia="en-AU"/>
              </w:rPr>
              <w:t>Scenario 2 – combined sectors</w:t>
            </w:r>
          </w:p>
        </w:tc>
        <w:tc>
          <w:tcPr>
            <w:tcW w:w="1691" w:type="dxa"/>
          </w:tcPr>
          <w:p w14:paraId="57001245" w14:textId="77777777" w:rsidR="00085F8A" w:rsidRPr="0015719B" w:rsidRDefault="00085F8A" w:rsidP="00A963E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i/>
                <w:sz w:val="18"/>
                <w:szCs w:val="18"/>
                <w:lang w:eastAsia="en-AU"/>
              </w:rPr>
            </w:pPr>
            <w:r w:rsidRPr="0015719B">
              <w:rPr>
                <w:rFonts w:ascii="Calibri" w:eastAsia="Times New Roman" w:hAnsi="Calibri" w:cs="Calibri"/>
                <w:sz w:val="18"/>
                <w:szCs w:val="18"/>
                <w:lang w:eastAsia="en-AU"/>
              </w:rPr>
              <w:t>Scenario 1 – cement only</w:t>
            </w:r>
          </w:p>
        </w:tc>
        <w:tc>
          <w:tcPr>
            <w:tcW w:w="1691" w:type="dxa"/>
          </w:tcPr>
          <w:p w14:paraId="38C9D834" w14:textId="77777777" w:rsidR="00085F8A" w:rsidRPr="0015719B" w:rsidRDefault="00085F8A" w:rsidP="00A963E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i/>
                <w:sz w:val="18"/>
                <w:szCs w:val="18"/>
                <w:lang w:eastAsia="en-AU"/>
              </w:rPr>
            </w:pPr>
            <w:r w:rsidRPr="0015719B">
              <w:rPr>
                <w:rFonts w:ascii="Calibri" w:eastAsia="Times New Roman" w:hAnsi="Calibri" w:cs="Calibri"/>
                <w:sz w:val="18"/>
                <w:szCs w:val="18"/>
                <w:lang w:eastAsia="en-AU"/>
              </w:rPr>
              <w:t>Scenario 2 – cement only</w:t>
            </w:r>
          </w:p>
        </w:tc>
      </w:tr>
      <w:tr w:rsidR="00085F8A" w:rsidRPr="0015719B" w14:paraId="078DAFAC" w14:textId="77777777" w:rsidTr="00B1031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3" w:type="dxa"/>
            <w:hideMark/>
          </w:tcPr>
          <w:p w14:paraId="43D95048" w14:textId="77777777" w:rsidR="00085F8A" w:rsidRPr="0015719B" w:rsidRDefault="00085F8A" w:rsidP="00A963EA">
            <w:pPr>
              <w:spacing w:after="0" w:line="240" w:lineRule="auto"/>
              <w:rPr>
                <w:rFonts w:ascii="Calibri" w:eastAsia="Times New Roman" w:hAnsi="Calibri" w:cs="Calibri"/>
                <w:i/>
                <w:color w:val="000000"/>
                <w:sz w:val="18"/>
                <w:szCs w:val="18"/>
                <w:lang w:eastAsia="en-AU"/>
              </w:rPr>
            </w:pPr>
            <w:r w:rsidRPr="0015719B">
              <w:rPr>
                <w:rFonts w:ascii="Calibri" w:eastAsia="Times New Roman" w:hAnsi="Calibri" w:cs="Calibri"/>
                <w:color w:val="000000"/>
                <w:sz w:val="18"/>
                <w:szCs w:val="18"/>
                <w:lang w:eastAsia="en-AU"/>
              </w:rPr>
              <w:t>Iron and steel​</w:t>
            </w:r>
          </w:p>
        </w:tc>
        <w:tc>
          <w:tcPr>
            <w:tcW w:w="1690" w:type="dxa"/>
            <w:noWrap/>
            <w:vAlign w:val="center"/>
            <w:hideMark/>
          </w:tcPr>
          <w:p w14:paraId="02E9A16B" w14:textId="77777777" w:rsidR="00085F8A" w:rsidRPr="0015719B" w:rsidRDefault="00085F8A" w:rsidP="00A963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0.029%</w:t>
            </w:r>
          </w:p>
        </w:tc>
        <w:tc>
          <w:tcPr>
            <w:tcW w:w="1691" w:type="dxa"/>
            <w:noWrap/>
            <w:vAlign w:val="center"/>
            <w:hideMark/>
          </w:tcPr>
          <w:p w14:paraId="57E22F61" w14:textId="77777777" w:rsidR="00085F8A" w:rsidRPr="0015719B" w:rsidRDefault="00085F8A" w:rsidP="00A963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-0.578%</w:t>
            </w:r>
          </w:p>
        </w:tc>
        <w:tc>
          <w:tcPr>
            <w:tcW w:w="1691" w:type="dxa"/>
            <w:vAlign w:val="center"/>
          </w:tcPr>
          <w:p w14:paraId="1B408E36" w14:textId="77777777" w:rsidR="00085F8A" w:rsidRPr="0015719B" w:rsidRDefault="00085F8A" w:rsidP="00A963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-0.001%</w:t>
            </w:r>
          </w:p>
        </w:tc>
        <w:tc>
          <w:tcPr>
            <w:tcW w:w="1691" w:type="dxa"/>
            <w:vAlign w:val="center"/>
          </w:tcPr>
          <w:p w14:paraId="169C5C4D" w14:textId="77777777" w:rsidR="00085F8A" w:rsidRPr="0015719B" w:rsidRDefault="00085F8A" w:rsidP="00A963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0.014%</w:t>
            </w:r>
          </w:p>
        </w:tc>
      </w:tr>
      <w:tr w:rsidR="00085F8A" w:rsidRPr="0015719B" w14:paraId="16CF514C" w14:textId="77777777" w:rsidTr="00B10318">
        <w:trPr>
          <w:trHeight w:val="240"/>
        </w:trPr>
        <w:tc>
          <w:tcPr>
            <w:cnfStyle w:val="001000000000" w:firstRow="0" w:lastRow="0" w:firstColumn="1" w:lastColumn="0" w:oddVBand="0" w:evenVBand="0" w:oddHBand="0" w:evenHBand="0" w:firstRowFirstColumn="0" w:firstRowLastColumn="0" w:lastRowFirstColumn="0" w:lastRowLastColumn="0"/>
            <w:tcW w:w="2263" w:type="dxa"/>
            <w:hideMark/>
          </w:tcPr>
          <w:p w14:paraId="619907B7" w14:textId="77777777" w:rsidR="00085F8A" w:rsidRPr="0015719B" w:rsidRDefault="00085F8A" w:rsidP="00A963EA">
            <w:pPr>
              <w:spacing w:after="0" w:line="240" w:lineRule="auto"/>
              <w:rPr>
                <w:rFonts w:ascii="Calibri" w:eastAsia="Times New Roman" w:hAnsi="Calibri" w:cs="Calibri"/>
                <w:i/>
                <w:color w:val="000000"/>
                <w:sz w:val="18"/>
                <w:szCs w:val="18"/>
                <w:lang w:eastAsia="en-AU"/>
              </w:rPr>
            </w:pPr>
            <w:r w:rsidRPr="0015719B">
              <w:rPr>
                <w:rFonts w:ascii="Calibri" w:eastAsia="Times New Roman" w:hAnsi="Calibri" w:cs="Calibri"/>
                <w:color w:val="000000"/>
                <w:sz w:val="18"/>
                <w:szCs w:val="18"/>
                <w:lang w:eastAsia="en-AU"/>
              </w:rPr>
              <w:t>Basic chemicals​</w:t>
            </w:r>
          </w:p>
        </w:tc>
        <w:tc>
          <w:tcPr>
            <w:tcW w:w="1690" w:type="dxa"/>
            <w:noWrap/>
            <w:vAlign w:val="center"/>
            <w:hideMark/>
          </w:tcPr>
          <w:p w14:paraId="46C9D417" w14:textId="77777777" w:rsidR="00085F8A" w:rsidRPr="0015719B" w:rsidRDefault="00085F8A" w:rsidP="00A963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0.056%</w:t>
            </w:r>
          </w:p>
        </w:tc>
        <w:tc>
          <w:tcPr>
            <w:tcW w:w="1691" w:type="dxa"/>
            <w:noWrap/>
            <w:vAlign w:val="center"/>
            <w:hideMark/>
          </w:tcPr>
          <w:p w14:paraId="47DA63AD" w14:textId="77777777" w:rsidR="00085F8A" w:rsidRPr="0015719B" w:rsidRDefault="00085F8A" w:rsidP="00A963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0.034%</w:t>
            </w:r>
          </w:p>
        </w:tc>
        <w:tc>
          <w:tcPr>
            <w:tcW w:w="1691" w:type="dxa"/>
            <w:vAlign w:val="center"/>
          </w:tcPr>
          <w:p w14:paraId="202EBE37" w14:textId="77777777" w:rsidR="00085F8A" w:rsidRPr="0015719B" w:rsidRDefault="00085F8A" w:rsidP="00A963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w:t>
            </w:r>
          </w:p>
        </w:tc>
        <w:tc>
          <w:tcPr>
            <w:tcW w:w="1691" w:type="dxa"/>
            <w:vAlign w:val="center"/>
          </w:tcPr>
          <w:p w14:paraId="3C43F9B4" w14:textId="77777777" w:rsidR="00085F8A" w:rsidRPr="0015719B" w:rsidRDefault="00085F8A" w:rsidP="00A963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0.009%</w:t>
            </w:r>
          </w:p>
        </w:tc>
      </w:tr>
      <w:tr w:rsidR="00085F8A" w:rsidRPr="0015719B" w14:paraId="767D4296" w14:textId="77777777" w:rsidTr="00B1031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3" w:type="dxa"/>
            <w:hideMark/>
          </w:tcPr>
          <w:p w14:paraId="2A6EA175" w14:textId="77777777" w:rsidR="00085F8A" w:rsidRPr="0015719B" w:rsidRDefault="00085F8A" w:rsidP="00A963EA">
            <w:pPr>
              <w:spacing w:after="0" w:line="240" w:lineRule="auto"/>
              <w:rPr>
                <w:rFonts w:ascii="Calibri" w:eastAsia="Times New Roman" w:hAnsi="Calibri" w:cs="Calibri"/>
                <w:i/>
                <w:color w:val="000000"/>
                <w:sz w:val="18"/>
                <w:szCs w:val="18"/>
                <w:lang w:eastAsia="en-AU"/>
              </w:rPr>
            </w:pPr>
            <w:r w:rsidRPr="0015719B">
              <w:rPr>
                <w:rFonts w:ascii="Calibri" w:eastAsia="Times New Roman" w:hAnsi="Calibri" w:cs="Calibri"/>
                <w:color w:val="000000"/>
                <w:sz w:val="18"/>
                <w:szCs w:val="18"/>
                <w:lang w:eastAsia="en-AU"/>
              </w:rPr>
              <w:t>Petrol​</w:t>
            </w:r>
          </w:p>
        </w:tc>
        <w:tc>
          <w:tcPr>
            <w:tcW w:w="1690" w:type="dxa"/>
            <w:noWrap/>
            <w:vAlign w:val="center"/>
            <w:hideMark/>
          </w:tcPr>
          <w:p w14:paraId="7134DEF7" w14:textId="466B28CA" w:rsidR="00085F8A" w:rsidRPr="0015719B" w:rsidRDefault="00085F8A" w:rsidP="00A963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w:t>
            </w:r>
          </w:p>
        </w:tc>
        <w:tc>
          <w:tcPr>
            <w:tcW w:w="1691" w:type="dxa"/>
            <w:noWrap/>
            <w:vAlign w:val="center"/>
            <w:hideMark/>
          </w:tcPr>
          <w:p w14:paraId="145AA54A" w14:textId="1808A188" w:rsidR="00085F8A" w:rsidRPr="0015719B" w:rsidRDefault="00085F8A" w:rsidP="00A963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w:t>
            </w:r>
          </w:p>
        </w:tc>
        <w:tc>
          <w:tcPr>
            <w:tcW w:w="1691" w:type="dxa"/>
            <w:vAlign w:val="center"/>
          </w:tcPr>
          <w:p w14:paraId="7483CF96" w14:textId="77777777" w:rsidR="00085F8A" w:rsidRPr="0015719B" w:rsidRDefault="00085F8A" w:rsidP="00A963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w:t>
            </w:r>
          </w:p>
        </w:tc>
        <w:tc>
          <w:tcPr>
            <w:tcW w:w="1691" w:type="dxa"/>
            <w:vAlign w:val="center"/>
          </w:tcPr>
          <w:p w14:paraId="7FBFA72C" w14:textId="77777777" w:rsidR="00085F8A" w:rsidRPr="0015719B" w:rsidRDefault="00085F8A" w:rsidP="00A963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0.002%</w:t>
            </w:r>
          </w:p>
        </w:tc>
      </w:tr>
      <w:tr w:rsidR="00085F8A" w:rsidRPr="0015719B" w14:paraId="7F8664B2" w14:textId="77777777" w:rsidTr="00B10318">
        <w:trPr>
          <w:trHeight w:val="240"/>
        </w:trPr>
        <w:tc>
          <w:tcPr>
            <w:cnfStyle w:val="001000000000" w:firstRow="0" w:lastRow="0" w:firstColumn="1" w:lastColumn="0" w:oddVBand="0" w:evenVBand="0" w:oddHBand="0" w:evenHBand="0" w:firstRowFirstColumn="0" w:firstRowLastColumn="0" w:lastRowFirstColumn="0" w:lastRowLastColumn="0"/>
            <w:tcW w:w="2263" w:type="dxa"/>
            <w:hideMark/>
          </w:tcPr>
          <w:p w14:paraId="3E705B38" w14:textId="77777777" w:rsidR="00085F8A" w:rsidRPr="0015719B" w:rsidRDefault="00085F8A" w:rsidP="00A963EA">
            <w:pPr>
              <w:spacing w:after="0" w:line="240" w:lineRule="auto"/>
              <w:rPr>
                <w:rFonts w:ascii="Calibri" w:eastAsia="Times New Roman" w:hAnsi="Calibri" w:cs="Calibri"/>
                <w:i/>
                <w:color w:val="000000"/>
                <w:sz w:val="18"/>
                <w:szCs w:val="18"/>
                <w:lang w:eastAsia="en-AU"/>
              </w:rPr>
            </w:pPr>
            <w:r w:rsidRPr="0015719B">
              <w:rPr>
                <w:rFonts w:ascii="Calibri" w:eastAsia="Times New Roman" w:hAnsi="Calibri" w:cs="Calibri"/>
                <w:color w:val="000000"/>
                <w:sz w:val="18"/>
                <w:szCs w:val="18"/>
                <w:lang w:eastAsia="en-AU"/>
              </w:rPr>
              <w:t>Manufacturing​</w:t>
            </w:r>
          </w:p>
        </w:tc>
        <w:tc>
          <w:tcPr>
            <w:tcW w:w="1690" w:type="dxa"/>
            <w:noWrap/>
            <w:vAlign w:val="center"/>
            <w:hideMark/>
          </w:tcPr>
          <w:p w14:paraId="77684E61" w14:textId="77777777" w:rsidR="00085F8A" w:rsidRPr="0015719B" w:rsidRDefault="00085F8A" w:rsidP="00A963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-0.004%</w:t>
            </w:r>
          </w:p>
        </w:tc>
        <w:tc>
          <w:tcPr>
            <w:tcW w:w="1691" w:type="dxa"/>
            <w:noWrap/>
            <w:vAlign w:val="center"/>
            <w:hideMark/>
          </w:tcPr>
          <w:p w14:paraId="7793D3AC" w14:textId="77777777" w:rsidR="00085F8A" w:rsidRPr="0015719B" w:rsidRDefault="00085F8A" w:rsidP="00A963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-0.022%</w:t>
            </w:r>
          </w:p>
        </w:tc>
        <w:tc>
          <w:tcPr>
            <w:tcW w:w="1691" w:type="dxa"/>
            <w:vAlign w:val="center"/>
          </w:tcPr>
          <w:p w14:paraId="7D2C782C" w14:textId="77777777" w:rsidR="00085F8A" w:rsidRPr="0015719B" w:rsidRDefault="00085F8A" w:rsidP="00A963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w:t>
            </w:r>
          </w:p>
        </w:tc>
        <w:tc>
          <w:tcPr>
            <w:tcW w:w="1691" w:type="dxa"/>
            <w:vAlign w:val="center"/>
          </w:tcPr>
          <w:p w14:paraId="2E0B3894" w14:textId="77777777" w:rsidR="00085F8A" w:rsidRPr="0015719B" w:rsidRDefault="00085F8A" w:rsidP="00A963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-0.003%</w:t>
            </w:r>
          </w:p>
        </w:tc>
      </w:tr>
      <w:tr w:rsidR="00085F8A" w:rsidRPr="0015719B" w14:paraId="3BEC07A0" w14:textId="77777777" w:rsidTr="00B1031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3" w:type="dxa"/>
            <w:hideMark/>
          </w:tcPr>
          <w:p w14:paraId="61D2062F" w14:textId="77777777" w:rsidR="00085F8A" w:rsidRPr="0015719B" w:rsidRDefault="00085F8A" w:rsidP="00A963EA">
            <w:pPr>
              <w:spacing w:after="0" w:line="240" w:lineRule="auto"/>
              <w:rPr>
                <w:rFonts w:ascii="Calibri" w:eastAsia="Times New Roman" w:hAnsi="Calibri" w:cs="Calibri"/>
                <w:i/>
                <w:color w:val="000000"/>
                <w:sz w:val="18"/>
                <w:szCs w:val="18"/>
                <w:lang w:eastAsia="en-AU"/>
              </w:rPr>
            </w:pPr>
            <w:r w:rsidRPr="0015719B">
              <w:rPr>
                <w:rFonts w:ascii="Calibri" w:eastAsia="Times New Roman" w:hAnsi="Calibri" w:cs="Calibri"/>
                <w:color w:val="000000"/>
                <w:sz w:val="18"/>
                <w:szCs w:val="18"/>
                <w:lang w:eastAsia="en-AU"/>
              </w:rPr>
              <w:t>Cement and lime​</w:t>
            </w:r>
          </w:p>
        </w:tc>
        <w:tc>
          <w:tcPr>
            <w:tcW w:w="1690" w:type="dxa"/>
            <w:noWrap/>
            <w:vAlign w:val="center"/>
            <w:hideMark/>
          </w:tcPr>
          <w:p w14:paraId="51442D4A" w14:textId="77777777" w:rsidR="00085F8A" w:rsidRPr="0015719B" w:rsidRDefault="00085F8A" w:rsidP="00A963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0.021%</w:t>
            </w:r>
          </w:p>
        </w:tc>
        <w:tc>
          <w:tcPr>
            <w:tcW w:w="1691" w:type="dxa"/>
            <w:noWrap/>
            <w:vAlign w:val="center"/>
            <w:hideMark/>
          </w:tcPr>
          <w:p w14:paraId="3F8A3F28" w14:textId="77777777" w:rsidR="00085F8A" w:rsidRPr="0015719B" w:rsidRDefault="00085F8A" w:rsidP="00A963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-0.177%</w:t>
            </w:r>
          </w:p>
        </w:tc>
        <w:tc>
          <w:tcPr>
            <w:tcW w:w="1691" w:type="dxa"/>
            <w:vAlign w:val="center"/>
          </w:tcPr>
          <w:p w14:paraId="35A5C21D" w14:textId="77777777" w:rsidR="00085F8A" w:rsidRPr="0015719B" w:rsidRDefault="00085F8A" w:rsidP="00A963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0.022%</w:t>
            </w:r>
          </w:p>
        </w:tc>
        <w:tc>
          <w:tcPr>
            <w:tcW w:w="1691" w:type="dxa"/>
            <w:vAlign w:val="center"/>
          </w:tcPr>
          <w:p w14:paraId="3314B18C" w14:textId="77777777" w:rsidR="00085F8A" w:rsidRPr="0015719B" w:rsidRDefault="00085F8A" w:rsidP="00A963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-0.209%</w:t>
            </w:r>
          </w:p>
        </w:tc>
      </w:tr>
      <w:tr w:rsidR="00085F8A" w:rsidRPr="0015719B" w14:paraId="370D8CFA" w14:textId="77777777" w:rsidTr="00B10318">
        <w:trPr>
          <w:trHeight w:val="240"/>
        </w:trPr>
        <w:tc>
          <w:tcPr>
            <w:cnfStyle w:val="001000000000" w:firstRow="0" w:lastRow="0" w:firstColumn="1" w:lastColumn="0" w:oddVBand="0" w:evenVBand="0" w:oddHBand="0" w:evenHBand="0" w:firstRowFirstColumn="0" w:firstRowLastColumn="0" w:lastRowFirstColumn="0" w:lastRowLastColumn="0"/>
            <w:tcW w:w="2263" w:type="dxa"/>
            <w:hideMark/>
          </w:tcPr>
          <w:p w14:paraId="68ED4EB4" w14:textId="77777777" w:rsidR="00085F8A" w:rsidRPr="0015719B" w:rsidRDefault="00085F8A" w:rsidP="00A963EA">
            <w:pPr>
              <w:spacing w:after="0" w:line="240" w:lineRule="auto"/>
              <w:rPr>
                <w:rFonts w:ascii="Calibri" w:eastAsia="Times New Roman" w:hAnsi="Calibri" w:cs="Calibri"/>
                <w:i/>
                <w:color w:val="000000"/>
                <w:sz w:val="18"/>
                <w:szCs w:val="18"/>
                <w:lang w:eastAsia="en-AU"/>
              </w:rPr>
            </w:pPr>
            <w:r w:rsidRPr="0015719B">
              <w:rPr>
                <w:rFonts w:ascii="Calibri" w:eastAsia="Times New Roman" w:hAnsi="Calibri" w:cs="Calibri"/>
                <w:color w:val="000000"/>
                <w:sz w:val="18"/>
                <w:szCs w:val="18"/>
                <w:lang w:eastAsia="en-AU"/>
              </w:rPr>
              <w:t>Basic non-ferrous metals​</w:t>
            </w:r>
          </w:p>
        </w:tc>
        <w:tc>
          <w:tcPr>
            <w:tcW w:w="1690" w:type="dxa"/>
            <w:noWrap/>
            <w:vAlign w:val="center"/>
            <w:hideMark/>
          </w:tcPr>
          <w:p w14:paraId="72F13777" w14:textId="77777777" w:rsidR="00085F8A" w:rsidRPr="0015719B" w:rsidRDefault="00085F8A" w:rsidP="00A963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-0.002%</w:t>
            </w:r>
          </w:p>
        </w:tc>
        <w:tc>
          <w:tcPr>
            <w:tcW w:w="1691" w:type="dxa"/>
            <w:noWrap/>
            <w:vAlign w:val="center"/>
            <w:hideMark/>
          </w:tcPr>
          <w:p w14:paraId="2AE9B589" w14:textId="77777777" w:rsidR="00085F8A" w:rsidRPr="0015719B" w:rsidRDefault="00085F8A" w:rsidP="00A963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0.072%</w:t>
            </w:r>
          </w:p>
        </w:tc>
        <w:tc>
          <w:tcPr>
            <w:tcW w:w="1691" w:type="dxa"/>
            <w:vAlign w:val="center"/>
          </w:tcPr>
          <w:p w14:paraId="62E6126C" w14:textId="77777777" w:rsidR="00085F8A" w:rsidRPr="0015719B" w:rsidRDefault="00085F8A" w:rsidP="00A963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w:t>
            </w:r>
          </w:p>
        </w:tc>
        <w:tc>
          <w:tcPr>
            <w:tcW w:w="1691" w:type="dxa"/>
            <w:vAlign w:val="center"/>
          </w:tcPr>
          <w:p w14:paraId="2F5DA848" w14:textId="77777777" w:rsidR="00085F8A" w:rsidRPr="0015719B" w:rsidRDefault="00085F8A" w:rsidP="00A963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0.010%</w:t>
            </w:r>
          </w:p>
        </w:tc>
      </w:tr>
      <w:tr w:rsidR="00085F8A" w:rsidRPr="0015719B" w14:paraId="2BD72413" w14:textId="77777777" w:rsidTr="00B1031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DE61CDA" w14:textId="77777777" w:rsidR="00085F8A" w:rsidRPr="0015719B" w:rsidRDefault="00085F8A" w:rsidP="00A963EA">
            <w:pPr>
              <w:spacing w:after="0" w:line="240" w:lineRule="auto"/>
              <w:rPr>
                <w:rFonts w:ascii="Calibri" w:eastAsia="Times New Roman" w:hAnsi="Calibri" w:cs="Calibri"/>
                <w:i/>
                <w:color w:val="000000"/>
                <w:sz w:val="18"/>
                <w:szCs w:val="18"/>
                <w:lang w:eastAsia="en-AU"/>
              </w:rPr>
            </w:pPr>
            <w:r w:rsidRPr="0015719B">
              <w:rPr>
                <w:rFonts w:ascii="Calibri" w:eastAsia="Times New Roman" w:hAnsi="Calibri" w:cs="Calibri"/>
                <w:color w:val="000000"/>
                <w:sz w:val="18"/>
                <w:szCs w:val="18"/>
                <w:lang w:eastAsia="en-AU"/>
              </w:rPr>
              <w:t>Construction</w:t>
            </w:r>
          </w:p>
        </w:tc>
        <w:tc>
          <w:tcPr>
            <w:tcW w:w="1690" w:type="dxa"/>
            <w:noWrap/>
            <w:vAlign w:val="center"/>
            <w:hideMark/>
          </w:tcPr>
          <w:p w14:paraId="1FED9C5B" w14:textId="77777777" w:rsidR="00085F8A" w:rsidRPr="0015719B" w:rsidRDefault="00085F8A" w:rsidP="00A963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w:t>
            </w:r>
          </w:p>
        </w:tc>
        <w:tc>
          <w:tcPr>
            <w:tcW w:w="1691" w:type="dxa"/>
            <w:noWrap/>
            <w:vAlign w:val="center"/>
            <w:hideMark/>
          </w:tcPr>
          <w:p w14:paraId="79941BA2" w14:textId="77777777" w:rsidR="00085F8A" w:rsidRPr="0015719B" w:rsidRDefault="00085F8A" w:rsidP="00A963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-0.016%</w:t>
            </w:r>
          </w:p>
        </w:tc>
        <w:tc>
          <w:tcPr>
            <w:tcW w:w="1691" w:type="dxa"/>
            <w:vAlign w:val="center"/>
          </w:tcPr>
          <w:p w14:paraId="41F5081E" w14:textId="77777777" w:rsidR="00085F8A" w:rsidRPr="0015719B" w:rsidRDefault="00085F8A" w:rsidP="00A963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w:t>
            </w:r>
          </w:p>
        </w:tc>
        <w:tc>
          <w:tcPr>
            <w:tcW w:w="1691" w:type="dxa"/>
            <w:vAlign w:val="center"/>
          </w:tcPr>
          <w:p w14:paraId="704540E2" w14:textId="77777777" w:rsidR="00085F8A" w:rsidRPr="0015719B" w:rsidRDefault="00085F8A" w:rsidP="00A963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-0.005%</w:t>
            </w:r>
          </w:p>
        </w:tc>
      </w:tr>
      <w:tr w:rsidR="00085F8A" w:rsidRPr="0015719B" w14:paraId="2ED0CA2A" w14:textId="77777777" w:rsidTr="00B10318">
        <w:trPr>
          <w:trHeight w:val="24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78FBE0C" w14:textId="77777777" w:rsidR="00085F8A" w:rsidRPr="0015719B" w:rsidRDefault="00085F8A" w:rsidP="00A963EA">
            <w:pPr>
              <w:spacing w:after="0" w:line="240" w:lineRule="auto"/>
              <w:rPr>
                <w:rFonts w:ascii="Calibri" w:eastAsia="Times New Roman" w:hAnsi="Calibri" w:cs="Calibri"/>
                <w:i/>
                <w:color w:val="000000"/>
                <w:sz w:val="18"/>
                <w:szCs w:val="18"/>
                <w:lang w:eastAsia="en-AU"/>
              </w:rPr>
            </w:pPr>
            <w:r w:rsidRPr="0015719B">
              <w:rPr>
                <w:rFonts w:ascii="Calibri" w:eastAsia="Times New Roman" w:hAnsi="Calibri" w:cs="Calibri"/>
                <w:color w:val="000000"/>
                <w:sz w:val="18"/>
                <w:szCs w:val="18"/>
                <w:lang w:eastAsia="en-AU"/>
              </w:rPr>
              <w:t>Crops and livestock</w:t>
            </w:r>
          </w:p>
        </w:tc>
        <w:tc>
          <w:tcPr>
            <w:tcW w:w="1690" w:type="dxa"/>
            <w:noWrap/>
            <w:vAlign w:val="center"/>
            <w:hideMark/>
          </w:tcPr>
          <w:p w14:paraId="607AC7B2" w14:textId="77777777" w:rsidR="00085F8A" w:rsidRPr="0015719B" w:rsidRDefault="00085F8A" w:rsidP="00A963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-0.002%</w:t>
            </w:r>
          </w:p>
        </w:tc>
        <w:tc>
          <w:tcPr>
            <w:tcW w:w="1691" w:type="dxa"/>
            <w:noWrap/>
            <w:vAlign w:val="center"/>
            <w:hideMark/>
          </w:tcPr>
          <w:p w14:paraId="614BE2E2" w14:textId="77777777" w:rsidR="00085F8A" w:rsidRPr="0015719B" w:rsidRDefault="00085F8A" w:rsidP="00A963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-0.009%</w:t>
            </w:r>
          </w:p>
        </w:tc>
        <w:tc>
          <w:tcPr>
            <w:tcW w:w="1691" w:type="dxa"/>
            <w:vAlign w:val="center"/>
          </w:tcPr>
          <w:p w14:paraId="374BF588" w14:textId="77777777" w:rsidR="00085F8A" w:rsidRPr="0015719B" w:rsidRDefault="00085F8A" w:rsidP="00A963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w:t>
            </w:r>
          </w:p>
        </w:tc>
        <w:tc>
          <w:tcPr>
            <w:tcW w:w="1691" w:type="dxa"/>
            <w:vAlign w:val="center"/>
          </w:tcPr>
          <w:p w14:paraId="78173ECA" w14:textId="77777777" w:rsidR="00085F8A" w:rsidRPr="0015719B" w:rsidRDefault="00085F8A" w:rsidP="00A963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-0.002%</w:t>
            </w:r>
          </w:p>
        </w:tc>
      </w:tr>
      <w:tr w:rsidR="00085F8A" w:rsidRPr="0015719B" w14:paraId="0E0486F6" w14:textId="77777777" w:rsidTr="00B1031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3" w:type="dxa"/>
            <w:noWrap/>
          </w:tcPr>
          <w:p w14:paraId="1AE86DA0" w14:textId="77777777" w:rsidR="00085F8A" w:rsidRPr="0015719B" w:rsidRDefault="00085F8A" w:rsidP="00A963EA">
            <w:pPr>
              <w:spacing w:after="0" w:line="240" w:lineRule="auto"/>
              <w:rPr>
                <w:rFonts w:ascii="Calibri" w:eastAsia="Times New Roman" w:hAnsi="Calibri" w:cs="Calibri"/>
                <w:i/>
                <w:color w:val="000000"/>
                <w:sz w:val="18"/>
                <w:szCs w:val="18"/>
                <w:lang w:eastAsia="en-AU"/>
              </w:rPr>
            </w:pPr>
            <w:r w:rsidRPr="0015719B">
              <w:rPr>
                <w:rFonts w:ascii="Calibri" w:eastAsia="Times New Roman" w:hAnsi="Calibri" w:cs="Calibri"/>
                <w:color w:val="000000"/>
                <w:sz w:val="18"/>
                <w:szCs w:val="18"/>
                <w:lang w:eastAsia="en-AU"/>
              </w:rPr>
              <w:t>Combined other sectors</w:t>
            </w:r>
          </w:p>
        </w:tc>
        <w:tc>
          <w:tcPr>
            <w:tcW w:w="1690" w:type="dxa"/>
            <w:noWrap/>
            <w:vAlign w:val="center"/>
          </w:tcPr>
          <w:p w14:paraId="61C247B9" w14:textId="77777777" w:rsidR="00085F8A" w:rsidRPr="0015719B" w:rsidRDefault="00085F8A" w:rsidP="00A963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w:t>
            </w:r>
          </w:p>
        </w:tc>
        <w:tc>
          <w:tcPr>
            <w:tcW w:w="1691" w:type="dxa"/>
            <w:noWrap/>
            <w:vAlign w:val="center"/>
          </w:tcPr>
          <w:p w14:paraId="754671AD" w14:textId="77777777" w:rsidR="00085F8A" w:rsidRPr="0015719B" w:rsidRDefault="00085F8A" w:rsidP="00A963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-0.004%</w:t>
            </w:r>
          </w:p>
        </w:tc>
        <w:tc>
          <w:tcPr>
            <w:tcW w:w="1691" w:type="dxa"/>
            <w:vAlign w:val="center"/>
          </w:tcPr>
          <w:p w14:paraId="2A83E226" w14:textId="77777777" w:rsidR="00085F8A" w:rsidRPr="0015719B" w:rsidRDefault="00085F8A" w:rsidP="00A963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w:t>
            </w:r>
          </w:p>
        </w:tc>
        <w:tc>
          <w:tcPr>
            <w:tcW w:w="1691" w:type="dxa"/>
            <w:vAlign w:val="center"/>
          </w:tcPr>
          <w:p w14:paraId="20879FA7" w14:textId="77777777" w:rsidR="00085F8A" w:rsidRPr="0015719B" w:rsidRDefault="00085F8A" w:rsidP="00A963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w:t>
            </w:r>
          </w:p>
        </w:tc>
      </w:tr>
    </w:tbl>
    <w:p w14:paraId="5EBA552C" w14:textId="77777777" w:rsidR="00085F8A" w:rsidRPr="004E70CE" w:rsidRDefault="00085F8A" w:rsidP="00085F8A">
      <w:pPr>
        <w:spacing w:before="120"/>
        <w:jc w:val="center"/>
        <w:rPr>
          <w:rFonts w:eastAsiaTheme="minorEastAsia"/>
          <w:sz w:val="20"/>
          <w:szCs w:val="16"/>
        </w:rPr>
      </w:pPr>
      <w:r w:rsidRPr="004E70CE">
        <w:rPr>
          <w:sz w:val="20"/>
          <w:szCs w:val="16"/>
        </w:rPr>
        <w:t xml:space="preserve">Note: ~ means the value is smaller than </w:t>
      </w:r>
      <m:oMath>
        <m:r>
          <m:rPr>
            <m:sty m:val="p"/>
          </m:rPr>
          <w:rPr>
            <w:rFonts w:ascii="Cambria Math" w:hAnsi="Cambria Math"/>
            <w:sz w:val="20"/>
            <w:szCs w:val="16"/>
          </w:rPr>
          <m:t>±</m:t>
        </m:r>
      </m:oMath>
      <w:r w:rsidRPr="004E70CE">
        <w:rPr>
          <w:rFonts w:eastAsiaTheme="minorEastAsia"/>
          <w:sz w:val="20"/>
          <w:szCs w:val="16"/>
        </w:rPr>
        <w:t>0.</w:t>
      </w:r>
      <w:r w:rsidRPr="004E70CE" w:rsidDel="00611511">
        <w:rPr>
          <w:rFonts w:eastAsiaTheme="minorEastAsia"/>
          <w:sz w:val="20"/>
          <w:szCs w:val="16"/>
        </w:rPr>
        <w:t>0</w:t>
      </w:r>
      <w:r w:rsidRPr="004E70CE">
        <w:rPr>
          <w:rFonts w:eastAsiaTheme="minorEastAsia"/>
          <w:sz w:val="20"/>
          <w:szCs w:val="16"/>
        </w:rPr>
        <w:t>01% and is considered to be zero.</w:t>
      </w:r>
    </w:p>
    <w:p w14:paraId="2D624F9A" w14:textId="77777777" w:rsidR="00085F8A" w:rsidRPr="004E70CE" w:rsidRDefault="00085F8A" w:rsidP="00085F8A">
      <w:r w:rsidRPr="004E70CE">
        <w:t>Overall, the impact of a</w:t>
      </w:r>
      <w:r w:rsidRPr="004E70CE" w:rsidDel="003817E7">
        <w:t xml:space="preserve"> </w:t>
      </w:r>
      <w:r w:rsidRPr="004E70CE">
        <w:t xml:space="preserve">border carbon adjustment on Australian commodity import volumes is broadly consistent across scenarios (with the exception of steel) and is associated with both the size of the adjustment liability rate and its carbon reduction ambition relative to other countries. The effects of the border carbon adjustment are largest for cement, clinker and lime. The size of the effect is similar in both scenarios. Comparison of the cement-only and combined sectors scenarios illustrates some </w:t>
      </w:r>
      <w:bookmarkStart w:id="36" w:name="_Hlk168060819"/>
      <w:r w:rsidRPr="004E70CE">
        <w:t>very minor</w:t>
      </w:r>
      <w:bookmarkEnd w:id="36"/>
      <w:r w:rsidRPr="004E70CE">
        <w:t xml:space="preserve"> cross-commodity impacts. </w:t>
      </w:r>
    </w:p>
    <w:p w14:paraId="2F949FE3" w14:textId="77777777" w:rsidR="00085F8A" w:rsidRPr="004E70CE" w:rsidRDefault="00085F8A" w:rsidP="00085F8A">
      <w:pPr>
        <w:pStyle w:val="Bullet"/>
        <w:numPr>
          <w:ilvl w:val="0"/>
          <w:numId w:val="0"/>
        </w:numPr>
        <w:rPr>
          <w:b/>
          <w:lang w:eastAsia="en-AU"/>
        </w:rPr>
      </w:pPr>
      <w:r w:rsidRPr="004E70CE">
        <w:rPr>
          <w:b/>
          <w:lang w:eastAsia="en-AU"/>
        </w:rPr>
        <w:t>Table 8: Industry import volumes in 2030, by commodity (% deviation from current policy)</w:t>
      </w:r>
    </w:p>
    <w:tbl>
      <w:tblPr>
        <w:tblStyle w:val="ListTable3-Accent1"/>
        <w:tblW w:w="9026" w:type="dxa"/>
        <w:tblLayout w:type="fixed"/>
        <w:tblLook w:val="04A0" w:firstRow="1" w:lastRow="0" w:firstColumn="1" w:lastColumn="0" w:noHBand="0" w:noVBand="1"/>
      </w:tblPr>
      <w:tblGrid>
        <w:gridCol w:w="2263"/>
        <w:gridCol w:w="1690"/>
        <w:gridCol w:w="1691"/>
        <w:gridCol w:w="1691"/>
        <w:gridCol w:w="1691"/>
      </w:tblGrid>
      <w:tr w:rsidR="00557586" w:rsidRPr="0015719B" w14:paraId="06BA5A3A" w14:textId="77777777" w:rsidTr="00557586">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2263" w:type="dxa"/>
            <w:hideMark/>
          </w:tcPr>
          <w:p w14:paraId="73C6923E" w14:textId="77777777" w:rsidR="00085F8A" w:rsidRPr="0015719B" w:rsidRDefault="00085F8A" w:rsidP="00A963EA">
            <w:pPr>
              <w:spacing w:after="0"/>
              <w:rPr>
                <w:rFonts w:ascii="Calibri" w:eastAsia="Times New Roman" w:hAnsi="Calibri" w:cs="Calibri"/>
                <w:b w:val="0"/>
                <w:i/>
                <w:sz w:val="18"/>
                <w:szCs w:val="18"/>
                <w:lang w:eastAsia="en-AU"/>
              </w:rPr>
            </w:pPr>
            <w:r w:rsidRPr="0015719B">
              <w:rPr>
                <w:rFonts w:ascii="Calibri" w:eastAsia="Times New Roman" w:hAnsi="Calibri" w:cs="Calibri"/>
                <w:sz w:val="18"/>
                <w:szCs w:val="18"/>
                <w:lang w:eastAsia="en-AU"/>
              </w:rPr>
              <w:t>Variable</w:t>
            </w:r>
          </w:p>
        </w:tc>
        <w:tc>
          <w:tcPr>
            <w:tcW w:w="1690" w:type="dxa"/>
            <w:hideMark/>
          </w:tcPr>
          <w:p w14:paraId="23E53901" w14:textId="77777777" w:rsidR="00085F8A" w:rsidRPr="0015719B" w:rsidRDefault="00085F8A" w:rsidP="00A963EA">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i/>
                <w:sz w:val="18"/>
                <w:szCs w:val="18"/>
                <w:lang w:eastAsia="en-AU"/>
              </w:rPr>
            </w:pPr>
            <w:r w:rsidRPr="0015719B">
              <w:rPr>
                <w:rFonts w:ascii="Calibri" w:eastAsia="Times New Roman" w:hAnsi="Calibri" w:cs="Calibri"/>
                <w:sz w:val="18"/>
                <w:szCs w:val="18"/>
                <w:lang w:eastAsia="en-AU"/>
              </w:rPr>
              <w:t xml:space="preserve">Scenario 1 – combined sectors </w:t>
            </w:r>
          </w:p>
        </w:tc>
        <w:tc>
          <w:tcPr>
            <w:tcW w:w="1691" w:type="dxa"/>
            <w:hideMark/>
          </w:tcPr>
          <w:p w14:paraId="2BC8A52B" w14:textId="77777777" w:rsidR="00085F8A" w:rsidRPr="0015719B" w:rsidRDefault="00085F8A" w:rsidP="00A963EA">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i/>
                <w:sz w:val="18"/>
                <w:szCs w:val="18"/>
                <w:lang w:eastAsia="en-AU"/>
              </w:rPr>
            </w:pPr>
            <w:r w:rsidRPr="0015719B">
              <w:rPr>
                <w:rFonts w:ascii="Calibri" w:eastAsia="Times New Roman" w:hAnsi="Calibri" w:cs="Calibri"/>
                <w:sz w:val="18"/>
                <w:szCs w:val="18"/>
                <w:lang w:eastAsia="en-AU"/>
              </w:rPr>
              <w:t>Scenario 2 – combined sectors</w:t>
            </w:r>
          </w:p>
        </w:tc>
        <w:tc>
          <w:tcPr>
            <w:tcW w:w="1691" w:type="dxa"/>
          </w:tcPr>
          <w:p w14:paraId="4B75393D" w14:textId="77777777" w:rsidR="00085F8A" w:rsidRPr="0015719B" w:rsidRDefault="00085F8A" w:rsidP="00A963EA">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i/>
                <w:sz w:val="18"/>
                <w:szCs w:val="18"/>
                <w:lang w:eastAsia="en-AU"/>
              </w:rPr>
            </w:pPr>
            <w:r w:rsidRPr="0015719B">
              <w:rPr>
                <w:rFonts w:ascii="Calibri" w:eastAsia="Times New Roman" w:hAnsi="Calibri" w:cs="Calibri"/>
                <w:sz w:val="18"/>
                <w:szCs w:val="18"/>
                <w:lang w:eastAsia="en-AU"/>
              </w:rPr>
              <w:t>Scenario 1 – cement only</w:t>
            </w:r>
          </w:p>
        </w:tc>
        <w:tc>
          <w:tcPr>
            <w:tcW w:w="1691" w:type="dxa"/>
          </w:tcPr>
          <w:p w14:paraId="6B21B219" w14:textId="77777777" w:rsidR="00085F8A" w:rsidRPr="0015719B" w:rsidRDefault="00085F8A" w:rsidP="00A963EA">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i/>
                <w:sz w:val="18"/>
                <w:szCs w:val="18"/>
                <w:lang w:eastAsia="en-AU"/>
              </w:rPr>
            </w:pPr>
            <w:r w:rsidRPr="0015719B">
              <w:rPr>
                <w:rFonts w:ascii="Calibri" w:eastAsia="Times New Roman" w:hAnsi="Calibri" w:cs="Calibri"/>
                <w:sz w:val="18"/>
                <w:szCs w:val="18"/>
                <w:lang w:eastAsia="en-AU"/>
              </w:rPr>
              <w:t>Scenario 2 – cement only</w:t>
            </w:r>
          </w:p>
        </w:tc>
      </w:tr>
      <w:tr w:rsidR="00085F8A" w:rsidRPr="0015719B" w14:paraId="16014725" w14:textId="77777777" w:rsidTr="0055758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3" w:type="dxa"/>
            <w:hideMark/>
          </w:tcPr>
          <w:p w14:paraId="36242156" w14:textId="77777777" w:rsidR="00085F8A" w:rsidRPr="0015719B" w:rsidRDefault="00085F8A" w:rsidP="00A963EA">
            <w:pPr>
              <w:spacing w:after="0"/>
              <w:rPr>
                <w:rFonts w:ascii="Calibri" w:eastAsia="Times New Roman" w:hAnsi="Calibri" w:cs="Calibri"/>
                <w:i/>
                <w:color w:val="000000"/>
                <w:sz w:val="18"/>
                <w:szCs w:val="18"/>
                <w:lang w:eastAsia="en-AU"/>
              </w:rPr>
            </w:pPr>
            <w:r w:rsidRPr="0015719B">
              <w:rPr>
                <w:rFonts w:ascii="Calibri" w:eastAsia="Times New Roman" w:hAnsi="Calibri" w:cs="Calibri"/>
                <w:color w:val="000000"/>
                <w:sz w:val="18"/>
                <w:szCs w:val="18"/>
                <w:lang w:eastAsia="en-AU"/>
              </w:rPr>
              <w:t>Iron and steel​</w:t>
            </w:r>
          </w:p>
        </w:tc>
        <w:tc>
          <w:tcPr>
            <w:tcW w:w="1690" w:type="dxa"/>
            <w:noWrap/>
            <w:hideMark/>
          </w:tcPr>
          <w:p w14:paraId="231FB7E9" w14:textId="77777777" w:rsidR="00085F8A" w:rsidRPr="0015719B"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-0.106%</w:t>
            </w:r>
          </w:p>
        </w:tc>
        <w:tc>
          <w:tcPr>
            <w:tcW w:w="1691" w:type="dxa"/>
            <w:noWrap/>
            <w:hideMark/>
          </w:tcPr>
          <w:p w14:paraId="12DF2D0E" w14:textId="77777777" w:rsidR="00085F8A" w:rsidRPr="0015719B"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0.106%</w:t>
            </w:r>
          </w:p>
        </w:tc>
        <w:tc>
          <w:tcPr>
            <w:tcW w:w="1691" w:type="dxa"/>
          </w:tcPr>
          <w:p w14:paraId="16D02989" w14:textId="77777777" w:rsidR="00085F8A" w:rsidRPr="0015719B"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w:t>
            </w:r>
          </w:p>
        </w:tc>
        <w:tc>
          <w:tcPr>
            <w:tcW w:w="1691" w:type="dxa"/>
          </w:tcPr>
          <w:p w14:paraId="4AD63021" w14:textId="77777777" w:rsidR="00085F8A" w:rsidRPr="0015719B"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-0.017%</w:t>
            </w:r>
          </w:p>
        </w:tc>
      </w:tr>
      <w:tr w:rsidR="00085F8A" w:rsidRPr="0015719B" w14:paraId="70F53703" w14:textId="77777777" w:rsidTr="00557586">
        <w:trPr>
          <w:trHeight w:val="240"/>
        </w:trPr>
        <w:tc>
          <w:tcPr>
            <w:cnfStyle w:val="001000000000" w:firstRow="0" w:lastRow="0" w:firstColumn="1" w:lastColumn="0" w:oddVBand="0" w:evenVBand="0" w:oddHBand="0" w:evenHBand="0" w:firstRowFirstColumn="0" w:firstRowLastColumn="0" w:lastRowFirstColumn="0" w:lastRowLastColumn="0"/>
            <w:tcW w:w="2263" w:type="dxa"/>
            <w:hideMark/>
          </w:tcPr>
          <w:p w14:paraId="4A131229" w14:textId="77777777" w:rsidR="00085F8A" w:rsidRPr="0015719B" w:rsidRDefault="00085F8A" w:rsidP="00A963EA">
            <w:pPr>
              <w:spacing w:after="0"/>
              <w:rPr>
                <w:rFonts w:ascii="Calibri" w:eastAsia="Times New Roman" w:hAnsi="Calibri" w:cs="Calibri"/>
                <w:i/>
                <w:color w:val="000000"/>
                <w:sz w:val="18"/>
                <w:szCs w:val="18"/>
                <w:lang w:eastAsia="en-AU"/>
              </w:rPr>
            </w:pPr>
            <w:r w:rsidRPr="0015719B">
              <w:rPr>
                <w:rFonts w:ascii="Calibri" w:eastAsia="Times New Roman" w:hAnsi="Calibri" w:cs="Calibri"/>
                <w:color w:val="000000"/>
                <w:sz w:val="18"/>
                <w:szCs w:val="18"/>
                <w:lang w:eastAsia="en-AU"/>
              </w:rPr>
              <w:t>Basic chemicals​</w:t>
            </w:r>
          </w:p>
        </w:tc>
        <w:tc>
          <w:tcPr>
            <w:tcW w:w="1690" w:type="dxa"/>
            <w:noWrap/>
            <w:hideMark/>
          </w:tcPr>
          <w:p w14:paraId="58AC7FD1" w14:textId="77777777" w:rsidR="00085F8A" w:rsidRPr="0015719B" w:rsidRDefault="00085F8A" w:rsidP="00A963EA">
            <w:pPr>
              <w:spacing w:after="0"/>
              <w:jc w:val="center"/>
              <w:cnfStyle w:val="000000000000" w:firstRow="0" w:lastRow="0" w:firstColumn="0" w:lastColumn="0" w:oddVBand="0" w:evenVBand="0" w:oddHBand="0"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-0.155%</w:t>
            </w:r>
          </w:p>
        </w:tc>
        <w:tc>
          <w:tcPr>
            <w:tcW w:w="1691" w:type="dxa"/>
            <w:noWrap/>
            <w:hideMark/>
          </w:tcPr>
          <w:p w14:paraId="6CB0555B" w14:textId="77777777" w:rsidR="00085F8A" w:rsidRPr="0015719B" w:rsidRDefault="00085F8A" w:rsidP="00A963EA">
            <w:pPr>
              <w:spacing w:after="0"/>
              <w:jc w:val="center"/>
              <w:cnfStyle w:val="000000000000" w:firstRow="0" w:lastRow="0" w:firstColumn="0" w:lastColumn="0" w:oddVBand="0" w:evenVBand="0" w:oddHBand="0"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-0.170%</w:t>
            </w:r>
          </w:p>
        </w:tc>
        <w:tc>
          <w:tcPr>
            <w:tcW w:w="1691" w:type="dxa"/>
          </w:tcPr>
          <w:p w14:paraId="43C77B7F" w14:textId="77777777" w:rsidR="00085F8A" w:rsidRPr="0015719B" w:rsidRDefault="00085F8A" w:rsidP="00A963EA">
            <w:pPr>
              <w:spacing w:after="0"/>
              <w:jc w:val="center"/>
              <w:cnfStyle w:val="000000000000" w:firstRow="0" w:lastRow="0" w:firstColumn="0" w:lastColumn="0" w:oddVBand="0" w:evenVBand="0" w:oddHBand="0"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w:t>
            </w:r>
          </w:p>
        </w:tc>
        <w:tc>
          <w:tcPr>
            <w:tcW w:w="1691" w:type="dxa"/>
          </w:tcPr>
          <w:p w14:paraId="56D97F4B" w14:textId="77777777" w:rsidR="00085F8A" w:rsidRPr="0015719B" w:rsidRDefault="00085F8A" w:rsidP="00A963EA">
            <w:pPr>
              <w:spacing w:after="0"/>
              <w:jc w:val="center"/>
              <w:cnfStyle w:val="000000000000" w:firstRow="0" w:lastRow="0" w:firstColumn="0" w:lastColumn="0" w:oddVBand="0" w:evenVBand="0" w:oddHBand="0"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-0.004%</w:t>
            </w:r>
          </w:p>
        </w:tc>
      </w:tr>
      <w:tr w:rsidR="00085F8A" w:rsidRPr="0015719B" w14:paraId="78B3B0E4" w14:textId="77777777" w:rsidTr="0055758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3" w:type="dxa"/>
            <w:hideMark/>
          </w:tcPr>
          <w:p w14:paraId="0A4C54F8" w14:textId="77777777" w:rsidR="00085F8A" w:rsidRPr="0015719B" w:rsidRDefault="00085F8A" w:rsidP="00A963EA">
            <w:pPr>
              <w:spacing w:after="0"/>
              <w:rPr>
                <w:rFonts w:ascii="Calibri" w:eastAsia="Times New Roman" w:hAnsi="Calibri" w:cs="Calibri"/>
                <w:i/>
                <w:color w:val="000000"/>
                <w:sz w:val="18"/>
                <w:szCs w:val="18"/>
                <w:lang w:eastAsia="en-AU"/>
              </w:rPr>
            </w:pPr>
            <w:r w:rsidRPr="0015719B">
              <w:rPr>
                <w:rFonts w:ascii="Calibri" w:eastAsia="Times New Roman" w:hAnsi="Calibri" w:cs="Calibri"/>
                <w:color w:val="000000"/>
                <w:sz w:val="18"/>
                <w:szCs w:val="18"/>
                <w:lang w:eastAsia="en-AU"/>
              </w:rPr>
              <w:t>Petrol​</w:t>
            </w:r>
          </w:p>
        </w:tc>
        <w:tc>
          <w:tcPr>
            <w:tcW w:w="1690" w:type="dxa"/>
            <w:noWrap/>
            <w:hideMark/>
          </w:tcPr>
          <w:p w14:paraId="2D6470B5" w14:textId="77777777" w:rsidR="00085F8A" w:rsidRPr="0015719B"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w:t>
            </w:r>
          </w:p>
        </w:tc>
        <w:tc>
          <w:tcPr>
            <w:tcW w:w="1691" w:type="dxa"/>
            <w:noWrap/>
            <w:hideMark/>
          </w:tcPr>
          <w:p w14:paraId="01449597" w14:textId="77777777" w:rsidR="00085F8A" w:rsidRPr="0015719B"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-0.004%</w:t>
            </w:r>
          </w:p>
        </w:tc>
        <w:tc>
          <w:tcPr>
            <w:tcW w:w="1691" w:type="dxa"/>
          </w:tcPr>
          <w:p w14:paraId="3F2B806C" w14:textId="77777777" w:rsidR="00085F8A" w:rsidRPr="0015719B"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w:t>
            </w:r>
          </w:p>
        </w:tc>
        <w:tc>
          <w:tcPr>
            <w:tcW w:w="1691" w:type="dxa"/>
          </w:tcPr>
          <w:p w14:paraId="02EA7C6A" w14:textId="77777777" w:rsidR="00085F8A" w:rsidRPr="0015719B"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0.001%</w:t>
            </w:r>
          </w:p>
        </w:tc>
      </w:tr>
      <w:tr w:rsidR="00085F8A" w:rsidRPr="0015719B" w14:paraId="00ED1EC0" w14:textId="77777777" w:rsidTr="00557586">
        <w:trPr>
          <w:trHeight w:val="240"/>
        </w:trPr>
        <w:tc>
          <w:tcPr>
            <w:cnfStyle w:val="001000000000" w:firstRow="0" w:lastRow="0" w:firstColumn="1" w:lastColumn="0" w:oddVBand="0" w:evenVBand="0" w:oddHBand="0" w:evenHBand="0" w:firstRowFirstColumn="0" w:firstRowLastColumn="0" w:lastRowFirstColumn="0" w:lastRowLastColumn="0"/>
            <w:tcW w:w="2263" w:type="dxa"/>
            <w:hideMark/>
          </w:tcPr>
          <w:p w14:paraId="2096187D" w14:textId="77777777" w:rsidR="00085F8A" w:rsidRPr="0015719B" w:rsidRDefault="00085F8A" w:rsidP="00A963EA">
            <w:pPr>
              <w:spacing w:after="0"/>
              <w:rPr>
                <w:rFonts w:ascii="Calibri" w:eastAsia="Times New Roman" w:hAnsi="Calibri" w:cs="Calibri"/>
                <w:i/>
                <w:color w:val="000000"/>
                <w:sz w:val="18"/>
                <w:szCs w:val="18"/>
                <w:lang w:eastAsia="en-AU"/>
              </w:rPr>
            </w:pPr>
            <w:r w:rsidRPr="0015719B">
              <w:rPr>
                <w:rFonts w:ascii="Calibri" w:eastAsia="Times New Roman" w:hAnsi="Calibri" w:cs="Calibri"/>
                <w:color w:val="000000"/>
                <w:sz w:val="18"/>
                <w:szCs w:val="18"/>
                <w:lang w:eastAsia="en-AU"/>
              </w:rPr>
              <w:t>Manufacturing​</w:t>
            </w:r>
          </w:p>
        </w:tc>
        <w:tc>
          <w:tcPr>
            <w:tcW w:w="1690" w:type="dxa"/>
            <w:noWrap/>
            <w:hideMark/>
          </w:tcPr>
          <w:p w14:paraId="39362EFB" w14:textId="77777777" w:rsidR="00085F8A" w:rsidRPr="0015719B" w:rsidRDefault="00085F8A" w:rsidP="00A963EA">
            <w:pPr>
              <w:spacing w:after="0"/>
              <w:jc w:val="center"/>
              <w:cnfStyle w:val="000000000000" w:firstRow="0" w:lastRow="0" w:firstColumn="0" w:lastColumn="0" w:oddVBand="0" w:evenVBand="0" w:oddHBand="0"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0.003%</w:t>
            </w:r>
          </w:p>
        </w:tc>
        <w:tc>
          <w:tcPr>
            <w:tcW w:w="1691" w:type="dxa"/>
            <w:noWrap/>
            <w:hideMark/>
          </w:tcPr>
          <w:p w14:paraId="6EB5162B" w14:textId="77777777" w:rsidR="00085F8A" w:rsidRPr="0015719B" w:rsidRDefault="00085F8A" w:rsidP="00A963EA">
            <w:pPr>
              <w:spacing w:after="0"/>
              <w:jc w:val="center"/>
              <w:cnfStyle w:val="000000000000" w:firstRow="0" w:lastRow="0" w:firstColumn="0" w:lastColumn="0" w:oddVBand="0" w:evenVBand="0" w:oddHBand="0"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0.009%</w:t>
            </w:r>
          </w:p>
        </w:tc>
        <w:tc>
          <w:tcPr>
            <w:tcW w:w="1691" w:type="dxa"/>
          </w:tcPr>
          <w:p w14:paraId="3420584C" w14:textId="77777777" w:rsidR="00085F8A" w:rsidRPr="0015719B" w:rsidRDefault="00085F8A" w:rsidP="00A963EA">
            <w:pPr>
              <w:spacing w:after="0"/>
              <w:jc w:val="center"/>
              <w:cnfStyle w:val="000000000000" w:firstRow="0" w:lastRow="0" w:firstColumn="0" w:lastColumn="0" w:oddVBand="0" w:evenVBand="0" w:oddHBand="0"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w:t>
            </w:r>
          </w:p>
        </w:tc>
        <w:tc>
          <w:tcPr>
            <w:tcW w:w="1691" w:type="dxa"/>
          </w:tcPr>
          <w:p w14:paraId="57E82C02" w14:textId="77777777" w:rsidR="00085F8A" w:rsidRPr="0015719B" w:rsidRDefault="00085F8A" w:rsidP="00A963EA">
            <w:pPr>
              <w:spacing w:after="0"/>
              <w:jc w:val="center"/>
              <w:cnfStyle w:val="000000000000" w:firstRow="0" w:lastRow="0" w:firstColumn="0" w:lastColumn="0" w:oddVBand="0" w:evenVBand="0" w:oddHBand="0"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0.003%</w:t>
            </w:r>
          </w:p>
        </w:tc>
      </w:tr>
      <w:tr w:rsidR="00085F8A" w:rsidRPr="0015719B" w14:paraId="5CA93C99" w14:textId="77777777" w:rsidTr="0055758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3" w:type="dxa"/>
            <w:hideMark/>
          </w:tcPr>
          <w:p w14:paraId="23C14CF2" w14:textId="77777777" w:rsidR="00085F8A" w:rsidRPr="0015719B" w:rsidRDefault="00085F8A" w:rsidP="00A963EA">
            <w:pPr>
              <w:spacing w:after="0"/>
              <w:rPr>
                <w:rFonts w:ascii="Calibri" w:eastAsia="Times New Roman" w:hAnsi="Calibri" w:cs="Calibri"/>
                <w:i/>
                <w:color w:val="000000"/>
                <w:sz w:val="18"/>
                <w:szCs w:val="18"/>
                <w:lang w:eastAsia="en-AU"/>
              </w:rPr>
            </w:pPr>
            <w:r w:rsidRPr="0015719B">
              <w:rPr>
                <w:rFonts w:ascii="Calibri" w:eastAsia="Times New Roman" w:hAnsi="Calibri" w:cs="Calibri"/>
                <w:color w:val="000000"/>
                <w:sz w:val="18"/>
                <w:szCs w:val="18"/>
                <w:lang w:eastAsia="en-AU"/>
              </w:rPr>
              <w:t>Cement and lime​</w:t>
            </w:r>
          </w:p>
        </w:tc>
        <w:tc>
          <w:tcPr>
            <w:tcW w:w="1690" w:type="dxa"/>
            <w:noWrap/>
            <w:hideMark/>
          </w:tcPr>
          <w:p w14:paraId="49B1A54C" w14:textId="77777777" w:rsidR="00085F8A" w:rsidRPr="0015719B"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-0.458%</w:t>
            </w:r>
          </w:p>
        </w:tc>
        <w:tc>
          <w:tcPr>
            <w:tcW w:w="1691" w:type="dxa"/>
            <w:noWrap/>
            <w:hideMark/>
          </w:tcPr>
          <w:p w14:paraId="3F1F4198" w14:textId="77777777" w:rsidR="00085F8A" w:rsidRPr="0015719B"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0.005%</w:t>
            </w:r>
          </w:p>
        </w:tc>
        <w:tc>
          <w:tcPr>
            <w:tcW w:w="1691" w:type="dxa"/>
          </w:tcPr>
          <w:p w14:paraId="2D243272" w14:textId="77777777" w:rsidR="00085F8A" w:rsidRPr="0015719B"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-0.462%</w:t>
            </w:r>
          </w:p>
        </w:tc>
        <w:tc>
          <w:tcPr>
            <w:tcW w:w="1691" w:type="dxa"/>
          </w:tcPr>
          <w:p w14:paraId="60B00B2A" w14:textId="77777777" w:rsidR="00085F8A" w:rsidRPr="0015719B"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0.140%</w:t>
            </w:r>
          </w:p>
        </w:tc>
      </w:tr>
      <w:tr w:rsidR="00085F8A" w:rsidRPr="0015719B" w14:paraId="0A3010F0" w14:textId="77777777" w:rsidTr="00557586">
        <w:trPr>
          <w:trHeight w:val="240"/>
        </w:trPr>
        <w:tc>
          <w:tcPr>
            <w:cnfStyle w:val="001000000000" w:firstRow="0" w:lastRow="0" w:firstColumn="1" w:lastColumn="0" w:oddVBand="0" w:evenVBand="0" w:oddHBand="0" w:evenHBand="0" w:firstRowFirstColumn="0" w:firstRowLastColumn="0" w:lastRowFirstColumn="0" w:lastRowLastColumn="0"/>
            <w:tcW w:w="2263" w:type="dxa"/>
            <w:hideMark/>
          </w:tcPr>
          <w:p w14:paraId="63869A76" w14:textId="77777777" w:rsidR="00085F8A" w:rsidRPr="0015719B" w:rsidRDefault="00085F8A" w:rsidP="00A963EA">
            <w:pPr>
              <w:spacing w:after="0"/>
              <w:rPr>
                <w:rFonts w:ascii="Calibri" w:eastAsia="Times New Roman" w:hAnsi="Calibri" w:cs="Calibri"/>
                <w:i/>
                <w:color w:val="000000"/>
                <w:sz w:val="18"/>
                <w:szCs w:val="18"/>
                <w:lang w:eastAsia="en-AU"/>
              </w:rPr>
            </w:pPr>
            <w:r w:rsidRPr="0015719B">
              <w:rPr>
                <w:rFonts w:ascii="Calibri" w:eastAsia="Times New Roman" w:hAnsi="Calibri" w:cs="Calibri"/>
                <w:color w:val="000000"/>
                <w:sz w:val="18"/>
                <w:szCs w:val="18"/>
                <w:lang w:eastAsia="en-AU"/>
              </w:rPr>
              <w:t>Basic non-ferrous metals​</w:t>
            </w:r>
          </w:p>
        </w:tc>
        <w:tc>
          <w:tcPr>
            <w:tcW w:w="1690" w:type="dxa"/>
            <w:noWrap/>
            <w:hideMark/>
          </w:tcPr>
          <w:p w14:paraId="3DE09BC0" w14:textId="77777777" w:rsidR="00085F8A" w:rsidRPr="0015719B" w:rsidRDefault="00085F8A" w:rsidP="00A963EA">
            <w:pPr>
              <w:spacing w:after="0"/>
              <w:jc w:val="center"/>
              <w:cnfStyle w:val="000000000000" w:firstRow="0" w:lastRow="0" w:firstColumn="0" w:lastColumn="0" w:oddVBand="0" w:evenVBand="0" w:oddHBand="0"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w:t>
            </w:r>
          </w:p>
        </w:tc>
        <w:tc>
          <w:tcPr>
            <w:tcW w:w="1691" w:type="dxa"/>
            <w:noWrap/>
            <w:hideMark/>
          </w:tcPr>
          <w:p w14:paraId="6CC3EA64" w14:textId="77777777" w:rsidR="00085F8A" w:rsidRPr="0015719B" w:rsidRDefault="00085F8A" w:rsidP="00A963EA">
            <w:pPr>
              <w:spacing w:after="0"/>
              <w:jc w:val="center"/>
              <w:cnfStyle w:val="000000000000" w:firstRow="0" w:lastRow="0" w:firstColumn="0" w:lastColumn="0" w:oddVBand="0" w:evenVBand="0" w:oddHBand="0"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-0.031%</w:t>
            </w:r>
          </w:p>
        </w:tc>
        <w:tc>
          <w:tcPr>
            <w:tcW w:w="1691" w:type="dxa"/>
          </w:tcPr>
          <w:p w14:paraId="3303EFC5" w14:textId="77777777" w:rsidR="00085F8A" w:rsidRPr="0015719B" w:rsidRDefault="00085F8A" w:rsidP="00A963EA">
            <w:pPr>
              <w:spacing w:after="0"/>
              <w:jc w:val="center"/>
              <w:cnfStyle w:val="000000000000" w:firstRow="0" w:lastRow="0" w:firstColumn="0" w:lastColumn="0" w:oddVBand="0" w:evenVBand="0" w:oddHBand="0"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w:t>
            </w:r>
          </w:p>
        </w:tc>
        <w:tc>
          <w:tcPr>
            <w:tcW w:w="1691" w:type="dxa"/>
          </w:tcPr>
          <w:p w14:paraId="391232B5" w14:textId="77777777" w:rsidR="00085F8A" w:rsidRPr="0015719B" w:rsidRDefault="00085F8A" w:rsidP="00A963EA">
            <w:pPr>
              <w:spacing w:after="0"/>
              <w:jc w:val="center"/>
              <w:cnfStyle w:val="000000000000" w:firstRow="0" w:lastRow="0" w:firstColumn="0" w:lastColumn="0" w:oddVBand="0" w:evenVBand="0" w:oddHBand="0"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-0.004%</w:t>
            </w:r>
          </w:p>
        </w:tc>
      </w:tr>
      <w:tr w:rsidR="00085F8A" w:rsidRPr="0015719B" w14:paraId="2E3B1BA2" w14:textId="77777777" w:rsidTr="0055758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1069017" w14:textId="77777777" w:rsidR="00085F8A" w:rsidRPr="0015719B" w:rsidRDefault="00085F8A" w:rsidP="00A963EA">
            <w:pPr>
              <w:spacing w:after="0"/>
              <w:rPr>
                <w:rFonts w:ascii="Calibri" w:eastAsia="Times New Roman" w:hAnsi="Calibri" w:cs="Calibri"/>
                <w:i/>
                <w:color w:val="000000"/>
                <w:sz w:val="18"/>
                <w:szCs w:val="18"/>
                <w:lang w:eastAsia="en-AU"/>
              </w:rPr>
            </w:pPr>
            <w:r w:rsidRPr="0015719B">
              <w:rPr>
                <w:rFonts w:ascii="Calibri" w:eastAsia="Times New Roman" w:hAnsi="Calibri" w:cs="Calibri"/>
                <w:color w:val="000000"/>
                <w:sz w:val="18"/>
                <w:szCs w:val="18"/>
                <w:lang w:eastAsia="en-AU"/>
              </w:rPr>
              <w:t>Construction</w:t>
            </w:r>
          </w:p>
        </w:tc>
        <w:tc>
          <w:tcPr>
            <w:tcW w:w="1690" w:type="dxa"/>
            <w:noWrap/>
            <w:hideMark/>
          </w:tcPr>
          <w:p w14:paraId="23D2B872" w14:textId="77777777" w:rsidR="00085F8A" w:rsidRPr="0015719B"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0.004%</w:t>
            </w:r>
          </w:p>
        </w:tc>
        <w:tc>
          <w:tcPr>
            <w:tcW w:w="1691" w:type="dxa"/>
            <w:noWrap/>
            <w:hideMark/>
          </w:tcPr>
          <w:p w14:paraId="65FAAB14" w14:textId="77777777" w:rsidR="00085F8A" w:rsidRPr="0015719B"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0.014%</w:t>
            </w:r>
          </w:p>
        </w:tc>
        <w:tc>
          <w:tcPr>
            <w:tcW w:w="1691" w:type="dxa"/>
          </w:tcPr>
          <w:p w14:paraId="5C820AE9" w14:textId="77777777" w:rsidR="00085F8A" w:rsidRPr="0015719B"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w:t>
            </w:r>
          </w:p>
        </w:tc>
        <w:tc>
          <w:tcPr>
            <w:tcW w:w="1691" w:type="dxa"/>
          </w:tcPr>
          <w:p w14:paraId="03E97506" w14:textId="77777777" w:rsidR="00085F8A" w:rsidRPr="0015719B"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0.019%</w:t>
            </w:r>
          </w:p>
        </w:tc>
      </w:tr>
      <w:tr w:rsidR="00085F8A" w:rsidRPr="0015719B" w14:paraId="2E96E4A9" w14:textId="77777777" w:rsidTr="00557586">
        <w:trPr>
          <w:trHeight w:val="24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C9FCF06" w14:textId="77777777" w:rsidR="00085F8A" w:rsidRPr="0015719B" w:rsidRDefault="00085F8A" w:rsidP="00A963EA">
            <w:pPr>
              <w:spacing w:after="0"/>
              <w:rPr>
                <w:rFonts w:ascii="Calibri" w:eastAsia="Times New Roman" w:hAnsi="Calibri" w:cs="Calibri"/>
                <w:i/>
                <w:color w:val="000000"/>
                <w:sz w:val="18"/>
                <w:szCs w:val="18"/>
                <w:lang w:eastAsia="en-AU"/>
              </w:rPr>
            </w:pPr>
            <w:r w:rsidRPr="0015719B">
              <w:rPr>
                <w:rFonts w:ascii="Calibri" w:eastAsia="Times New Roman" w:hAnsi="Calibri" w:cs="Calibri"/>
                <w:color w:val="000000"/>
                <w:sz w:val="18"/>
                <w:szCs w:val="18"/>
                <w:lang w:eastAsia="en-AU"/>
              </w:rPr>
              <w:t>Crops and livestock</w:t>
            </w:r>
          </w:p>
        </w:tc>
        <w:tc>
          <w:tcPr>
            <w:tcW w:w="1690" w:type="dxa"/>
            <w:noWrap/>
            <w:hideMark/>
          </w:tcPr>
          <w:p w14:paraId="09D5E35D" w14:textId="77777777" w:rsidR="00085F8A" w:rsidRPr="0015719B" w:rsidRDefault="00085F8A" w:rsidP="00A963EA">
            <w:pPr>
              <w:spacing w:after="0"/>
              <w:jc w:val="center"/>
              <w:cnfStyle w:val="000000000000" w:firstRow="0" w:lastRow="0" w:firstColumn="0" w:lastColumn="0" w:oddVBand="0" w:evenVBand="0" w:oddHBand="0"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0.001%</w:t>
            </w:r>
          </w:p>
        </w:tc>
        <w:tc>
          <w:tcPr>
            <w:tcW w:w="1691" w:type="dxa"/>
            <w:noWrap/>
            <w:hideMark/>
          </w:tcPr>
          <w:p w14:paraId="6D801384" w14:textId="77777777" w:rsidR="00085F8A" w:rsidRPr="0015719B" w:rsidRDefault="00085F8A" w:rsidP="00A963EA">
            <w:pPr>
              <w:spacing w:after="0"/>
              <w:jc w:val="center"/>
              <w:cnfStyle w:val="000000000000" w:firstRow="0" w:lastRow="0" w:firstColumn="0" w:lastColumn="0" w:oddVBand="0" w:evenVBand="0" w:oddHBand="0"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-0.008%</w:t>
            </w:r>
          </w:p>
        </w:tc>
        <w:tc>
          <w:tcPr>
            <w:tcW w:w="1691" w:type="dxa"/>
          </w:tcPr>
          <w:p w14:paraId="657999A6" w14:textId="77777777" w:rsidR="00085F8A" w:rsidRPr="0015719B" w:rsidRDefault="00085F8A" w:rsidP="00A963EA">
            <w:pPr>
              <w:spacing w:after="0"/>
              <w:jc w:val="center"/>
              <w:cnfStyle w:val="000000000000" w:firstRow="0" w:lastRow="0" w:firstColumn="0" w:lastColumn="0" w:oddVBand="0" w:evenVBand="0" w:oddHBand="0"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w:t>
            </w:r>
          </w:p>
        </w:tc>
        <w:tc>
          <w:tcPr>
            <w:tcW w:w="1691" w:type="dxa"/>
          </w:tcPr>
          <w:p w14:paraId="05086853" w14:textId="77777777" w:rsidR="00085F8A" w:rsidRPr="0015719B" w:rsidRDefault="00085F8A" w:rsidP="00A963EA">
            <w:pPr>
              <w:spacing w:after="0"/>
              <w:jc w:val="center"/>
              <w:cnfStyle w:val="000000000000" w:firstRow="0" w:lastRow="0" w:firstColumn="0" w:lastColumn="0" w:oddVBand="0" w:evenVBand="0" w:oddHBand="0"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0.002%</w:t>
            </w:r>
          </w:p>
        </w:tc>
      </w:tr>
      <w:tr w:rsidR="00085F8A" w:rsidRPr="0015719B" w14:paraId="581E0C9A" w14:textId="77777777" w:rsidTr="0055758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3" w:type="dxa"/>
            <w:noWrap/>
          </w:tcPr>
          <w:p w14:paraId="6DCEFD2F" w14:textId="77777777" w:rsidR="00085F8A" w:rsidRPr="0015719B" w:rsidRDefault="00085F8A" w:rsidP="00A963EA">
            <w:pPr>
              <w:spacing w:after="0"/>
              <w:rPr>
                <w:rFonts w:ascii="Calibri" w:eastAsia="Times New Roman" w:hAnsi="Calibri" w:cs="Calibri"/>
                <w:i/>
                <w:color w:val="000000"/>
                <w:sz w:val="18"/>
                <w:szCs w:val="18"/>
                <w:lang w:eastAsia="en-AU"/>
              </w:rPr>
            </w:pPr>
            <w:r w:rsidRPr="0015719B">
              <w:rPr>
                <w:rFonts w:ascii="Calibri" w:eastAsia="Times New Roman" w:hAnsi="Calibri" w:cs="Calibri"/>
                <w:color w:val="000000"/>
                <w:sz w:val="18"/>
                <w:szCs w:val="18"/>
                <w:lang w:eastAsia="en-AU"/>
              </w:rPr>
              <w:t>Combined other sectors</w:t>
            </w:r>
          </w:p>
        </w:tc>
        <w:tc>
          <w:tcPr>
            <w:tcW w:w="1690" w:type="dxa"/>
            <w:noWrap/>
          </w:tcPr>
          <w:p w14:paraId="38D3F374" w14:textId="77777777" w:rsidR="00085F8A" w:rsidRPr="0015719B"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0.001%</w:t>
            </w:r>
          </w:p>
        </w:tc>
        <w:tc>
          <w:tcPr>
            <w:tcW w:w="1691" w:type="dxa"/>
            <w:noWrap/>
          </w:tcPr>
          <w:p w14:paraId="362F7AE3" w14:textId="77777777" w:rsidR="00085F8A" w:rsidRPr="0015719B"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-0.002%</w:t>
            </w:r>
          </w:p>
        </w:tc>
        <w:tc>
          <w:tcPr>
            <w:tcW w:w="1691" w:type="dxa"/>
          </w:tcPr>
          <w:p w14:paraId="568A36D2" w14:textId="77777777" w:rsidR="00085F8A" w:rsidRPr="0015719B"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w:t>
            </w:r>
          </w:p>
        </w:tc>
        <w:tc>
          <w:tcPr>
            <w:tcW w:w="1691" w:type="dxa"/>
          </w:tcPr>
          <w:p w14:paraId="0F6606C2" w14:textId="77777777" w:rsidR="00085F8A" w:rsidRPr="0015719B"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18"/>
                <w:szCs w:val="18"/>
                <w:lang w:eastAsia="en-AU"/>
              </w:rPr>
            </w:pPr>
            <w:r w:rsidRPr="0015719B">
              <w:rPr>
                <w:rFonts w:ascii="Calibri" w:eastAsia="Cambria" w:hAnsi="Calibri" w:cs="Calibri"/>
                <w:color w:val="000000"/>
                <w:sz w:val="18"/>
                <w:szCs w:val="18"/>
                <w:lang w:eastAsia="en-AU"/>
              </w:rPr>
              <w:t>0.003%</w:t>
            </w:r>
          </w:p>
        </w:tc>
      </w:tr>
    </w:tbl>
    <w:p w14:paraId="13D65EC4" w14:textId="77777777" w:rsidR="00085F8A" w:rsidRPr="004E70CE" w:rsidRDefault="00085F8A" w:rsidP="00085F8A">
      <w:pPr>
        <w:spacing w:before="120"/>
        <w:jc w:val="center"/>
        <w:rPr>
          <w:sz w:val="20"/>
          <w:szCs w:val="20"/>
        </w:rPr>
      </w:pPr>
      <w:r w:rsidRPr="004E70CE">
        <w:rPr>
          <w:sz w:val="20"/>
          <w:szCs w:val="20"/>
        </w:rPr>
        <w:t xml:space="preserve">Note: ~ means the value is smaller than </w:t>
      </w:r>
      <m:oMath>
        <m:r>
          <m:rPr>
            <m:sty m:val="p"/>
          </m:rPr>
          <w:rPr>
            <w:rFonts w:ascii="Cambria Math" w:hAnsi="Cambria Math"/>
            <w:sz w:val="20"/>
            <w:szCs w:val="20"/>
          </w:rPr>
          <m:t>±</m:t>
        </m:r>
      </m:oMath>
      <w:r w:rsidRPr="004E70CE">
        <w:rPr>
          <w:rFonts w:eastAsiaTheme="minorEastAsia"/>
          <w:sz w:val="20"/>
          <w:szCs w:val="20"/>
        </w:rPr>
        <w:t>0.</w:t>
      </w:r>
      <w:r w:rsidRPr="004E70CE" w:rsidDel="00611511">
        <w:rPr>
          <w:rFonts w:eastAsiaTheme="minorEastAsia"/>
          <w:sz w:val="20"/>
          <w:szCs w:val="20"/>
        </w:rPr>
        <w:t>0</w:t>
      </w:r>
      <w:r w:rsidRPr="004E70CE">
        <w:rPr>
          <w:rFonts w:eastAsiaTheme="minorEastAsia"/>
          <w:sz w:val="20"/>
          <w:szCs w:val="20"/>
        </w:rPr>
        <w:t>01% and is considered to be zero.</w:t>
      </w:r>
    </w:p>
    <w:p w14:paraId="21FE517B" w14:textId="77777777" w:rsidR="00085F8A" w:rsidRPr="004E70CE" w:rsidRDefault="00085F8A" w:rsidP="00085F8A">
      <w:pPr>
        <w:pStyle w:val="Heading3"/>
        <w:numPr>
          <w:ilvl w:val="1"/>
          <w:numId w:val="26"/>
        </w:numPr>
        <w:spacing w:line="276" w:lineRule="auto"/>
      </w:pPr>
      <w:bookmarkStart w:id="37" w:name="_Toc169621825"/>
      <w:bookmarkStart w:id="38" w:name="_Toc173997673"/>
      <w:r w:rsidRPr="004E70CE">
        <w:t>Potential effects on Australia’s trade partners</w:t>
      </w:r>
      <w:bookmarkEnd w:id="37"/>
      <w:bookmarkEnd w:id="38"/>
      <w:r w:rsidRPr="004E70CE">
        <w:t xml:space="preserve"> </w:t>
      </w:r>
    </w:p>
    <w:p w14:paraId="3488B214" w14:textId="77777777" w:rsidR="00085F8A" w:rsidRPr="004E70CE" w:rsidRDefault="00085F8A" w:rsidP="00085F8A">
      <w:r w:rsidRPr="004E70CE">
        <w:t xml:space="preserve">The estimated macroeconomic effect of a border carbon adjustment on Australia’s trading partners is negligible. </w:t>
      </w:r>
    </w:p>
    <w:p w14:paraId="7B246D4C" w14:textId="77777777" w:rsidR="00085F8A" w:rsidRPr="004E70CE" w:rsidRDefault="00085F8A" w:rsidP="00085F8A">
      <w:r w:rsidRPr="004E70CE">
        <w:lastRenderedPageBreak/>
        <w:t>The modelling indicates that trade flows shift for covered commodities to some extent between countries. The aggregate impact on trade is negligible in the cement-only scenario, with only very minor effects in the combined sector scenario. The modelling indicates no measurable impact on overall economic activity in trading partners. Small changes in trade with Australia are reflected in reallocation of production and trade.</w:t>
      </w:r>
    </w:p>
    <w:p w14:paraId="3F81FA1D" w14:textId="77777777" w:rsidR="00085F8A" w:rsidRPr="004E70CE" w:rsidRDefault="00085F8A" w:rsidP="00085F8A">
      <w:pPr>
        <w:pStyle w:val="Bullet"/>
        <w:numPr>
          <w:ilvl w:val="0"/>
          <w:numId w:val="0"/>
        </w:numPr>
        <w:rPr>
          <w:b/>
          <w:color w:val="000000" w:themeColor="text1"/>
          <w:lang w:eastAsia="en-AU"/>
        </w:rPr>
      </w:pPr>
      <w:r w:rsidRPr="004E70CE">
        <w:rPr>
          <w:b/>
          <w:lang w:eastAsia="en-AU"/>
        </w:rPr>
        <w:t>Table 9: Real import volumes in 2030, aggregated by region (% deviation from current policy)</w:t>
      </w:r>
    </w:p>
    <w:tbl>
      <w:tblPr>
        <w:tblStyle w:val="ListTable3-Accent1"/>
        <w:tblW w:w="9026" w:type="dxa"/>
        <w:tblLayout w:type="fixed"/>
        <w:tblLook w:val="04A0" w:firstRow="1" w:lastRow="0" w:firstColumn="1" w:lastColumn="0" w:noHBand="0" w:noVBand="1"/>
      </w:tblPr>
      <w:tblGrid>
        <w:gridCol w:w="1805"/>
        <w:gridCol w:w="1805"/>
        <w:gridCol w:w="1805"/>
        <w:gridCol w:w="1805"/>
        <w:gridCol w:w="1806"/>
      </w:tblGrid>
      <w:tr w:rsidR="00C573B4" w:rsidRPr="004E70CE" w14:paraId="15119650" w14:textId="77777777" w:rsidTr="00C573B4">
        <w:trPr>
          <w:cnfStyle w:val="100000000000" w:firstRow="1" w:lastRow="0" w:firstColumn="0" w:lastColumn="0" w:oddVBand="0" w:evenVBand="0" w:oddHBand="0" w:evenHBand="0" w:firstRowFirstColumn="0" w:firstRowLastColumn="0" w:lastRowFirstColumn="0" w:lastRowLastColumn="0"/>
          <w:trHeight w:val="50"/>
        </w:trPr>
        <w:tc>
          <w:tcPr>
            <w:cnfStyle w:val="001000000100" w:firstRow="0" w:lastRow="0" w:firstColumn="1" w:lastColumn="0" w:oddVBand="0" w:evenVBand="0" w:oddHBand="0" w:evenHBand="0" w:firstRowFirstColumn="1" w:firstRowLastColumn="0" w:lastRowFirstColumn="0" w:lastRowLastColumn="0"/>
            <w:tcW w:w="1805" w:type="dxa"/>
            <w:hideMark/>
          </w:tcPr>
          <w:p w14:paraId="78650DF6" w14:textId="77777777" w:rsidR="00085F8A" w:rsidRPr="00C573B4" w:rsidRDefault="00085F8A" w:rsidP="00A963EA">
            <w:pPr>
              <w:spacing w:after="0"/>
              <w:rPr>
                <w:rFonts w:ascii="Calibri" w:eastAsia="Times New Roman" w:hAnsi="Calibri" w:cs="Calibri"/>
                <w:sz w:val="20"/>
                <w:szCs w:val="20"/>
                <w:lang w:eastAsia="en-AU"/>
              </w:rPr>
            </w:pPr>
            <w:r w:rsidRPr="00C573B4">
              <w:rPr>
                <w:rFonts w:ascii="Calibri" w:eastAsia="Times New Roman" w:hAnsi="Calibri" w:cs="Calibri"/>
                <w:sz w:val="20"/>
                <w:szCs w:val="20"/>
                <w:lang w:eastAsia="en-AU"/>
              </w:rPr>
              <w:t>Regional average</w:t>
            </w:r>
          </w:p>
        </w:tc>
        <w:tc>
          <w:tcPr>
            <w:tcW w:w="1805" w:type="dxa"/>
            <w:hideMark/>
          </w:tcPr>
          <w:p w14:paraId="57D597FE" w14:textId="77777777" w:rsidR="00085F8A" w:rsidRPr="00C573B4" w:rsidRDefault="00085F8A" w:rsidP="00A963EA">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AU"/>
              </w:rPr>
            </w:pPr>
            <w:r w:rsidRPr="00C573B4">
              <w:rPr>
                <w:rFonts w:ascii="Calibri" w:eastAsia="Times New Roman" w:hAnsi="Calibri" w:cs="Calibri"/>
                <w:sz w:val="20"/>
                <w:szCs w:val="20"/>
                <w:lang w:eastAsia="en-AU"/>
              </w:rPr>
              <w:t xml:space="preserve">Scenario 1 – combined sectors </w:t>
            </w:r>
          </w:p>
        </w:tc>
        <w:tc>
          <w:tcPr>
            <w:tcW w:w="1805" w:type="dxa"/>
            <w:hideMark/>
          </w:tcPr>
          <w:p w14:paraId="3834CE68" w14:textId="77777777" w:rsidR="00085F8A" w:rsidRPr="00C573B4" w:rsidRDefault="00085F8A" w:rsidP="00A963EA">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AU"/>
              </w:rPr>
            </w:pPr>
            <w:r w:rsidRPr="00C573B4">
              <w:rPr>
                <w:rFonts w:ascii="Calibri" w:eastAsia="Times New Roman" w:hAnsi="Calibri" w:cs="Calibri"/>
                <w:sz w:val="20"/>
                <w:szCs w:val="20"/>
                <w:lang w:eastAsia="en-AU"/>
              </w:rPr>
              <w:t>Scenario 2 – combined sectors</w:t>
            </w:r>
          </w:p>
        </w:tc>
        <w:tc>
          <w:tcPr>
            <w:tcW w:w="1805" w:type="dxa"/>
          </w:tcPr>
          <w:p w14:paraId="5CDF2B2B" w14:textId="77777777" w:rsidR="00085F8A" w:rsidRPr="00C573B4" w:rsidRDefault="00085F8A" w:rsidP="00A963EA">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AU"/>
              </w:rPr>
            </w:pPr>
            <w:r w:rsidRPr="00C573B4">
              <w:rPr>
                <w:rFonts w:ascii="Calibri" w:eastAsia="Times New Roman" w:hAnsi="Calibri" w:cs="Calibri"/>
                <w:sz w:val="20"/>
                <w:szCs w:val="20"/>
                <w:lang w:eastAsia="en-AU"/>
              </w:rPr>
              <w:t>Scenario 1 – cement only</w:t>
            </w:r>
          </w:p>
        </w:tc>
        <w:tc>
          <w:tcPr>
            <w:tcW w:w="1806" w:type="dxa"/>
          </w:tcPr>
          <w:p w14:paraId="78880415" w14:textId="77777777" w:rsidR="00085F8A" w:rsidRPr="00C573B4" w:rsidRDefault="00085F8A" w:rsidP="00A963EA">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AU"/>
              </w:rPr>
            </w:pPr>
            <w:r w:rsidRPr="00C573B4">
              <w:rPr>
                <w:rFonts w:ascii="Calibri" w:eastAsia="Times New Roman" w:hAnsi="Calibri" w:cs="Calibri"/>
                <w:sz w:val="20"/>
                <w:szCs w:val="20"/>
                <w:lang w:eastAsia="en-AU"/>
              </w:rPr>
              <w:t>Scenario 2 – cement only</w:t>
            </w:r>
          </w:p>
        </w:tc>
      </w:tr>
      <w:tr w:rsidR="00085F8A" w:rsidRPr="004E70CE" w14:paraId="1661D6CA" w14:textId="77777777" w:rsidTr="00C573B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05" w:type="dxa"/>
            <w:noWrap/>
            <w:hideMark/>
          </w:tcPr>
          <w:p w14:paraId="5EC03821" w14:textId="77777777" w:rsidR="00085F8A" w:rsidRPr="004E70CE" w:rsidRDefault="00085F8A" w:rsidP="00A963EA">
            <w:pPr>
              <w:spacing w:after="0"/>
              <w:rPr>
                <w:rFonts w:ascii="Calibri" w:eastAsia="Times New Roman" w:hAnsi="Calibri" w:cs="Calibri"/>
                <w:color w:val="000000"/>
                <w:sz w:val="20"/>
                <w:szCs w:val="20"/>
                <w:lang w:eastAsia="en-AU"/>
              </w:rPr>
            </w:pPr>
            <w:r w:rsidRPr="004E70CE">
              <w:rPr>
                <w:rFonts w:ascii="Calibri" w:eastAsia="Times New Roman" w:hAnsi="Calibri" w:cs="Calibri"/>
                <w:color w:val="000000"/>
                <w:sz w:val="20"/>
                <w:szCs w:val="20"/>
                <w:lang w:eastAsia="en-AU"/>
              </w:rPr>
              <w:t>North East Asia</w:t>
            </w:r>
          </w:p>
        </w:tc>
        <w:tc>
          <w:tcPr>
            <w:tcW w:w="1805" w:type="dxa"/>
            <w:noWrap/>
            <w:hideMark/>
          </w:tcPr>
          <w:p w14:paraId="0F362541" w14:textId="77777777" w:rsidR="00085F8A" w:rsidRPr="004E70CE"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4E70CE">
              <w:rPr>
                <w:rFonts w:ascii="Calibri" w:hAnsi="Calibri" w:cs="Calibri"/>
                <w:color w:val="000000"/>
                <w:sz w:val="20"/>
                <w:szCs w:val="20"/>
              </w:rPr>
              <w:t>0.</w:t>
            </w:r>
            <w:r w:rsidRPr="004E70CE">
              <w:rPr>
                <w:rFonts w:ascii="Calibri" w:eastAsia="Cambria" w:hAnsi="Calibri" w:cs="Calibri"/>
                <w:color w:val="000000"/>
                <w:sz w:val="20"/>
                <w:szCs w:val="20"/>
                <w:lang w:eastAsia="en-AU"/>
              </w:rPr>
              <w:t>021</w:t>
            </w:r>
            <w:r w:rsidRPr="004E70CE">
              <w:rPr>
                <w:rFonts w:ascii="Calibri" w:hAnsi="Calibri" w:cs="Calibri"/>
                <w:color w:val="000000"/>
                <w:sz w:val="20"/>
                <w:szCs w:val="20"/>
              </w:rPr>
              <w:t>%</w:t>
            </w:r>
          </w:p>
        </w:tc>
        <w:tc>
          <w:tcPr>
            <w:tcW w:w="1805" w:type="dxa"/>
            <w:noWrap/>
            <w:hideMark/>
          </w:tcPr>
          <w:p w14:paraId="2B3FEB3B" w14:textId="77777777" w:rsidR="00085F8A" w:rsidRPr="004E70CE"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4E70CE">
              <w:rPr>
                <w:rFonts w:ascii="Calibri" w:hAnsi="Calibri" w:cs="Calibri"/>
                <w:color w:val="000000"/>
                <w:sz w:val="20"/>
                <w:szCs w:val="20"/>
              </w:rPr>
              <w:t>0.</w:t>
            </w:r>
            <w:r w:rsidRPr="004E70CE">
              <w:rPr>
                <w:rFonts w:ascii="Calibri" w:eastAsia="Cambria" w:hAnsi="Calibri" w:cs="Calibri"/>
                <w:color w:val="000000"/>
                <w:sz w:val="20"/>
                <w:szCs w:val="20"/>
                <w:lang w:eastAsia="en-AU"/>
              </w:rPr>
              <w:t>019</w:t>
            </w:r>
            <w:r w:rsidRPr="004E70CE">
              <w:rPr>
                <w:rFonts w:ascii="Calibri" w:hAnsi="Calibri" w:cs="Calibri"/>
                <w:color w:val="000000"/>
                <w:sz w:val="20"/>
                <w:szCs w:val="20"/>
              </w:rPr>
              <w:t>%</w:t>
            </w:r>
          </w:p>
        </w:tc>
        <w:tc>
          <w:tcPr>
            <w:tcW w:w="1805" w:type="dxa"/>
          </w:tcPr>
          <w:p w14:paraId="4E300E40" w14:textId="77777777" w:rsidR="00085F8A" w:rsidRPr="004E70CE"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E70CE">
              <w:rPr>
                <w:rFonts w:ascii="Calibri" w:eastAsia="Cambria" w:hAnsi="Calibri" w:cs="Calibri"/>
                <w:color w:val="000000"/>
                <w:sz w:val="20"/>
                <w:szCs w:val="20"/>
                <w:lang w:eastAsia="en-AU"/>
              </w:rPr>
              <w:t>0.001%</w:t>
            </w:r>
          </w:p>
        </w:tc>
        <w:tc>
          <w:tcPr>
            <w:tcW w:w="1806" w:type="dxa"/>
          </w:tcPr>
          <w:p w14:paraId="249F8298" w14:textId="77777777" w:rsidR="00085F8A" w:rsidRPr="004E70CE"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E70CE">
              <w:rPr>
                <w:rFonts w:ascii="Calibri" w:eastAsia="Cambria" w:hAnsi="Calibri" w:cs="Calibri"/>
                <w:color w:val="000000"/>
                <w:sz w:val="20"/>
                <w:szCs w:val="20"/>
                <w:lang w:eastAsia="en-AU"/>
              </w:rPr>
              <w:t>0.004%</w:t>
            </w:r>
          </w:p>
        </w:tc>
      </w:tr>
      <w:tr w:rsidR="00085F8A" w:rsidRPr="004E70CE" w14:paraId="3889D3E8" w14:textId="77777777" w:rsidTr="00C573B4">
        <w:trPr>
          <w:trHeight w:val="240"/>
        </w:trPr>
        <w:tc>
          <w:tcPr>
            <w:cnfStyle w:val="001000000000" w:firstRow="0" w:lastRow="0" w:firstColumn="1" w:lastColumn="0" w:oddVBand="0" w:evenVBand="0" w:oddHBand="0" w:evenHBand="0" w:firstRowFirstColumn="0" w:firstRowLastColumn="0" w:lastRowFirstColumn="0" w:lastRowLastColumn="0"/>
            <w:tcW w:w="1805" w:type="dxa"/>
            <w:noWrap/>
            <w:hideMark/>
          </w:tcPr>
          <w:p w14:paraId="4279C77E" w14:textId="77777777" w:rsidR="00085F8A" w:rsidRPr="004E70CE" w:rsidRDefault="00085F8A" w:rsidP="00A963EA">
            <w:pPr>
              <w:spacing w:after="0"/>
              <w:rPr>
                <w:rFonts w:ascii="Calibri" w:eastAsia="Times New Roman" w:hAnsi="Calibri" w:cs="Calibri"/>
                <w:color w:val="000000"/>
                <w:sz w:val="20"/>
                <w:szCs w:val="20"/>
                <w:lang w:eastAsia="en-AU"/>
              </w:rPr>
            </w:pPr>
            <w:r w:rsidRPr="004E70CE">
              <w:rPr>
                <w:rFonts w:ascii="Calibri" w:eastAsia="Times New Roman" w:hAnsi="Calibri" w:cs="Calibri"/>
                <w:color w:val="000000"/>
                <w:sz w:val="20"/>
                <w:szCs w:val="20"/>
                <w:lang w:eastAsia="en-AU"/>
              </w:rPr>
              <w:t>Rest of the World</w:t>
            </w:r>
          </w:p>
        </w:tc>
        <w:tc>
          <w:tcPr>
            <w:tcW w:w="1805" w:type="dxa"/>
            <w:noWrap/>
            <w:hideMark/>
          </w:tcPr>
          <w:p w14:paraId="54E70AE2" w14:textId="77777777" w:rsidR="00085F8A" w:rsidRPr="004E70CE" w:rsidRDefault="00085F8A" w:rsidP="00A963EA">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4E70CE">
              <w:rPr>
                <w:rFonts w:ascii="Calibri" w:hAnsi="Calibri" w:cs="Calibri"/>
                <w:color w:val="000000"/>
                <w:sz w:val="20"/>
                <w:szCs w:val="20"/>
              </w:rPr>
              <w:t>-0.</w:t>
            </w:r>
            <w:r w:rsidRPr="004E70CE">
              <w:rPr>
                <w:rFonts w:ascii="Calibri" w:eastAsia="Cambria" w:hAnsi="Calibri" w:cs="Calibri"/>
                <w:color w:val="000000"/>
                <w:sz w:val="20"/>
                <w:szCs w:val="20"/>
                <w:lang w:eastAsia="en-AU"/>
              </w:rPr>
              <w:t>021</w:t>
            </w:r>
            <w:r w:rsidRPr="004E70CE">
              <w:rPr>
                <w:rFonts w:ascii="Calibri" w:hAnsi="Calibri" w:cs="Calibri"/>
                <w:color w:val="000000"/>
                <w:sz w:val="20"/>
                <w:szCs w:val="20"/>
              </w:rPr>
              <w:t>%</w:t>
            </w:r>
          </w:p>
        </w:tc>
        <w:tc>
          <w:tcPr>
            <w:tcW w:w="1805" w:type="dxa"/>
            <w:noWrap/>
            <w:hideMark/>
          </w:tcPr>
          <w:p w14:paraId="3E995F56" w14:textId="77777777" w:rsidR="00085F8A" w:rsidRPr="004E70CE" w:rsidRDefault="00085F8A" w:rsidP="00A963EA">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4E70CE">
              <w:rPr>
                <w:rFonts w:ascii="Calibri" w:hAnsi="Calibri" w:cs="Calibri"/>
                <w:color w:val="000000"/>
                <w:sz w:val="20"/>
                <w:szCs w:val="20"/>
              </w:rPr>
              <w:t>-0.</w:t>
            </w:r>
            <w:r w:rsidRPr="004E70CE">
              <w:rPr>
                <w:rFonts w:ascii="Calibri" w:eastAsia="Cambria" w:hAnsi="Calibri" w:cs="Calibri"/>
                <w:color w:val="000000"/>
                <w:sz w:val="20"/>
                <w:szCs w:val="20"/>
                <w:lang w:eastAsia="en-AU"/>
              </w:rPr>
              <w:t>011</w:t>
            </w:r>
            <w:r w:rsidRPr="004E70CE">
              <w:rPr>
                <w:rFonts w:ascii="Calibri" w:hAnsi="Calibri" w:cs="Calibri"/>
                <w:color w:val="000000"/>
                <w:sz w:val="20"/>
                <w:szCs w:val="20"/>
              </w:rPr>
              <w:t>%</w:t>
            </w:r>
          </w:p>
        </w:tc>
        <w:tc>
          <w:tcPr>
            <w:tcW w:w="1805" w:type="dxa"/>
          </w:tcPr>
          <w:p w14:paraId="1CEB3AEA" w14:textId="77777777" w:rsidR="00085F8A" w:rsidRPr="004E70CE" w:rsidRDefault="00085F8A" w:rsidP="00A963E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E70CE">
              <w:rPr>
                <w:rFonts w:ascii="Calibri" w:eastAsia="Cambria" w:hAnsi="Calibri" w:cs="Calibri"/>
                <w:color w:val="000000"/>
                <w:sz w:val="20"/>
                <w:szCs w:val="20"/>
                <w:lang w:eastAsia="en-AU"/>
              </w:rPr>
              <w:t>˜</w:t>
            </w:r>
          </w:p>
        </w:tc>
        <w:tc>
          <w:tcPr>
            <w:tcW w:w="1806" w:type="dxa"/>
          </w:tcPr>
          <w:p w14:paraId="073FE03A" w14:textId="77777777" w:rsidR="00085F8A" w:rsidRPr="004E70CE" w:rsidRDefault="00085F8A" w:rsidP="00A963E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E70CE">
              <w:rPr>
                <w:rFonts w:ascii="Calibri" w:eastAsia="Cambria" w:hAnsi="Calibri" w:cs="Calibri"/>
                <w:color w:val="000000"/>
                <w:sz w:val="20"/>
                <w:szCs w:val="20"/>
                <w:lang w:eastAsia="en-AU"/>
              </w:rPr>
              <w:t>0.003%</w:t>
            </w:r>
          </w:p>
        </w:tc>
      </w:tr>
      <w:tr w:rsidR="00085F8A" w:rsidRPr="004E70CE" w14:paraId="5D52D9A8" w14:textId="77777777" w:rsidTr="00C573B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05" w:type="dxa"/>
            <w:noWrap/>
            <w:hideMark/>
          </w:tcPr>
          <w:p w14:paraId="1A934606" w14:textId="75F53FE5" w:rsidR="00085F8A" w:rsidRPr="004E70CE" w:rsidRDefault="00085F8A" w:rsidP="00A963EA">
            <w:pPr>
              <w:spacing w:after="0"/>
              <w:rPr>
                <w:rFonts w:ascii="Calibri" w:eastAsia="Times New Roman" w:hAnsi="Calibri" w:cs="Calibri"/>
                <w:color w:val="000000"/>
                <w:sz w:val="20"/>
                <w:szCs w:val="20"/>
                <w:lang w:eastAsia="en-AU"/>
              </w:rPr>
            </w:pPr>
            <w:r w:rsidRPr="004E70CE">
              <w:rPr>
                <w:rFonts w:ascii="Calibri" w:eastAsia="Times New Roman" w:hAnsi="Calibri" w:cs="Calibri"/>
                <w:color w:val="000000"/>
                <w:sz w:val="20"/>
                <w:szCs w:val="20"/>
                <w:lang w:eastAsia="en-AU"/>
              </w:rPr>
              <w:t xml:space="preserve">South </w:t>
            </w:r>
            <w:r w:rsidR="004D3874">
              <w:rPr>
                <w:rFonts w:ascii="Calibri" w:eastAsia="Times New Roman" w:hAnsi="Calibri" w:cs="Calibri"/>
                <w:color w:val="000000"/>
                <w:sz w:val="20"/>
                <w:szCs w:val="20"/>
                <w:lang w:eastAsia="en-AU"/>
              </w:rPr>
              <w:t xml:space="preserve">and Southeast </w:t>
            </w:r>
            <w:r w:rsidRPr="004E70CE">
              <w:rPr>
                <w:rFonts w:ascii="Calibri" w:eastAsia="Times New Roman" w:hAnsi="Calibri" w:cs="Calibri"/>
                <w:color w:val="000000"/>
                <w:sz w:val="20"/>
                <w:szCs w:val="20"/>
                <w:lang w:eastAsia="en-AU"/>
              </w:rPr>
              <w:t>Asia</w:t>
            </w:r>
          </w:p>
        </w:tc>
        <w:tc>
          <w:tcPr>
            <w:tcW w:w="1805" w:type="dxa"/>
            <w:noWrap/>
            <w:hideMark/>
          </w:tcPr>
          <w:p w14:paraId="1EF20662" w14:textId="77777777" w:rsidR="00085F8A" w:rsidRPr="004E70CE"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4E70CE">
              <w:rPr>
                <w:rFonts w:ascii="Calibri" w:hAnsi="Calibri" w:cs="Calibri"/>
                <w:color w:val="000000"/>
                <w:sz w:val="20"/>
                <w:szCs w:val="20"/>
              </w:rPr>
              <w:t>-0.</w:t>
            </w:r>
            <w:r w:rsidRPr="004E70CE">
              <w:rPr>
                <w:rFonts w:ascii="Calibri" w:eastAsia="Cambria" w:hAnsi="Calibri" w:cs="Calibri"/>
                <w:color w:val="000000"/>
                <w:sz w:val="20"/>
                <w:szCs w:val="20"/>
                <w:lang w:eastAsia="en-AU"/>
              </w:rPr>
              <w:t>024</w:t>
            </w:r>
            <w:r w:rsidRPr="004E70CE">
              <w:rPr>
                <w:rFonts w:ascii="Calibri" w:hAnsi="Calibri" w:cs="Calibri"/>
                <w:color w:val="000000"/>
                <w:sz w:val="20"/>
                <w:szCs w:val="20"/>
              </w:rPr>
              <w:t>%</w:t>
            </w:r>
          </w:p>
        </w:tc>
        <w:tc>
          <w:tcPr>
            <w:tcW w:w="1805" w:type="dxa"/>
            <w:noWrap/>
            <w:hideMark/>
          </w:tcPr>
          <w:p w14:paraId="45EBABE7" w14:textId="77777777" w:rsidR="00085F8A" w:rsidRPr="004E70CE"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4E70CE">
              <w:rPr>
                <w:rFonts w:ascii="Calibri" w:hAnsi="Calibri" w:cs="Calibri"/>
                <w:color w:val="000000"/>
                <w:sz w:val="20"/>
                <w:szCs w:val="20"/>
              </w:rPr>
              <w:t>-0.</w:t>
            </w:r>
            <w:r w:rsidRPr="004E70CE">
              <w:rPr>
                <w:rFonts w:ascii="Calibri" w:eastAsia="Cambria" w:hAnsi="Calibri" w:cs="Calibri"/>
                <w:color w:val="000000"/>
                <w:sz w:val="20"/>
                <w:szCs w:val="20"/>
                <w:lang w:eastAsia="en-AU"/>
              </w:rPr>
              <w:t>022</w:t>
            </w:r>
            <w:r w:rsidRPr="004E70CE">
              <w:rPr>
                <w:rFonts w:ascii="Calibri" w:hAnsi="Calibri" w:cs="Calibri"/>
                <w:color w:val="000000"/>
                <w:sz w:val="20"/>
                <w:szCs w:val="20"/>
              </w:rPr>
              <w:t>%</w:t>
            </w:r>
          </w:p>
        </w:tc>
        <w:tc>
          <w:tcPr>
            <w:tcW w:w="1805" w:type="dxa"/>
          </w:tcPr>
          <w:p w14:paraId="7D2E8FA3" w14:textId="77777777" w:rsidR="00085F8A" w:rsidRPr="004E70CE"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E70CE">
              <w:rPr>
                <w:rFonts w:ascii="Calibri" w:eastAsia="Cambria" w:hAnsi="Calibri" w:cs="Calibri"/>
                <w:color w:val="000000"/>
                <w:sz w:val="20"/>
                <w:szCs w:val="20"/>
                <w:lang w:eastAsia="en-AU"/>
              </w:rPr>
              <w:t>-0.006%</w:t>
            </w:r>
          </w:p>
        </w:tc>
        <w:tc>
          <w:tcPr>
            <w:tcW w:w="1806" w:type="dxa"/>
          </w:tcPr>
          <w:p w14:paraId="7E494E6E" w14:textId="77777777" w:rsidR="00085F8A" w:rsidRPr="004E70CE" w:rsidRDefault="00085F8A" w:rsidP="00A963E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E70CE">
              <w:rPr>
                <w:rFonts w:ascii="Calibri" w:eastAsia="Cambria" w:hAnsi="Calibri" w:cs="Calibri"/>
                <w:color w:val="000000"/>
                <w:sz w:val="20"/>
                <w:szCs w:val="20"/>
                <w:lang w:eastAsia="en-AU"/>
              </w:rPr>
              <w:t>-0.009%</w:t>
            </w:r>
          </w:p>
        </w:tc>
      </w:tr>
    </w:tbl>
    <w:p w14:paraId="4E74DA12" w14:textId="77777777" w:rsidR="00085F8A" w:rsidRPr="004E70CE" w:rsidRDefault="00085F8A" w:rsidP="00085F8A">
      <w:pPr>
        <w:spacing w:before="120"/>
        <w:jc w:val="center"/>
        <w:rPr>
          <w:sz w:val="20"/>
          <w:szCs w:val="20"/>
        </w:rPr>
      </w:pPr>
      <w:r w:rsidRPr="004E70CE">
        <w:rPr>
          <w:sz w:val="20"/>
          <w:szCs w:val="20"/>
        </w:rPr>
        <w:t xml:space="preserve">Note: ~ means the value is smaller than </w:t>
      </w:r>
      <m:oMath>
        <m:r>
          <m:rPr>
            <m:sty m:val="p"/>
          </m:rPr>
          <w:rPr>
            <w:rFonts w:ascii="Cambria Math" w:hAnsi="Cambria Math"/>
            <w:sz w:val="20"/>
            <w:szCs w:val="20"/>
          </w:rPr>
          <m:t>±</m:t>
        </m:r>
      </m:oMath>
      <w:r w:rsidRPr="004E70CE">
        <w:rPr>
          <w:rFonts w:eastAsiaTheme="minorEastAsia"/>
          <w:sz w:val="20"/>
          <w:szCs w:val="20"/>
        </w:rPr>
        <w:t>0.0</w:t>
      </w:r>
      <w:r w:rsidRPr="004E70CE" w:rsidDel="00611511">
        <w:rPr>
          <w:rFonts w:eastAsiaTheme="minorEastAsia"/>
          <w:sz w:val="20"/>
          <w:szCs w:val="20"/>
        </w:rPr>
        <w:t>0</w:t>
      </w:r>
      <w:r w:rsidRPr="004E70CE">
        <w:rPr>
          <w:rFonts w:eastAsiaTheme="minorEastAsia"/>
          <w:sz w:val="20"/>
          <w:szCs w:val="20"/>
        </w:rPr>
        <w:t>1% and is considered to be zero.</w:t>
      </w:r>
    </w:p>
    <w:p w14:paraId="4C8376B8" w14:textId="60F46A09" w:rsidR="0027219B" w:rsidRPr="004E70CE" w:rsidRDefault="0027219B" w:rsidP="0064719D">
      <w:pPr>
        <w:rPr>
          <w:rFonts w:cstheme="minorHAnsi"/>
        </w:rPr>
      </w:pPr>
    </w:p>
    <w:p w14:paraId="700A95CD" w14:textId="2DDAB3FA" w:rsidR="009F5EE5" w:rsidRPr="004E70CE" w:rsidRDefault="009F5EE5" w:rsidP="00B226D9">
      <w:pPr>
        <w:pStyle w:val="Heading3"/>
        <w:numPr>
          <w:ilvl w:val="1"/>
          <w:numId w:val="26"/>
        </w:numPr>
        <w:spacing w:line="276" w:lineRule="auto"/>
      </w:pPr>
      <w:bookmarkStart w:id="39" w:name="_Toc173997674"/>
      <w:r w:rsidRPr="004E70CE">
        <w:t>Impacts of a border carbon adjustment on downstream industry and final commodit</w:t>
      </w:r>
      <w:r w:rsidR="003A4D96">
        <w:t>y</w:t>
      </w:r>
      <w:r w:rsidRPr="004E70CE">
        <w:t xml:space="preserve"> prices</w:t>
      </w:r>
      <w:bookmarkEnd w:id="39"/>
    </w:p>
    <w:p w14:paraId="6121CFDC" w14:textId="77777777" w:rsidR="009F5EE5" w:rsidRPr="004E70CE" w:rsidRDefault="009F5EE5" w:rsidP="00B226D9">
      <w:r w:rsidRPr="004E70CE">
        <w:t>Should any border carbon adjustment mechanism be pursued, impacts on downstream commodities or final goods that contain substantial amounts of intermediate inputs would need to be considered. Stakeholders have raised concerns that these final goods are also at risk of carbon leakage, if they are not also covered by a border carbon adjustment based on production variables. This would only occur if the primary commodity was covered by a border carbon adjustment, thus facilitating carbon cost pass through to products in Australia.</w:t>
      </w:r>
    </w:p>
    <w:p w14:paraId="69300476" w14:textId="77777777" w:rsidR="009F5EE5" w:rsidRPr="004E70CE" w:rsidRDefault="009F5EE5" w:rsidP="00B226D9">
      <w:r w:rsidRPr="004E70CE">
        <w:t xml:space="preserve">For example, in the steel sector the Safeguard Mechanism specifies production variables such as </w:t>
      </w:r>
      <w:r w:rsidR="00401B1C" w:rsidRPr="004E70CE">
        <w:t>flat and long</w:t>
      </w:r>
      <w:r w:rsidRPr="004E70CE">
        <w:t xml:space="preserve"> steel, but does not include </w:t>
      </w:r>
      <w:r w:rsidR="00401B1C" w:rsidRPr="004E70CE">
        <w:t xml:space="preserve">production </w:t>
      </w:r>
      <w:r w:rsidRPr="004E70CE">
        <w:t>variables for further processed commodities such as pipes, mesh and fabricated sheet steel. If there was a border carbon adjustment on steel</w:t>
      </w:r>
      <w:r w:rsidR="00401B1C" w:rsidRPr="004E70CE">
        <w:t>,</w:t>
      </w:r>
      <w:r w:rsidRPr="004E70CE">
        <w:t xml:space="preserve"> then fabricators that make these commodities domestically would face increased costs due to cost pass through but would not receive the benefit of a border carbon adjustment unless imports of similar manufactured goods (such as pipes</w:t>
      </w:r>
      <w:r w:rsidR="00401B1C" w:rsidRPr="004E70CE">
        <w:t>,</w:t>
      </w:r>
      <w:r w:rsidRPr="004E70CE">
        <w:t xml:space="preserve"> etc. in this example) were also covered. </w:t>
      </w:r>
    </w:p>
    <w:p w14:paraId="7227FF07" w14:textId="77777777" w:rsidR="009F5EE5" w:rsidRPr="004E70CE" w:rsidRDefault="009F5EE5" w:rsidP="00B226D9">
      <w:r w:rsidRPr="004E70CE">
        <w:t xml:space="preserve">A decision whether to implement a border carbon adjustment to downstream and processed products would require further analysis, as well as analysis about compatibility with WTO rules.  </w:t>
      </w:r>
    </w:p>
    <w:p w14:paraId="3A3BD400" w14:textId="77777777" w:rsidR="00037B77" w:rsidRDefault="00037B77">
      <w:pPr>
        <w:spacing w:after="0" w:line="240" w:lineRule="auto"/>
        <w:rPr>
          <w:b/>
        </w:rPr>
      </w:pPr>
      <w:r>
        <w:rPr>
          <w:b/>
        </w:rPr>
        <w:br w:type="page"/>
      </w:r>
    </w:p>
    <w:p w14:paraId="036F996C" w14:textId="77777777" w:rsidR="009F5EE5" w:rsidRPr="004E70CE" w:rsidRDefault="009F5EE5" w:rsidP="00B226D9">
      <w:pPr>
        <w:rPr>
          <w:b/>
        </w:rPr>
      </w:pPr>
      <w:r w:rsidRPr="004E70CE">
        <w:rPr>
          <w:b/>
        </w:rPr>
        <w:lastRenderedPageBreak/>
        <w:t>4.5.1 Potential downstream impact assessment – at industry level</w:t>
      </w:r>
    </w:p>
    <w:p w14:paraId="6B5D6AAC" w14:textId="77777777" w:rsidR="009F5EE5" w:rsidRPr="004E70CE" w:rsidRDefault="009F5EE5" w:rsidP="00B226D9">
      <w:pPr>
        <w:rPr>
          <w:color w:val="000000"/>
        </w:rPr>
      </w:pPr>
      <w:r w:rsidRPr="004E70CE">
        <w:rPr>
          <w:color w:val="000000"/>
        </w:rPr>
        <w:t xml:space="preserve">Downstream impacts on other sectors can be considered through Input-Output model assessment, which provides information on the contribution of the imported goods to the existing economy, as well as linkages between sectors. The model can be used to identify sectors that could be the most exposed to price uplift because of a border carbon adjustment on imports of cement, steel and ammonia and therefore would most likely adjust pricing in response. </w:t>
      </w:r>
    </w:p>
    <w:p w14:paraId="79D2294A" w14:textId="16FB3AD2" w:rsidR="009F5EE5" w:rsidRPr="004E70CE" w:rsidRDefault="009F5EE5" w:rsidP="00B226D9">
      <w:pPr>
        <w:rPr>
          <w:color w:val="000000"/>
        </w:rPr>
      </w:pPr>
      <w:r w:rsidRPr="004E70CE">
        <w:rPr>
          <w:color w:val="000000"/>
        </w:rPr>
        <w:t xml:space="preserve">Figure </w:t>
      </w:r>
      <w:r w:rsidR="00502E21">
        <w:rPr>
          <w:color w:val="000000"/>
        </w:rPr>
        <w:t>6</w:t>
      </w:r>
      <w:r w:rsidR="00502E21" w:rsidRPr="004E70CE">
        <w:rPr>
          <w:color w:val="000000"/>
        </w:rPr>
        <w:t xml:space="preserve"> </w:t>
      </w:r>
      <w:r w:rsidRPr="004E70CE">
        <w:rPr>
          <w:color w:val="000000"/>
        </w:rPr>
        <w:t xml:space="preserve">shows the percentage of production that is associated with imports of Safeguard </w:t>
      </w:r>
      <w:r w:rsidR="00975630" w:rsidRPr="004E70CE">
        <w:rPr>
          <w:color w:val="000000"/>
        </w:rPr>
        <w:t>commodities</w:t>
      </w:r>
      <w:r w:rsidRPr="004E70CE">
        <w:rPr>
          <w:color w:val="000000"/>
        </w:rPr>
        <w:t xml:space="preserve">, including the contribution of cement, steel and ammonia. The production processes for each sector also take in a variety of inputs sourced from other industry sectors (that is, the indirect contribution of imports to economic activity), in addition to direct imports of covered goods. This captures flow on effects of price effects from intermediary products as well as direct imports.  </w:t>
      </w:r>
    </w:p>
    <w:p w14:paraId="0E86EFCD" w14:textId="77777777" w:rsidR="009F5EE5" w:rsidRPr="004E70CE" w:rsidRDefault="009F5EE5" w:rsidP="00B226D9">
      <w:pPr>
        <w:rPr>
          <w:color w:val="000000"/>
        </w:rPr>
      </w:pPr>
      <w:r w:rsidRPr="004E70CE">
        <w:rPr>
          <w:color w:val="000000"/>
        </w:rPr>
        <w:t>Imports of cement, steel and ammonia constituted 2.7</w:t>
      </w:r>
      <w:r w:rsidR="00975630" w:rsidRPr="004E70CE">
        <w:rPr>
          <w:color w:val="000000"/>
        </w:rPr>
        <w:t>%</w:t>
      </w:r>
      <w:r w:rsidRPr="004E70CE">
        <w:rPr>
          <w:color w:val="000000"/>
        </w:rPr>
        <w:t xml:space="preserve"> of total goods import</w:t>
      </w:r>
      <w:r w:rsidR="00975630" w:rsidRPr="004E70CE">
        <w:rPr>
          <w:color w:val="000000"/>
        </w:rPr>
        <w:t>ed</w:t>
      </w:r>
      <w:r w:rsidRPr="004E70CE">
        <w:rPr>
          <w:color w:val="000000"/>
        </w:rPr>
        <w:t xml:space="preserve"> in 2021-22 (up from 1.9</w:t>
      </w:r>
      <w:r w:rsidR="00975630" w:rsidRPr="004E70CE">
        <w:rPr>
          <w:color w:val="000000"/>
        </w:rPr>
        <w:t>%</w:t>
      </w:r>
      <w:r w:rsidRPr="004E70CE">
        <w:rPr>
          <w:color w:val="000000"/>
        </w:rPr>
        <w:t xml:space="preserve"> in 2020-21).</w:t>
      </w:r>
      <w:r w:rsidRPr="004E70CE">
        <w:rPr>
          <w:rStyle w:val="FootnoteReference"/>
          <w:color w:val="000000"/>
        </w:rPr>
        <w:footnoteReference w:id="107"/>
      </w:r>
      <w:r w:rsidRPr="004E70CE">
        <w:rPr>
          <w:color w:val="000000"/>
        </w:rPr>
        <w:t xml:space="preserve"> These imports were associated (directly and indirectly) with 0.18</w:t>
      </w:r>
      <w:r w:rsidR="00975630" w:rsidRPr="004E70CE">
        <w:rPr>
          <w:color w:val="000000"/>
        </w:rPr>
        <w:t>%</w:t>
      </w:r>
      <w:r w:rsidRPr="004E70CE">
        <w:rPr>
          <w:color w:val="000000"/>
        </w:rPr>
        <w:t xml:space="preserve"> of GDP, equivalent to </w:t>
      </w:r>
      <w:r w:rsidR="00975630" w:rsidRPr="004E70CE">
        <w:rPr>
          <w:color w:val="000000"/>
        </w:rPr>
        <w:t>A</w:t>
      </w:r>
      <w:r w:rsidRPr="004E70CE">
        <w:rPr>
          <w:color w:val="000000"/>
        </w:rPr>
        <w:t>$4.2</w:t>
      </w:r>
      <w:r w:rsidR="00975630" w:rsidRPr="004E70CE">
        <w:rPr>
          <w:color w:val="000000"/>
        </w:rPr>
        <w:t xml:space="preserve"> </w:t>
      </w:r>
      <w:r w:rsidRPr="004E70CE">
        <w:rPr>
          <w:color w:val="000000"/>
        </w:rPr>
        <w:t>b</w:t>
      </w:r>
      <w:r w:rsidR="00975630" w:rsidRPr="004E70CE">
        <w:rPr>
          <w:color w:val="000000"/>
        </w:rPr>
        <w:t>illion</w:t>
      </w:r>
      <w:r w:rsidRPr="004E70CE">
        <w:rPr>
          <w:color w:val="000000"/>
        </w:rPr>
        <w:t xml:space="preserve"> in</w:t>
      </w:r>
      <w:r w:rsidRPr="004E70CE">
        <w:t xml:space="preserve"> value</w:t>
      </w:r>
      <w:r w:rsidR="00975630" w:rsidRPr="004E70CE">
        <w:t xml:space="preserve"> </w:t>
      </w:r>
      <w:r w:rsidRPr="004E70CE">
        <w:t>added</w:t>
      </w:r>
      <w:r w:rsidRPr="004E70CE">
        <w:rPr>
          <w:color w:val="000000"/>
        </w:rPr>
        <w:t xml:space="preserve">. </w:t>
      </w:r>
    </w:p>
    <w:p w14:paraId="69AA3EF2" w14:textId="3F0C42A3" w:rsidR="009F5EE5" w:rsidRPr="004E70CE" w:rsidRDefault="009F5EE5" w:rsidP="00B226D9">
      <w:pPr>
        <w:rPr>
          <w:color w:val="FF0000"/>
        </w:rPr>
      </w:pPr>
      <w:r w:rsidRPr="004E70CE">
        <w:rPr>
          <w:color w:val="000000"/>
        </w:rPr>
        <w:t xml:space="preserve">Figure </w:t>
      </w:r>
      <w:r w:rsidR="00502E21">
        <w:rPr>
          <w:color w:val="000000"/>
        </w:rPr>
        <w:t>6</w:t>
      </w:r>
      <w:r w:rsidR="00502E21" w:rsidRPr="004E70CE">
        <w:rPr>
          <w:color w:val="000000"/>
        </w:rPr>
        <w:t xml:space="preserve"> </w:t>
      </w:r>
      <w:r w:rsidRPr="004E70CE">
        <w:rPr>
          <w:color w:val="000000"/>
        </w:rPr>
        <w:t>shows that for the construction services industry, imports of steel, cement and ammonia through both direct and indirect channels account</w:t>
      </w:r>
      <w:r w:rsidR="00771EFB" w:rsidRPr="004E70CE">
        <w:rPr>
          <w:color w:val="000000"/>
        </w:rPr>
        <w:t>ed</w:t>
      </w:r>
      <w:r w:rsidRPr="004E70CE">
        <w:rPr>
          <w:color w:val="000000"/>
        </w:rPr>
        <w:t xml:space="preserve"> for 1.26</w:t>
      </w:r>
      <w:r w:rsidR="00771EFB" w:rsidRPr="004E70CE">
        <w:rPr>
          <w:color w:val="000000"/>
        </w:rPr>
        <w:t>%</w:t>
      </w:r>
      <w:r w:rsidRPr="004E70CE">
        <w:rPr>
          <w:color w:val="000000"/>
        </w:rPr>
        <w:t xml:space="preserve"> of the sector’s industry value added, equivalent to </w:t>
      </w:r>
      <w:r w:rsidR="00771EFB" w:rsidRPr="004E70CE">
        <w:rPr>
          <w:color w:val="000000"/>
        </w:rPr>
        <w:t>A</w:t>
      </w:r>
      <w:r w:rsidRPr="004E70CE">
        <w:rPr>
          <w:color w:val="000000"/>
        </w:rPr>
        <w:t>$1.1</w:t>
      </w:r>
      <w:r w:rsidR="00771EFB" w:rsidRPr="004E70CE">
        <w:rPr>
          <w:color w:val="000000"/>
        </w:rPr>
        <w:t xml:space="preserve"> </w:t>
      </w:r>
      <w:r w:rsidRPr="004E70CE">
        <w:rPr>
          <w:color w:val="000000"/>
        </w:rPr>
        <w:t>b</w:t>
      </w:r>
      <w:r w:rsidR="00771EFB" w:rsidRPr="004E70CE">
        <w:rPr>
          <w:color w:val="000000"/>
        </w:rPr>
        <w:t>illion</w:t>
      </w:r>
      <w:r w:rsidRPr="004E70CE">
        <w:rPr>
          <w:color w:val="000000"/>
        </w:rPr>
        <w:t xml:space="preserve"> in 2021-22. </w:t>
      </w:r>
    </w:p>
    <w:p w14:paraId="433DC1F3" w14:textId="77777777" w:rsidR="009F5EE5" w:rsidRPr="004E70CE" w:rsidRDefault="009F5EE5" w:rsidP="009F5EE5">
      <w:pPr>
        <w:rPr>
          <w:rFonts w:eastAsia="Calibri" w:cstheme="minorHAnsi"/>
          <w:color w:val="000000"/>
        </w:rPr>
      </w:pPr>
      <w:r w:rsidRPr="004E70CE">
        <w:rPr>
          <w:rFonts w:eastAsia="Calibri" w:cstheme="minorHAnsi"/>
          <w:noProof/>
          <w:color w:val="000000"/>
        </w:rPr>
        <w:drawing>
          <wp:inline distT="0" distB="0" distL="0" distR="0" wp14:anchorId="3A7DAD5F" wp14:editId="37A7D288">
            <wp:extent cx="5589270" cy="32024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9896" cy="3208584"/>
                    </a:xfrm>
                    <a:prstGeom prst="rect">
                      <a:avLst/>
                    </a:prstGeom>
                    <a:noFill/>
                    <a:ln>
                      <a:noFill/>
                    </a:ln>
                  </pic:spPr>
                </pic:pic>
              </a:graphicData>
            </a:graphic>
          </wp:inline>
        </w:drawing>
      </w:r>
    </w:p>
    <w:p w14:paraId="334660AB" w14:textId="54653178" w:rsidR="009F5EE5" w:rsidRPr="004E70CE" w:rsidRDefault="009F5EE5" w:rsidP="00B226D9">
      <w:pPr>
        <w:rPr>
          <w:b/>
        </w:rPr>
      </w:pPr>
      <w:r w:rsidRPr="004E70CE">
        <w:rPr>
          <w:b/>
        </w:rPr>
        <w:t xml:space="preserve">Figure </w:t>
      </w:r>
      <w:r w:rsidR="00502E21">
        <w:rPr>
          <w:b/>
        </w:rPr>
        <w:t>6</w:t>
      </w:r>
      <w:r w:rsidRPr="004E70CE">
        <w:rPr>
          <w:b/>
        </w:rPr>
        <w:t>: Contribution of imports of cement, steel and ammonia as a percentage of total industry production value for FY2021-22.</w:t>
      </w:r>
      <w:r w:rsidR="00771EFB" w:rsidRPr="004E70CE">
        <w:rPr>
          <w:rStyle w:val="FootnoteReference"/>
          <w:b/>
        </w:rPr>
        <w:footnoteReference w:id="108"/>
      </w:r>
      <w:r w:rsidRPr="004E70CE">
        <w:rPr>
          <w:b/>
        </w:rPr>
        <w:t xml:space="preserve"> </w:t>
      </w:r>
    </w:p>
    <w:p w14:paraId="2762B9CA" w14:textId="77777777" w:rsidR="00814FF2" w:rsidRDefault="00814FF2">
      <w:r>
        <w:br w:type="page"/>
      </w:r>
    </w:p>
    <w:tbl>
      <w:tblPr>
        <w:tblStyle w:val="TableGrid"/>
        <w:tblW w:w="0" w:type="auto"/>
        <w:tblLook w:val="04A0" w:firstRow="1" w:lastRow="0" w:firstColumn="1" w:lastColumn="0" w:noHBand="0" w:noVBand="1"/>
      </w:tblPr>
      <w:tblGrid>
        <w:gridCol w:w="9016"/>
      </w:tblGrid>
      <w:tr w:rsidR="009F5EE5" w:rsidRPr="004E70CE" w14:paraId="1C4E11F8" w14:textId="77777777" w:rsidTr="00B226D9">
        <w:tc>
          <w:tcPr>
            <w:tcW w:w="9016" w:type="dxa"/>
            <w:tcBorders>
              <w:top w:val="nil"/>
              <w:left w:val="nil"/>
              <w:bottom w:val="nil"/>
              <w:right w:val="nil"/>
            </w:tcBorders>
            <w:shd w:val="clear" w:color="auto" w:fill="D7F5FA" w:themeFill="background2" w:themeFillTint="1A"/>
          </w:tcPr>
          <w:p w14:paraId="2DF74E59" w14:textId="4C31A3B8" w:rsidR="009F5EE5" w:rsidRPr="004E70CE" w:rsidRDefault="009F5EE5" w:rsidP="00FE27E9">
            <w:pPr>
              <w:spacing w:before="120"/>
              <w:rPr>
                <w:rFonts w:cstheme="minorHAnsi"/>
                <w:b/>
                <w:bCs/>
              </w:rPr>
            </w:pPr>
            <w:r w:rsidRPr="004E70CE">
              <w:rPr>
                <w:rFonts w:cstheme="minorHAnsi"/>
                <w:b/>
                <w:bCs/>
              </w:rPr>
              <w:lastRenderedPageBreak/>
              <w:t xml:space="preserve">Box </w:t>
            </w:r>
            <w:r w:rsidR="00474A2D">
              <w:rPr>
                <w:rFonts w:cstheme="minorHAnsi"/>
                <w:b/>
                <w:bCs/>
              </w:rPr>
              <w:t>4</w:t>
            </w:r>
            <w:r w:rsidRPr="004E70CE">
              <w:rPr>
                <w:rFonts w:cstheme="minorHAnsi"/>
                <w:b/>
                <w:bCs/>
              </w:rPr>
              <w:t xml:space="preserve"> </w:t>
            </w:r>
            <w:r w:rsidR="00EF6FE4">
              <w:rPr>
                <w:rFonts w:cstheme="minorHAnsi"/>
                <w:b/>
                <w:bCs/>
              </w:rPr>
              <w:t xml:space="preserve">- </w:t>
            </w:r>
            <w:r w:rsidRPr="004E70CE">
              <w:rPr>
                <w:rFonts w:cstheme="minorHAnsi"/>
                <w:b/>
                <w:bCs/>
              </w:rPr>
              <w:t>Potential downstream impact assessment – by example goods</w:t>
            </w:r>
          </w:p>
          <w:p w14:paraId="03857817" w14:textId="77777777" w:rsidR="009F5EE5" w:rsidRPr="004E70CE" w:rsidRDefault="009F5EE5" w:rsidP="00B226D9">
            <w:pPr>
              <w:spacing w:before="0"/>
              <w:rPr>
                <w:rFonts w:eastAsia="Calibri" w:cstheme="minorHAnsi"/>
              </w:rPr>
            </w:pPr>
            <w:r w:rsidRPr="004E70CE">
              <w:rPr>
                <w:rFonts w:eastAsia="Calibri" w:cstheme="minorHAnsi"/>
              </w:rPr>
              <w:t>A border carbon adjustment allows carbon costs to be reflected in product prices, because both domestic producers and imports are covered by carbon liabilities. Without it, domestic producers are constrained in their ability to reflect their carbon costs in product prices.</w:t>
            </w:r>
            <w:r w:rsidRPr="004E70CE">
              <w:rPr>
                <w:rStyle w:val="FootnoteReference"/>
                <w:rFonts w:eastAsia="Calibri" w:cstheme="minorHAnsi"/>
              </w:rPr>
              <w:footnoteReference w:id="109"/>
            </w:r>
            <w:r w:rsidRPr="004E70CE">
              <w:rPr>
                <w:rFonts w:eastAsia="Calibri" w:cstheme="minorHAnsi"/>
              </w:rPr>
              <w:t xml:space="preserve"> </w:t>
            </w:r>
          </w:p>
          <w:p w14:paraId="325CAFF8" w14:textId="77777777" w:rsidR="009F5EE5" w:rsidRPr="004E70CE" w:rsidRDefault="009F5EE5" w:rsidP="00B226D9">
            <w:pPr>
              <w:spacing w:before="0"/>
              <w:rPr>
                <w:rFonts w:eastAsia="Calibri" w:cstheme="minorHAnsi"/>
              </w:rPr>
            </w:pPr>
            <w:r w:rsidRPr="004E70CE">
              <w:rPr>
                <w:rFonts w:eastAsia="Calibri" w:cstheme="minorHAnsi"/>
              </w:rPr>
              <w:t>This price uplift on competing imports is what provides a market premium to low emissions producers and can make production of low</w:t>
            </w:r>
            <w:r w:rsidR="00861DDD" w:rsidRPr="004E70CE">
              <w:rPr>
                <w:rFonts w:eastAsia="Calibri" w:cstheme="minorHAnsi"/>
              </w:rPr>
              <w:t xml:space="preserve"> </w:t>
            </w:r>
            <w:r w:rsidRPr="004E70CE">
              <w:rPr>
                <w:rFonts w:eastAsia="Calibri" w:cstheme="minorHAnsi"/>
              </w:rPr>
              <w:t xml:space="preserve">emissions goods commercially viable even if production costs were higher. It could also encourage substitution in demand to alternative products that are low or zero emissions in production and thus experience lower or no price uplift. </w:t>
            </w:r>
          </w:p>
          <w:p w14:paraId="28D79DFA" w14:textId="77777777" w:rsidR="009F5EE5" w:rsidRPr="004E70CE" w:rsidRDefault="009F5EE5" w:rsidP="00B226D9">
            <w:pPr>
              <w:spacing w:before="0"/>
              <w:rPr>
                <w:rFonts w:eastAsia="Calibri" w:cstheme="minorHAnsi"/>
              </w:rPr>
            </w:pPr>
            <w:r w:rsidRPr="004E70CE">
              <w:rPr>
                <w:rFonts w:eastAsia="Calibri" w:cstheme="minorHAnsi"/>
              </w:rPr>
              <w:t>For example, a carbon border adjustment on cement and precursor products would tend to result in somewhat higher cement and concrete prices, as high emissions products would reflect their carbon costs in market prices. This would provide market opportunities for low</w:t>
            </w:r>
            <w:r w:rsidR="00861DDD" w:rsidRPr="004E70CE">
              <w:rPr>
                <w:rFonts w:eastAsia="Calibri" w:cstheme="minorHAnsi"/>
              </w:rPr>
              <w:t xml:space="preserve"> </w:t>
            </w:r>
            <w:r w:rsidRPr="004E70CE">
              <w:rPr>
                <w:rFonts w:eastAsia="Calibri" w:cstheme="minorHAnsi"/>
              </w:rPr>
              <w:t>emissions cement and concrete, and make it more attractive to use alternative materials.</w:t>
            </w:r>
          </w:p>
          <w:p w14:paraId="72D45456" w14:textId="77777777" w:rsidR="009F5EE5" w:rsidRPr="004E70CE" w:rsidRDefault="009F5EE5" w:rsidP="00B226D9">
            <w:pPr>
              <w:spacing w:before="0"/>
              <w:rPr>
                <w:rFonts w:eastAsia="Calibri" w:cstheme="minorHAnsi"/>
              </w:rPr>
            </w:pPr>
            <w:r w:rsidRPr="004E70CE">
              <w:rPr>
                <w:rFonts w:eastAsia="Calibri" w:cstheme="minorHAnsi"/>
              </w:rPr>
              <w:t xml:space="preserve">The effect on product prices is noted in several submissions received in response to the Review’s first consultation paper, both with regard to the housing </w:t>
            </w:r>
            <w:r w:rsidRPr="004E159A">
              <w:rPr>
                <w:rFonts w:eastAsia="Calibri" w:cstheme="minorHAnsi"/>
              </w:rPr>
              <w:t>sector</w:t>
            </w:r>
            <w:r w:rsidRPr="004E159A">
              <w:rPr>
                <w:rStyle w:val="FootnoteReference"/>
                <w:rFonts w:eastAsia="Calibri" w:cstheme="minorHAnsi"/>
              </w:rPr>
              <w:footnoteReference w:id="110"/>
            </w:r>
            <w:r w:rsidRPr="004E159A">
              <w:rPr>
                <w:rFonts w:eastAsia="Calibri" w:cstheme="minorHAnsi"/>
              </w:rPr>
              <w:t xml:space="preserve"> and</w:t>
            </w:r>
            <w:r w:rsidRPr="004E70CE">
              <w:rPr>
                <w:rFonts w:eastAsia="Calibri" w:cstheme="minorHAnsi"/>
              </w:rPr>
              <w:t xml:space="preserve"> to infrastructure projects including in energy supply.</w:t>
            </w:r>
            <w:r w:rsidRPr="004E70CE">
              <w:rPr>
                <w:rFonts w:eastAsia="Calibri" w:cstheme="minorHAnsi"/>
                <w:vertAlign w:val="superscript"/>
              </w:rPr>
              <w:footnoteReference w:id="111"/>
            </w:r>
            <w:r w:rsidRPr="004E70CE">
              <w:rPr>
                <w:rFonts w:eastAsia="Calibri" w:cstheme="minorHAnsi"/>
              </w:rPr>
              <w:t xml:space="preserve"> </w:t>
            </w:r>
          </w:p>
          <w:p w14:paraId="56B4633F" w14:textId="77777777" w:rsidR="009F5EE5" w:rsidRPr="004E70CE" w:rsidRDefault="009F5EE5" w:rsidP="00B226D9">
            <w:pPr>
              <w:spacing w:before="0"/>
              <w:rPr>
                <w:rFonts w:eastAsia="Calibri" w:cstheme="minorHAnsi"/>
                <w:color w:val="000000"/>
              </w:rPr>
            </w:pPr>
            <w:r w:rsidRPr="004E70CE">
              <w:rPr>
                <w:rFonts w:eastAsia="Calibri" w:cstheme="minorHAnsi"/>
              </w:rPr>
              <w:t>However, the magnitude of potential price impacts is small, and is likely to be readily absorbed in the economy and in overall cost structures of specifically impacted sectors.</w:t>
            </w:r>
            <w:r w:rsidRPr="004E70CE">
              <w:rPr>
                <w:rFonts w:eastAsia="Calibri" w:cstheme="minorHAnsi"/>
                <w:color w:val="000000"/>
                <w:vertAlign w:val="superscript"/>
              </w:rPr>
              <w:footnoteReference w:id="112"/>
            </w:r>
            <w:r w:rsidRPr="004E70CE">
              <w:rPr>
                <w:rFonts w:eastAsia="Calibri" w:cstheme="minorHAnsi"/>
                <w:color w:val="000000"/>
              </w:rPr>
              <w:t xml:space="preserve"> </w:t>
            </w:r>
          </w:p>
          <w:p w14:paraId="61505967" w14:textId="77777777" w:rsidR="009F5EE5" w:rsidRPr="004E70CE" w:rsidRDefault="009F5EE5" w:rsidP="00B226D9">
            <w:pPr>
              <w:spacing w:before="0"/>
              <w:rPr>
                <w:rFonts w:eastAsia="Calibri"/>
                <w:color w:val="000000" w:themeColor="text1"/>
              </w:rPr>
            </w:pPr>
            <w:r w:rsidRPr="004E70CE">
              <w:rPr>
                <w:rFonts w:eastAsia="Calibri"/>
                <w:color w:val="000000" w:themeColor="text1"/>
              </w:rPr>
              <w:t xml:space="preserve">Table </w:t>
            </w:r>
            <w:r w:rsidR="00C202D1" w:rsidRPr="004E70CE">
              <w:rPr>
                <w:rFonts w:eastAsia="Calibri"/>
                <w:color w:val="000000" w:themeColor="text1"/>
              </w:rPr>
              <w:t>10</w:t>
            </w:r>
            <w:r w:rsidRPr="004E70CE">
              <w:rPr>
                <w:rFonts w:eastAsia="Calibri"/>
                <w:color w:val="000000" w:themeColor="text1"/>
              </w:rPr>
              <w:t xml:space="preserve"> shows the price uplift enabled by a potential border carbon adjustment for cement, steel and ammonia-based fertilisers based on the sectoral analysis in </w:t>
            </w:r>
            <w:r w:rsidR="00907A49" w:rsidRPr="004E70CE">
              <w:rPr>
                <w:rFonts w:eastAsia="Calibri"/>
                <w:b/>
                <w:color w:val="000000" w:themeColor="text1"/>
              </w:rPr>
              <w:t xml:space="preserve">Chapter </w:t>
            </w:r>
            <w:r w:rsidRPr="004E70CE">
              <w:rPr>
                <w:rFonts w:eastAsia="Calibri"/>
                <w:b/>
                <w:color w:val="000000" w:themeColor="text1"/>
              </w:rPr>
              <w:t>2</w:t>
            </w:r>
            <w:r w:rsidRPr="004E70CE">
              <w:rPr>
                <w:rFonts w:eastAsia="Calibri"/>
                <w:color w:val="000000" w:themeColor="text1"/>
              </w:rPr>
              <w:t>, and assuming full carbon cost pass</w:t>
            </w:r>
            <w:r w:rsidR="004A5FC1" w:rsidRPr="004E70CE">
              <w:rPr>
                <w:rFonts w:eastAsia="Calibri"/>
                <w:color w:val="000000" w:themeColor="text1"/>
              </w:rPr>
              <w:t xml:space="preserve"> </w:t>
            </w:r>
            <w:r w:rsidRPr="004E70CE">
              <w:rPr>
                <w:rFonts w:eastAsia="Calibri"/>
                <w:color w:val="000000" w:themeColor="text1"/>
              </w:rPr>
              <w:t xml:space="preserve">through to consumers. While these are the carbon costs per commodity, the contribution to final cost of goods is therefore significantly smaller (as shown in </w:t>
            </w:r>
            <w:r w:rsidR="00C202D1" w:rsidRPr="004E70CE">
              <w:rPr>
                <w:rFonts w:eastAsia="Calibri"/>
                <w:color w:val="000000" w:themeColor="text1"/>
              </w:rPr>
              <w:t>T</w:t>
            </w:r>
            <w:r w:rsidRPr="004E70CE">
              <w:rPr>
                <w:rFonts w:eastAsia="Calibri"/>
                <w:color w:val="000000" w:themeColor="text1"/>
              </w:rPr>
              <w:t>able 1</w:t>
            </w:r>
            <w:r w:rsidR="00C202D1" w:rsidRPr="004E70CE">
              <w:rPr>
                <w:rFonts w:eastAsia="Calibri"/>
                <w:color w:val="000000" w:themeColor="text1"/>
              </w:rPr>
              <w:t>1</w:t>
            </w:r>
            <w:r w:rsidRPr="004E70CE">
              <w:rPr>
                <w:rFonts w:eastAsia="Calibri"/>
                <w:color w:val="000000" w:themeColor="text1"/>
              </w:rPr>
              <w:t xml:space="preserve">). </w:t>
            </w:r>
          </w:p>
          <w:p w14:paraId="6282A560" w14:textId="77777777" w:rsidR="009F5EE5" w:rsidRPr="004E70CE" w:rsidRDefault="009F5EE5" w:rsidP="00B226D9">
            <w:pPr>
              <w:spacing w:before="0"/>
              <w:rPr>
                <w:rFonts w:ascii="Calibri" w:eastAsia="Calibri" w:hAnsi="Calibri" w:cs="Calibri"/>
                <w:b/>
                <w:bCs/>
                <w:color w:val="000000"/>
              </w:rPr>
            </w:pPr>
            <w:r w:rsidRPr="004E70CE">
              <w:rPr>
                <w:rFonts w:ascii="Calibri" w:eastAsia="Calibri" w:hAnsi="Calibri" w:cs="Calibri"/>
                <w:b/>
                <w:color w:val="000000" w:themeColor="text1"/>
              </w:rPr>
              <w:t xml:space="preserve">Table </w:t>
            </w:r>
            <w:r w:rsidR="00C202D1" w:rsidRPr="004E70CE">
              <w:rPr>
                <w:rFonts w:ascii="Calibri" w:eastAsia="Calibri" w:hAnsi="Calibri" w:cs="Calibri"/>
                <w:b/>
                <w:color w:val="000000" w:themeColor="text1"/>
              </w:rPr>
              <w:t>10:</w:t>
            </w:r>
            <w:r w:rsidRPr="004E70CE">
              <w:rPr>
                <w:rFonts w:ascii="Calibri" w:eastAsia="Calibri" w:hAnsi="Calibri" w:cs="Calibri"/>
                <w:b/>
                <w:color w:val="000000" w:themeColor="text1"/>
              </w:rPr>
              <w:t xml:space="preserve"> Price uplift potential for selected commodities if covered by a potential border carbon adjustment in 2030</w:t>
            </w:r>
          </w:p>
          <w:tbl>
            <w:tblPr>
              <w:tblStyle w:val="ListTable3-Accent1"/>
              <w:tblW w:w="0" w:type="auto"/>
              <w:jc w:val="center"/>
              <w:tblLook w:val="04A0" w:firstRow="1" w:lastRow="0" w:firstColumn="1" w:lastColumn="0" w:noHBand="0" w:noVBand="1"/>
            </w:tblPr>
            <w:tblGrid>
              <w:gridCol w:w="2567"/>
              <w:gridCol w:w="2567"/>
            </w:tblGrid>
            <w:tr w:rsidR="009F5EE5" w:rsidRPr="004E70CE" w14:paraId="2D4FC438" w14:textId="77777777" w:rsidTr="00C573B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567" w:type="dxa"/>
                </w:tcPr>
                <w:p w14:paraId="490F2F5D" w14:textId="77777777" w:rsidR="009F5EE5" w:rsidRPr="00C573B4" w:rsidRDefault="009F5EE5" w:rsidP="00B226D9">
                  <w:pPr>
                    <w:spacing w:after="0"/>
                    <w:rPr>
                      <w:rFonts w:ascii="Calibri" w:eastAsia="Calibri" w:hAnsi="Calibri" w:cs="Calibri"/>
                      <w:sz w:val="20"/>
                      <w:szCs w:val="20"/>
                    </w:rPr>
                  </w:pPr>
                  <w:r w:rsidRPr="00C573B4">
                    <w:rPr>
                      <w:rFonts w:ascii="Calibri" w:eastAsia="Calibri" w:hAnsi="Calibri" w:cs="Calibri"/>
                      <w:sz w:val="20"/>
                      <w:szCs w:val="20"/>
                    </w:rPr>
                    <w:t>Commodity</w:t>
                  </w:r>
                </w:p>
              </w:tc>
              <w:tc>
                <w:tcPr>
                  <w:tcW w:w="2567" w:type="dxa"/>
                </w:tcPr>
                <w:p w14:paraId="2993FCA3" w14:textId="77777777" w:rsidR="009F5EE5" w:rsidRPr="00C573B4" w:rsidRDefault="009F5EE5" w:rsidP="00B226D9">
                  <w:pPr>
                    <w:spacing w:after="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vertAlign w:val="superscript"/>
                    </w:rPr>
                  </w:pPr>
                  <w:r w:rsidRPr="00C573B4">
                    <w:rPr>
                      <w:rFonts w:ascii="Calibri" w:eastAsia="Calibri" w:hAnsi="Calibri" w:cs="Calibri"/>
                      <w:sz w:val="20"/>
                      <w:szCs w:val="20"/>
                    </w:rPr>
                    <w:t>Carbon cost as a share of product prices, per year</w:t>
                  </w:r>
                  <w:r w:rsidRPr="00C573B4">
                    <w:rPr>
                      <w:rStyle w:val="FootnoteReference"/>
                      <w:rFonts w:ascii="Calibri" w:eastAsia="Calibri" w:hAnsi="Calibri" w:cs="Calibri"/>
                      <w:sz w:val="20"/>
                      <w:szCs w:val="20"/>
                    </w:rPr>
                    <w:footnoteReference w:id="113"/>
                  </w:r>
                </w:p>
              </w:tc>
            </w:tr>
            <w:tr w:rsidR="009F5EE5" w:rsidRPr="004E70CE" w14:paraId="71ACE17D" w14:textId="77777777" w:rsidTr="00C573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67" w:type="dxa"/>
                  <w:shd w:val="clear" w:color="auto" w:fill="FFFFFF" w:themeFill="accent4"/>
                </w:tcPr>
                <w:p w14:paraId="68276B5D" w14:textId="77777777" w:rsidR="009F5EE5" w:rsidRPr="004E70CE" w:rsidRDefault="009F5EE5" w:rsidP="00B226D9">
                  <w:pPr>
                    <w:spacing w:after="0"/>
                    <w:rPr>
                      <w:rFonts w:ascii="Calibri" w:eastAsia="Calibri" w:hAnsi="Calibri" w:cs="Calibri"/>
                      <w:color w:val="000000"/>
                      <w:sz w:val="20"/>
                      <w:szCs w:val="20"/>
                    </w:rPr>
                  </w:pPr>
                  <w:r w:rsidRPr="004E70CE">
                    <w:rPr>
                      <w:rFonts w:ascii="Calibri" w:eastAsia="Calibri" w:hAnsi="Calibri" w:cs="Calibri"/>
                      <w:color w:val="000000"/>
                      <w:sz w:val="20"/>
                      <w:szCs w:val="20"/>
                    </w:rPr>
                    <w:t>Concrete</w:t>
                  </w:r>
                </w:p>
              </w:tc>
              <w:tc>
                <w:tcPr>
                  <w:tcW w:w="2567" w:type="dxa"/>
                  <w:shd w:val="clear" w:color="auto" w:fill="FFFFFF" w:themeFill="accent4"/>
                </w:tcPr>
                <w:p w14:paraId="54C3AC11" w14:textId="4A42BAF9" w:rsidR="009F5EE5" w:rsidRPr="004E70CE" w:rsidRDefault="005066F2" w:rsidP="00B226D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4E70CE">
                    <w:rPr>
                      <w:rFonts w:ascii="Calibri" w:eastAsia="Calibri" w:hAnsi="Calibri" w:cs="Calibri"/>
                      <w:color w:val="000000"/>
                      <w:sz w:val="20"/>
                      <w:szCs w:val="20"/>
                    </w:rPr>
                    <w:t xml:space="preserve">0.1 </w:t>
                  </w:r>
                  <w:r w:rsidR="00C8620C" w:rsidRPr="004E70CE">
                    <w:rPr>
                      <w:rFonts w:ascii="Calibri" w:eastAsia="Calibri" w:hAnsi="Calibri" w:cs="Calibri"/>
                      <w:color w:val="000000"/>
                      <w:sz w:val="20"/>
                      <w:szCs w:val="20"/>
                    </w:rPr>
                    <w:t>to</w:t>
                  </w:r>
                  <w:r w:rsidRPr="004E70CE">
                    <w:rPr>
                      <w:rFonts w:ascii="Calibri" w:eastAsia="Calibri" w:hAnsi="Calibri" w:cs="Calibri"/>
                      <w:color w:val="000000"/>
                      <w:sz w:val="20"/>
                      <w:szCs w:val="20"/>
                    </w:rPr>
                    <w:t xml:space="preserve"> </w:t>
                  </w:r>
                  <w:r w:rsidR="007E7EEC" w:rsidRPr="004E70CE">
                    <w:rPr>
                      <w:rFonts w:ascii="Calibri" w:eastAsia="Calibri" w:hAnsi="Calibri" w:cs="Calibri"/>
                      <w:color w:val="000000"/>
                      <w:sz w:val="20"/>
                      <w:szCs w:val="20"/>
                    </w:rPr>
                    <w:t>0.2</w:t>
                  </w:r>
                  <w:r w:rsidR="009F5EE5" w:rsidRPr="004E70CE">
                    <w:rPr>
                      <w:rFonts w:ascii="Calibri" w:eastAsia="Calibri" w:hAnsi="Calibri" w:cs="Calibri"/>
                      <w:color w:val="000000"/>
                      <w:sz w:val="20"/>
                      <w:szCs w:val="20"/>
                    </w:rPr>
                    <w:t>%</w:t>
                  </w:r>
                </w:p>
              </w:tc>
            </w:tr>
            <w:tr w:rsidR="009F5EE5" w:rsidRPr="004E70CE" w14:paraId="3B9C9E91" w14:textId="77777777" w:rsidTr="00C573B4">
              <w:trPr>
                <w:jc w:val="center"/>
              </w:trPr>
              <w:tc>
                <w:tcPr>
                  <w:cnfStyle w:val="001000000000" w:firstRow="0" w:lastRow="0" w:firstColumn="1" w:lastColumn="0" w:oddVBand="0" w:evenVBand="0" w:oddHBand="0" w:evenHBand="0" w:firstRowFirstColumn="0" w:firstRowLastColumn="0" w:lastRowFirstColumn="0" w:lastRowLastColumn="0"/>
                  <w:tcW w:w="2567" w:type="dxa"/>
                  <w:shd w:val="clear" w:color="auto" w:fill="FFFFFF" w:themeFill="accent4"/>
                </w:tcPr>
                <w:p w14:paraId="10536609" w14:textId="77777777" w:rsidR="009F5EE5" w:rsidRPr="004E70CE" w:rsidRDefault="009F5EE5" w:rsidP="00B226D9">
                  <w:pPr>
                    <w:spacing w:after="0"/>
                    <w:rPr>
                      <w:rFonts w:ascii="Calibri" w:eastAsia="Calibri" w:hAnsi="Calibri" w:cs="Calibri"/>
                      <w:color w:val="000000"/>
                      <w:sz w:val="20"/>
                      <w:szCs w:val="20"/>
                    </w:rPr>
                  </w:pPr>
                  <w:r w:rsidRPr="004E70CE">
                    <w:rPr>
                      <w:rFonts w:ascii="Calibri" w:eastAsia="Calibri" w:hAnsi="Calibri" w:cs="Calibri"/>
                      <w:color w:val="000000"/>
                      <w:sz w:val="20"/>
                      <w:szCs w:val="20"/>
                    </w:rPr>
                    <w:t>Flat steel</w:t>
                  </w:r>
                </w:p>
              </w:tc>
              <w:tc>
                <w:tcPr>
                  <w:tcW w:w="2567" w:type="dxa"/>
                  <w:shd w:val="clear" w:color="auto" w:fill="FFFFFF" w:themeFill="accent4"/>
                </w:tcPr>
                <w:p w14:paraId="5FC8F645" w14:textId="7D0BC0F0" w:rsidR="009F5EE5" w:rsidRPr="004E70CE" w:rsidRDefault="008A2118" w:rsidP="00B226D9">
                  <w:pPr>
                    <w:spacing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4E70CE">
                    <w:rPr>
                      <w:rFonts w:ascii="Calibri" w:eastAsia="Calibri" w:hAnsi="Calibri" w:cs="Calibri"/>
                      <w:color w:val="000000"/>
                      <w:sz w:val="20"/>
                      <w:szCs w:val="20"/>
                    </w:rPr>
                    <w:t>0.1</w:t>
                  </w:r>
                  <w:r w:rsidR="00973693" w:rsidRPr="004E70CE">
                    <w:rPr>
                      <w:rFonts w:ascii="Calibri" w:eastAsia="Calibri" w:hAnsi="Calibri" w:cs="Calibri"/>
                      <w:color w:val="000000"/>
                      <w:sz w:val="20"/>
                      <w:szCs w:val="20"/>
                    </w:rPr>
                    <w:t xml:space="preserve"> </w:t>
                  </w:r>
                  <w:r w:rsidR="00C8620C" w:rsidRPr="004E70CE">
                    <w:rPr>
                      <w:rFonts w:ascii="Calibri" w:eastAsia="Calibri" w:hAnsi="Calibri" w:cs="Calibri"/>
                      <w:color w:val="000000"/>
                      <w:sz w:val="20"/>
                      <w:szCs w:val="20"/>
                    </w:rPr>
                    <w:t>to</w:t>
                  </w:r>
                  <w:r w:rsidR="00973693" w:rsidRPr="004E70CE">
                    <w:rPr>
                      <w:rFonts w:ascii="Calibri" w:eastAsia="Calibri" w:hAnsi="Calibri" w:cs="Calibri"/>
                      <w:color w:val="000000"/>
                      <w:sz w:val="20"/>
                      <w:szCs w:val="20"/>
                    </w:rPr>
                    <w:t xml:space="preserve"> </w:t>
                  </w:r>
                  <w:r w:rsidR="009F5EE5" w:rsidRPr="004E70CE">
                    <w:rPr>
                      <w:rFonts w:ascii="Calibri" w:eastAsia="Calibri" w:hAnsi="Calibri" w:cs="Calibri"/>
                      <w:color w:val="000000"/>
                      <w:sz w:val="20"/>
                      <w:szCs w:val="20"/>
                    </w:rPr>
                    <w:t>0.4%</w:t>
                  </w:r>
                </w:p>
              </w:tc>
            </w:tr>
            <w:tr w:rsidR="009F5EE5" w:rsidRPr="004E70CE" w14:paraId="24FE70FD" w14:textId="77777777" w:rsidTr="00C573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67" w:type="dxa"/>
                  <w:shd w:val="clear" w:color="auto" w:fill="FFFFFF" w:themeFill="accent4"/>
                </w:tcPr>
                <w:p w14:paraId="027BFC64" w14:textId="77777777" w:rsidR="009F5EE5" w:rsidRPr="004E70CE" w:rsidRDefault="009F5EE5" w:rsidP="00B226D9">
                  <w:pPr>
                    <w:spacing w:after="0"/>
                    <w:rPr>
                      <w:rFonts w:ascii="Calibri" w:eastAsia="Calibri" w:hAnsi="Calibri" w:cs="Calibri"/>
                      <w:color w:val="000000"/>
                      <w:sz w:val="20"/>
                      <w:szCs w:val="20"/>
                    </w:rPr>
                  </w:pPr>
                  <w:r w:rsidRPr="004E70CE">
                    <w:rPr>
                      <w:rFonts w:ascii="Calibri" w:eastAsia="Calibri" w:hAnsi="Calibri" w:cs="Calibri"/>
                      <w:color w:val="000000"/>
                      <w:sz w:val="20"/>
                      <w:szCs w:val="20"/>
                    </w:rPr>
                    <w:t>Ammonium nitrate fertiliser</w:t>
                  </w:r>
                </w:p>
              </w:tc>
              <w:tc>
                <w:tcPr>
                  <w:tcW w:w="2567" w:type="dxa"/>
                  <w:shd w:val="clear" w:color="auto" w:fill="FFFFFF" w:themeFill="accent4"/>
                </w:tcPr>
                <w:p w14:paraId="3B902C40" w14:textId="5BD125C4" w:rsidR="009F5EE5" w:rsidRPr="004E70CE" w:rsidRDefault="009F5EE5" w:rsidP="00B226D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4E70CE">
                    <w:rPr>
                      <w:rFonts w:ascii="Calibri" w:eastAsia="Calibri" w:hAnsi="Calibri" w:cs="Calibri"/>
                      <w:color w:val="000000"/>
                      <w:sz w:val="20"/>
                      <w:szCs w:val="20"/>
                    </w:rPr>
                    <w:t>0.</w:t>
                  </w:r>
                  <w:r w:rsidR="008B13F2" w:rsidRPr="004E70CE">
                    <w:rPr>
                      <w:rFonts w:ascii="Calibri" w:eastAsia="Calibri" w:hAnsi="Calibri" w:cs="Calibri"/>
                      <w:color w:val="000000"/>
                      <w:sz w:val="20"/>
                      <w:szCs w:val="20"/>
                    </w:rPr>
                    <w:t xml:space="preserve">1 </w:t>
                  </w:r>
                  <w:r w:rsidR="00C8620C" w:rsidRPr="004E70CE">
                    <w:rPr>
                      <w:rFonts w:ascii="Calibri" w:eastAsia="Calibri" w:hAnsi="Calibri" w:cs="Calibri"/>
                      <w:color w:val="000000"/>
                      <w:sz w:val="20"/>
                      <w:szCs w:val="20"/>
                    </w:rPr>
                    <w:t>to</w:t>
                  </w:r>
                  <w:r w:rsidR="008B13F2" w:rsidRPr="004E70CE">
                    <w:rPr>
                      <w:rFonts w:ascii="Calibri" w:eastAsia="Calibri" w:hAnsi="Calibri" w:cs="Calibri"/>
                      <w:color w:val="000000"/>
                      <w:sz w:val="20"/>
                      <w:szCs w:val="20"/>
                    </w:rPr>
                    <w:t xml:space="preserve"> </w:t>
                  </w:r>
                  <w:r w:rsidRPr="004E70CE">
                    <w:rPr>
                      <w:rFonts w:ascii="Calibri" w:eastAsia="Calibri" w:hAnsi="Calibri" w:cs="Calibri"/>
                      <w:color w:val="000000"/>
                      <w:sz w:val="20"/>
                      <w:szCs w:val="20"/>
                    </w:rPr>
                    <w:t>0.</w:t>
                  </w:r>
                  <w:r w:rsidR="003261E3" w:rsidRPr="004E70CE">
                    <w:rPr>
                      <w:rFonts w:ascii="Calibri" w:eastAsia="Calibri" w:hAnsi="Calibri" w:cs="Calibri"/>
                      <w:color w:val="000000"/>
                      <w:sz w:val="20"/>
                      <w:szCs w:val="20"/>
                    </w:rPr>
                    <w:t>4</w:t>
                  </w:r>
                  <w:r w:rsidRPr="004E70CE">
                    <w:rPr>
                      <w:rFonts w:ascii="Calibri" w:eastAsia="Calibri" w:hAnsi="Calibri" w:cs="Calibri"/>
                      <w:color w:val="000000"/>
                      <w:sz w:val="20"/>
                      <w:szCs w:val="20"/>
                    </w:rPr>
                    <w:t>%</w:t>
                  </w:r>
                </w:p>
              </w:tc>
            </w:tr>
          </w:tbl>
          <w:p w14:paraId="5041564D" w14:textId="77777777" w:rsidR="00B226D9" w:rsidRPr="004E70CE" w:rsidRDefault="009F5EE5" w:rsidP="00FE27E9">
            <w:pPr>
              <w:spacing w:before="0" w:after="0"/>
              <w:rPr>
                <w:rFonts w:ascii="Calibri" w:eastAsia="Calibri" w:hAnsi="Calibri" w:cs="Calibri"/>
                <w:color w:val="000000"/>
                <w:sz w:val="18"/>
                <w:szCs w:val="18"/>
              </w:rPr>
            </w:pPr>
            <w:r w:rsidRPr="004E70CE" w:rsidDel="0027578A">
              <w:rPr>
                <w:rFonts w:ascii="Calibri" w:eastAsia="Calibri" w:hAnsi="Calibri" w:cs="Calibri"/>
                <w:color w:val="000000"/>
                <w:sz w:val="18"/>
                <w:szCs w:val="18"/>
              </w:rPr>
              <w:t xml:space="preserve"> </w:t>
            </w:r>
          </w:p>
          <w:p w14:paraId="7598B13E" w14:textId="5A1FC59F" w:rsidR="009F5EE5" w:rsidRPr="004E70CE" w:rsidRDefault="009F5EE5" w:rsidP="00B226D9">
            <w:pPr>
              <w:spacing w:before="0"/>
              <w:rPr>
                <w:rFonts w:eastAsia="Calibri" w:cstheme="minorHAnsi"/>
                <w:color w:val="000000"/>
              </w:rPr>
            </w:pPr>
            <w:r w:rsidRPr="004E70CE">
              <w:rPr>
                <w:rFonts w:eastAsia="Calibri"/>
                <w:color w:val="000000"/>
              </w:rPr>
              <w:t xml:space="preserve">The </w:t>
            </w:r>
            <w:r w:rsidRPr="004E70CE">
              <w:rPr>
                <w:rFonts w:eastAsia="Calibri"/>
                <w:color w:val="000000" w:themeColor="text1"/>
              </w:rPr>
              <w:t xml:space="preserve">materiality of </w:t>
            </w:r>
            <w:r w:rsidRPr="004E70CE">
              <w:rPr>
                <w:rFonts w:eastAsia="Calibri"/>
                <w:color w:val="000000"/>
              </w:rPr>
              <w:t xml:space="preserve">price uplift </w:t>
            </w:r>
            <w:r w:rsidRPr="004E70CE">
              <w:rPr>
                <w:rFonts w:eastAsia="Calibri"/>
                <w:color w:val="000000" w:themeColor="text1"/>
              </w:rPr>
              <w:t xml:space="preserve">on downstream sectors was assessed using </w:t>
            </w:r>
            <w:r w:rsidR="00717D46" w:rsidRPr="004E70CE">
              <w:rPr>
                <w:rFonts w:eastAsia="Calibri"/>
                <w:color w:val="000000" w:themeColor="text1"/>
              </w:rPr>
              <w:t>typical</w:t>
            </w:r>
            <w:r w:rsidR="00717D46" w:rsidRPr="004E70CE">
              <w:rPr>
                <w:rFonts w:eastAsia="Calibri"/>
                <w:color w:val="000000"/>
              </w:rPr>
              <w:t xml:space="preserve"> </w:t>
            </w:r>
            <w:r w:rsidRPr="004E70CE">
              <w:rPr>
                <w:rFonts w:eastAsia="Calibri"/>
                <w:color w:val="000000"/>
              </w:rPr>
              <w:t xml:space="preserve">prices for housing, wheat (fertiliser), </w:t>
            </w:r>
            <w:r w:rsidRPr="004E70CE">
              <w:rPr>
                <w:rFonts w:eastAsia="Calibri"/>
                <w:color w:val="000000" w:themeColor="text1"/>
              </w:rPr>
              <w:t>and</w:t>
            </w:r>
            <w:r w:rsidRPr="004E70CE">
              <w:rPr>
                <w:rFonts w:eastAsia="Calibri"/>
                <w:color w:val="000000"/>
              </w:rPr>
              <w:t xml:space="preserve"> wind </w:t>
            </w:r>
            <w:r w:rsidR="00B1580A" w:rsidRPr="004E70CE">
              <w:rPr>
                <w:rFonts w:eastAsia="Calibri"/>
                <w:color w:val="000000"/>
              </w:rPr>
              <w:t xml:space="preserve">farm </w:t>
            </w:r>
            <w:r w:rsidRPr="004E70CE">
              <w:rPr>
                <w:rFonts w:eastAsia="Calibri"/>
                <w:color w:val="000000"/>
              </w:rPr>
              <w:t xml:space="preserve">construction. </w:t>
            </w:r>
            <w:r w:rsidRPr="004E70CE">
              <w:rPr>
                <w:rFonts w:eastAsia="Calibri"/>
                <w:color w:val="000000" w:themeColor="text1"/>
              </w:rPr>
              <w:t>These estimates indicate a theoretical price impact of below 0.1% per year</w:t>
            </w:r>
            <w:r w:rsidR="00E05128" w:rsidRPr="004E70CE">
              <w:rPr>
                <w:rFonts w:eastAsia="Calibri"/>
                <w:color w:val="000000" w:themeColor="text1"/>
              </w:rPr>
              <w:t xml:space="preserve"> (see </w:t>
            </w:r>
            <w:r w:rsidR="00E05128" w:rsidRPr="004E70CE">
              <w:rPr>
                <w:rFonts w:eastAsia="Calibri"/>
                <w:b/>
                <w:color w:val="000000" w:themeColor="text1"/>
              </w:rPr>
              <w:t>Table 11</w:t>
            </w:r>
            <w:r w:rsidR="00E05128" w:rsidRPr="004E70CE">
              <w:rPr>
                <w:rFonts w:eastAsia="Calibri"/>
                <w:color w:val="000000" w:themeColor="text1"/>
              </w:rPr>
              <w:t>)</w:t>
            </w:r>
            <w:r w:rsidRPr="004E70CE">
              <w:rPr>
                <w:rFonts w:eastAsia="Calibri"/>
                <w:color w:val="000000" w:themeColor="text1"/>
              </w:rPr>
              <w:t xml:space="preserve">. These examples assume full cost pass through </w:t>
            </w:r>
            <w:r w:rsidRPr="004E70CE">
              <w:rPr>
                <w:rFonts w:eastAsia="Calibri"/>
                <w:color w:val="000000" w:themeColor="text1"/>
              </w:rPr>
              <w:lastRenderedPageBreak/>
              <w:t>from the producers to the final goods. They also do not factor in a shift to lower emissions production practices, such as cement using a higher share of supplementary cementitious materials. They also assume no substitution from Safeguard-covered commodities to lower</w:t>
            </w:r>
            <w:r w:rsidR="004A5FC1" w:rsidRPr="004E70CE">
              <w:rPr>
                <w:rFonts w:eastAsia="Calibri"/>
                <w:color w:val="000000" w:themeColor="text1"/>
              </w:rPr>
              <w:t xml:space="preserve"> </w:t>
            </w:r>
            <w:r w:rsidRPr="004E70CE">
              <w:rPr>
                <w:rFonts w:eastAsia="Calibri"/>
                <w:color w:val="000000" w:themeColor="text1"/>
              </w:rPr>
              <w:t>emissions alternatives – for example, increased use of wood in housing construction</w:t>
            </w:r>
            <w:r w:rsidRPr="004E70CE">
              <w:rPr>
                <w:rFonts w:eastAsia="Calibri" w:cstheme="minorHAnsi"/>
                <w:color w:val="000000"/>
              </w:rPr>
              <w:t>.</w:t>
            </w:r>
          </w:p>
          <w:p w14:paraId="7DD49F97" w14:textId="77777777" w:rsidR="009F5EE5" w:rsidRPr="004E70CE" w:rsidRDefault="009F5EE5" w:rsidP="00B226D9">
            <w:pPr>
              <w:spacing w:before="0"/>
              <w:rPr>
                <w:rFonts w:eastAsia="Calibri"/>
                <w:color w:val="000000" w:themeColor="text1"/>
              </w:rPr>
            </w:pPr>
            <w:r w:rsidRPr="004E70CE">
              <w:rPr>
                <w:rFonts w:eastAsia="Calibri"/>
                <w:color w:val="000000" w:themeColor="text1"/>
              </w:rPr>
              <w:t xml:space="preserve">Actual direct price impacts are likely lower that those estimated due to the simplified assumptions used in the analysis. </w:t>
            </w:r>
          </w:p>
          <w:p w14:paraId="60FB5EA9" w14:textId="0FED4B91" w:rsidR="009F5EE5" w:rsidRPr="004E70CE" w:rsidRDefault="009F5EE5" w:rsidP="00B226D9">
            <w:pPr>
              <w:spacing w:before="0"/>
              <w:rPr>
                <w:rFonts w:eastAsia="Calibri" w:cstheme="minorHAnsi"/>
                <w:b/>
                <w:bCs/>
                <w:color w:val="000000"/>
              </w:rPr>
            </w:pPr>
            <w:r w:rsidRPr="004E70CE">
              <w:rPr>
                <w:rFonts w:eastAsia="Calibri" w:cstheme="minorHAnsi"/>
                <w:b/>
                <w:bCs/>
                <w:color w:val="000000"/>
              </w:rPr>
              <w:t>Table 1</w:t>
            </w:r>
            <w:r w:rsidR="00C202D1" w:rsidRPr="004E70CE">
              <w:rPr>
                <w:rFonts w:eastAsia="Calibri" w:cstheme="minorHAnsi"/>
                <w:b/>
                <w:bCs/>
                <w:color w:val="000000"/>
              </w:rPr>
              <w:t>1:</w:t>
            </w:r>
            <w:r w:rsidRPr="004E70CE">
              <w:rPr>
                <w:rFonts w:eastAsia="Calibri" w:cstheme="minorHAnsi"/>
                <w:b/>
                <w:bCs/>
                <w:color w:val="000000"/>
              </w:rPr>
              <w:t xml:space="preserve"> Example price uplift for downstream commodities based on covered inputs</w:t>
            </w:r>
          </w:p>
          <w:tbl>
            <w:tblPr>
              <w:tblStyle w:val="ListTable3-Accent1"/>
              <w:tblW w:w="4066" w:type="pct"/>
              <w:jc w:val="center"/>
              <w:tblLook w:val="04A0" w:firstRow="1" w:lastRow="0" w:firstColumn="1" w:lastColumn="0" w:noHBand="0" w:noVBand="1"/>
            </w:tblPr>
            <w:tblGrid>
              <w:gridCol w:w="2382"/>
              <w:gridCol w:w="2383"/>
              <w:gridCol w:w="2383"/>
            </w:tblGrid>
            <w:tr w:rsidR="009F5EE5" w:rsidRPr="004E70CE" w14:paraId="3EA2B800" w14:textId="77777777" w:rsidTr="00C573B4">
              <w:trPr>
                <w:cnfStyle w:val="100000000000" w:firstRow="1" w:lastRow="0" w:firstColumn="0" w:lastColumn="0" w:oddVBand="0" w:evenVBand="0" w:oddHBand="0" w:evenHBand="0" w:firstRowFirstColumn="0" w:firstRowLastColumn="0" w:lastRowFirstColumn="0" w:lastRowLastColumn="0"/>
                <w:trHeight w:val="1006"/>
                <w:jc w:val="center"/>
              </w:trPr>
              <w:tc>
                <w:tcPr>
                  <w:cnfStyle w:val="001000000100" w:firstRow="0" w:lastRow="0" w:firstColumn="1" w:lastColumn="0" w:oddVBand="0" w:evenVBand="0" w:oddHBand="0" w:evenHBand="0" w:firstRowFirstColumn="1" w:firstRowLastColumn="0" w:lastRowFirstColumn="0" w:lastRowLastColumn="0"/>
                  <w:tcW w:w="1666" w:type="pct"/>
                </w:tcPr>
                <w:p w14:paraId="266B6E82" w14:textId="77777777" w:rsidR="009F5EE5" w:rsidRPr="00C573B4" w:rsidRDefault="009F5EE5" w:rsidP="001A749E">
                  <w:pPr>
                    <w:spacing w:after="0"/>
                    <w:rPr>
                      <w:rFonts w:ascii="Calibri" w:eastAsia="Calibri" w:hAnsi="Calibri" w:cs="Calibri"/>
                      <w:sz w:val="20"/>
                      <w:szCs w:val="20"/>
                    </w:rPr>
                  </w:pPr>
                  <w:r w:rsidRPr="00C573B4">
                    <w:rPr>
                      <w:rFonts w:ascii="Calibri" w:eastAsia="Calibri" w:hAnsi="Calibri" w:cs="Calibri"/>
                      <w:sz w:val="20"/>
                      <w:szCs w:val="20"/>
                    </w:rPr>
                    <w:t>Commodity</w:t>
                  </w:r>
                </w:p>
              </w:tc>
              <w:tc>
                <w:tcPr>
                  <w:tcW w:w="1667" w:type="pct"/>
                </w:tcPr>
                <w:p w14:paraId="027B4766" w14:textId="77777777" w:rsidR="009F5EE5" w:rsidRPr="00C573B4" w:rsidRDefault="009F5EE5" w:rsidP="001A749E">
                  <w:pPr>
                    <w:spacing w:after="0"/>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vertAlign w:val="superscript"/>
                    </w:rPr>
                  </w:pPr>
                  <w:r w:rsidRPr="00C573B4">
                    <w:rPr>
                      <w:rFonts w:ascii="Calibri" w:eastAsia="Calibri" w:hAnsi="Calibri" w:cs="Calibri"/>
                      <w:sz w:val="20"/>
                      <w:szCs w:val="20"/>
                    </w:rPr>
                    <w:t>Estimated covered inputs</w:t>
                  </w:r>
                </w:p>
              </w:tc>
              <w:tc>
                <w:tcPr>
                  <w:tcW w:w="1667" w:type="pct"/>
                </w:tcPr>
                <w:p w14:paraId="0A42C596" w14:textId="77777777" w:rsidR="009F5EE5" w:rsidRPr="00C573B4" w:rsidRDefault="009F5EE5" w:rsidP="001A749E">
                  <w:pPr>
                    <w:spacing w:after="0"/>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C573B4">
                    <w:rPr>
                      <w:rFonts w:ascii="Calibri" w:eastAsia="Calibri" w:hAnsi="Calibri" w:cs="Calibri"/>
                      <w:sz w:val="20"/>
                      <w:szCs w:val="20"/>
                    </w:rPr>
                    <w:t>Total carbon cost as a share of total price, per year</w:t>
                  </w:r>
                  <w:r w:rsidRPr="00C573B4">
                    <w:rPr>
                      <w:rStyle w:val="FootnoteReference"/>
                      <w:rFonts w:ascii="Calibri" w:eastAsia="Calibri" w:hAnsi="Calibri" w:cs="Calibri"/>
                      <w:sz w:val="20"/>
                      <w:szCs w:val="20"/>
                    </w:rPr>
                    <w:footnoteReference w:id="114"/>
                  </w:r>
                </w:p>
              </w:tc>
            </w:tr>
            <w:tr w:rsidR="009F5EE5" w:rsidRPr="004E70CE" w14:paraId="192C4E59" w14:textId="77777777" w:rsidTr="00C573B4">
              <w:trPr>
                <w:cnfStyle w:val="000000100000" w:firstRow="0" w:lastRow="0" w:firstColumn="0" w:lastColumn="0" w:oddVBand="0" w:evenVBand="0" w:oddHBand="1" w:evenHBand="0" w:firstRowFirstColumn="0" w:firstRowLastColumn="0" w:lastRowFirstColumn="0" w:lastRowLastColumn="0"/>
                <w:trHeight w:val="879"/>
                <w:jc w:val="center"/>
              </w:trPr>
              <w:tc>
                <w:tcPr>
                  <w:cnfStyle w:val="001000000000" w:firstRow="0" w:lastRow="0" w:firstColumn="1" w:lastColumn="0" w:oddVBand="0" w:evenVBand="0" w:oddHBand="0" w:evenHBand="0" w:firstRowFirstColumn="0" w:firstRowLastColumn="0" w:lastRowFirstColumn="0" w:lastRowLastColumn="0"/>
                  <w:tcW w:w="1666" w:type="pct"/>
                  <w:shd w:val="clear" w:color="auto" w:fill="FFFFFF" w:themeFill="accent4"/>
                </w:tcPr>
                <w:p w14:paraId="6E0D1DC2" w14:textId="1D78C0B6" w:rsidR="009F5EE5" w:rsidRPr="004E70CE" w:rsidRDefault="009F5EE5" w:rsidP="001A749E">
                  <w:pPr>
                    <w:spacing w:after="0"/>
                    <w:rPr>
                      <w:rFonts w:ascii="Calibri" w:eastAsia="Calibri" w:hAnsi="Calibri" w:cs="Calibri"/>
                      <w:color w:val="000000"/>
                      <w:sz w:val="20"/>
                      <w:szCs w:val="20"/>
                    </w:rPr>
                  </w:pPr>
                  <w:r w:rsidRPr="004E70CE">
                    <w:rPr>
                      <w:rFonts w:ascii="Calibri" w:eastAsia="Calibri" w:hAnsi="Calibri" w:cs="Calibri"/>
                      <w:color w:val="000000"/>
                      <w:sz w:val="20"/>
                      <w:szCs w:val="20"/>
                    </w:rPr>
                    <w:t>Residential house (floor area 230 m</w:t>
                  </w:r>
                  <w:r w:rsidRPr="004E70CE">
                    <w:rPr>
                      <w:rFonts w:ascii="Calibri" w:eastAsia="Calibri" w:hAnsi="Calibri" w:cs="Calibri"/>
                      <w:color w:val="000000"/>
                      <w:sz w:val="20"/>
                      <w:szCs w:val="20"/>
                      <w:vertAlign w:val="superscript"/>
                    </w:rPr>
                    <w:t>2</w:t>
                  </w:r>
                  <w:r w:rsidRPr="004E70CE">
                    <w:rPr>
                      <w:rFonts w:ascii="Calibri" w:eastAsia="Calibri" w:hAnsi="Calibri" w:cs="Calibri"/>
                      <w:color w:val="000000"/>
                      <w:sz w:val="20"/>
                      <w:szCs w:val="20"/>
                    </w:rPr>
                    <w:t>)</w:t>
                  </w:r>
                  <w:r w:rsidRPr="004E70CE">
                    <w:rPr>
                      <w:rStyle w:val="FootnoteReference"/>
                      <w:rFonts w:ascii="Calibri" w:eastAsia="Calibri" w:hAnsi="Calibri" w:cs="Calibri"/>
                      <w:color w:val="000000"/>
                      <w:sz w:val="20"/>
                      <w:szCs w:val="20"/>
                    </w:rPr>
                    <w:footnoteReference w:id="115"/>
                  </w:r>
                  <w:r w:rsidRPr="004E70CE">
                    <w:rPr>
                      <w:rFonts w:ascii="Times New Roman" w:hAnsi="Times New Roman" w:cs="Times New Roman"/>
                      <w:sz w:val="20"/>
                      <w:szCs w:val="20"/>
                      <w:lang w:eastAsia="en-AU"/>
                    </w:rPr>
                    <w:t xml:space="preserve"> </w:t>
                  </w:r>
                </w:p>
              </w:tc>
              <w:tc>
                <w:tcPr>
                  <w:tcW w:w="1667" w:type="pct"/>
                  <w:shd w:val="clear" w:color="auto" w:fill="FFFFFF" w:themeFill="accent4"/>
                </w:tcPr>
                <w:p w14:paraId="083B9397" w14:textId="77777777" w:rsidR="009F5EE5" w:rsidRPr="004E70CE" w:rsidRDefault="007E7EEC" w:rsidP="001A749E">
                  <w:pPr>
                    <w:spacing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4E70CE">
                    <w:rPr>
                      <w:rFonts w:ascii="Calibri" w:eastAsia="Calibri" w:hAnsi="Calibri" w:cs="Calibri"/>
                      <w:color w:val="000000"/>
                      <w:sz w:val="20"/>
                      <w:szCs w:val="20"/>
                    </w:rPr>
                    <w:t>42</w:t>
                  </w:r>
                  <w:r w:rsidR="009F5EE5" w:rsidRPr="004E70CE">
                    <w:rPr>
                      <w:rFonts w:ascii="Calibri" w:eastAsia="Calibri" w:hAnsi="Calibri" w:cs="Calibri"/>
                      <w:color w:val="000000"/>
                      <w:sz w:val="20"/>
                      <w:szCs w:val="20"/>
                    </w:rPr>
                    <w:t xml:space="preserve"> m</w:t>
                  </w:r>
                  <w:r w:rsidR="009F5EE5" w:rsidRPr="004E70CE">
                    <w:rPr>
                      <w:rFonts w:ascii="Calibri" w:eastAsia="Calibri" w:hAnsi="Calibri" w:cs="Calibri"/>
                      <w:color w:val="000000"/>
                      <w:sz w:val="20"/>
                      <w:szCs w:val="20"/>
                      <w:vertAlign w:val="superscript"/>
                    </w:rPr>
                    <w:t xml:space="preserve">3 </w:t>
                  </w:r>
                  <w:r w:rsidR="009F5EE5" w:rsidRPr="004E70CE">
                    <w:rPr>
                      <w:rFonts w:ascii="Calibri" w:eastAsia="Calibri" w:hAnsi="Calibri" w:cs="Calibri"/>
                      <w:color w:val="000000"/>
                      <w:sz w:val="20"/>
                      <w:szCs w:val="20"/>
                    </w:rPr>
                    <w:t xml:space="preserve">concrete </w:t>
                  </w:r>
                </w:p>
                <w:p w14:paraId="7099C1EC" w14:textId="77777777" w:rsidR="009F5EE5" w:rsidRPr="004E70CE" w:rsidRDefault="009F5EE5" w:rsidP="001A749E">
                  <w:pPr>
                    <w:spacing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4E70CE">
                    <w:rPr>
                      <w:rFonts w:ascii="Calibri" w:eastAsia="Calibri" w:hAnsi="Calibri" w:cs="Calibri"/>
                      <w:color w:val="000000"/>
                      <w:sz w:val="20"/>
                      <w:szCs w:val="20"/>
                    </w:rPr>
                    <w:br/>
                    <w:t>2.5 tonnes steel</w:t>
                  </w:r>
                </w:p>
              </w:tc>
              <w:tc>
                <w:tcPr>
                  <w:tcW w:w="1667" w:type="pct"/>
                  <w:shd w:val="clear" w:color="auto" w:fill="FFFFFF" w:themeFill="accent4"/>
                </w:tcPr>
                <w:p w14:paraId="28D89DD9" w14:textId="3A67EC30" w:rsidR="009F5EE5" w:rsidRPr="004E70CE" w:rsidRDefault="00BA2098" w:rsidP="001A749E">
                  <w:pPr>
                    <w:spacing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4E70CE">
                    <w:rPr>
                      <w:rFonts w:ascii="Calibri" w:eastAsia="Calibri" w:hAnsi="Calibri" w:cs="Calibri"/>
                      <w:color w:val="000000"/>
                      <w:sz w:val="20"/>
                      <w:szCs w:val="20"/>
                    </w:rPr>
                    <w:t xml:space="preserve">0.00 - </w:t>
                  </w:r>
                  <w:r w:rsidR="009F5EE5" w:rsidRPr="004E70CE">
                    <w:rPr>
                      <w:rFonts w:ascii="Calibri" w:eastAsia="Calibri" w:hAnsi="Calibri" w:cs="Calibri"/>
                      <w:color w:val="000000"/>
                      <w:sz w:val="20"/>
                      <w:szCs w:val="20"/>
                    </w:rPr>
                    <w:t>0.0</w:t>
                  </w:r>
                  <w:r w:rsidR="007E7EEC" w:rsidRPr="004E70CE">
                    <w:rPr>
                      <w:rFonts w:ascii="Calibri" w:eastAsia="Calibri" w:hAnsi="Calibri" w:cs="Calibri"/>
                      <w:color w:val="000000"/>
                      <w:sz w:val="20"/>
                      <w:szCs w:val="20"/>
                    </w:rPr>
                    <w:t>1</w:t>
                  </w:r>
                  <w:r w:rsidR="009F5EE5" w:rsidRPr="004E70CE">
                    <w:rPr>
                      <w:rFonts w:ascii="Calibri" w:eastAsia="Calibri" w:hAnsi="Calibri" w:cs="Calibri"/>
                      <w:color w:val="000000"/>
                      <w:sz w:val="20"/>
                      <w:szCs w:val="20"/>
                    </w:rPr>
                    <w:t>% of an average $473,000 construction price</w:t>
                  </w:r>
                </w:p>
              </w:tc>
            </w:tr>
            <w:tr w:rsidR="009F5EE5" w:rsidRPr="004E70CE" w14:paraId="7BD75EAA" w14:textId="77777777" w:rsidTr="00C573B4">
              <w:trPr>
                <w:trHeight w:val="863"/>
                <w:jc w:val="center"/>
              </w:trPr>
              <w:tc>
                <w:tcPr>
                  <w:cnfStyle w:val="001000000000" w:firstRow="0" w:lastRow="0" w:firstColumn="1" w:lastColumn="0" w:oddVBand="0" w:evenVBand="0" w:oddHBand="0" w:evenHBand="0" w:firstRowFirstColumn="0" w:firstRowLastColumn="0" w:lastRowFirstColumn="0" w:lastRowLastColumn="0"/>
                  <w:tcW w:w="1666" w:type="pct"/>
                  <w:shd w:val="clear" w:color="auto" w:fill="FFFFFF" w:themeFill="accent4"/>
                </w:tcPr>
                <w:p w14:paraId="53C66EDE" w14:textId="77777777" w:rsidR="009F5EE5" w:rsidRPr="004E70CE" w:rsidRDefault="009F5EE5" w:rsidP="001A749E">
                  <w:pPr>
                    <w:spacing w:after="0"/>
                    <w:rPr>
                      <w:rFonts w:ascii="Times New Roman" w:hAnsi="Times New Roman" w:cs="Times New Roman"/>
                      <w:sz w:val="20"/>
                      <w:szCs w:val="20"/>
                      <w:lang w:eastAsia="en-AU"/>
                    </w:rPr>
                  </w:pPr>
                  <w:r w:rsidRPr="004E70CE">
                    <w:rPr>
                      <w:rFonts w:ascii="Calibri" w:eastAsia="Calibri" w:hAnsi="Calibri" w:cs="Calibri"/>
                      <w:color w:val="000000"/>
                      <w:sz w:val="20"/>
                      <w:szCs w:val="20"/>
                    </w:rPr>
                    <w:t xml:space="preserve">Wind </w:t>
                  </w:r>
                  <w:r w:rsidR="00B1580A" w:rsidRPr="004E70CE">
                    <w:rPr>
                      <w:rFonts w:ascii="Calibri" w:eastAsia="Calibri" w:hAnsi="Calibri" w:cs="Calibri"/>
                      <w:color w:val="000000"/>
                      <w:sz w:val="20"/>
                      <w:szCs w:val="20"/>
                    </w:rPr>
                    <w:t xml:space="preserve">farm </w:t>
                  </w:r>
                  <w:r w:rsidRPr="004E70CE">
                    <w:rPr>
                      <w:rFonts w:ascii="Calibri" w:eastAsia="Calibri" w:hAnsi="Calibri" w:cs="Calibri"/>
                      <w:color w:val="000000"/>
                      <w:sz w:val="20"/>
                      <w:szCs w:val="20"/>
                    </w:rPr>
                    <w:t>construction</w:t>
                  </w:r>
                  <w:r w:rsidRPr="004E70CE">
                    <w:rPr>
                      <w:rFonts w:ascii="Calibri" w:eastAsia="Calibri" w:hAnsi="Calibri" w:cs="Calibri"/>
                      <w:color w:val="000000"/>
                      <w:sz w:val="20"/>
                      <w:szCs w:val="20"/>
                    </w:rPr>
                    <w:br/>
                    <w:t xml:space="preserve"> (110 MW)</w:t>
                  </w:r>
                  <w:r w:rsidRPr="004E70CE">
                    <w:rPr>
                      <w:rStyle w:val="FootnoteReference"/>
                      <w:rFonts w:ascii="Calibri" w:eastAsia="Calibri" w:hAnsi="Calibri" w:cs="Calibri"/>
                      <w:color w:val="000000"/>
                      <w:sz w:val="20"/>
                      <w:szCs w:val="20"/>
                    </w:rPr>
                    <w:footnoteReference w:id="116"/>
                  </w:r>
                  <w:r w:rsidRPr="004E70CE">
                    <w:rPr>
                      <w:rFonts w:ascii="Times New Roman" w:hAnsi="Times New Roman" w:cs="Times New Roman"/>
                      <w:sz w:val="20"/>
                      <w:szCs w:val="20"/>
                      <w:lang w:eastAsia="en-AU"/>
                    </w:rPr>
                    <w:t xml:space="preserve"> </w:t>
                  </w:r>
                </w:p>
                <w:p w14:paraId="7E981FE0" w14:textId="77777777" w:rsidR="009F5EE5" w:rsidRPr="004E70CE" w:rsidRDefault="009F5EE5" w:rsidP="001A749E">
                  <w:pPr>
                    <w:spacing w:after="0"/>
                    <w:rPr>
                      <w:rFonts w:ascii="Calibri" w:eastAsia="Calibri" w:hAnsi="Calibri" w:cs="Calibri"/>
                      <w:color w:val="000000"/>
                      <w:sz w:val="20"/>
                      <w:szCs w:val="20"/>
                    </w:rPr>
                  </w:pPr>
                </w:p>
              </w:tc>
              <w:tc>
                <w:tcPr>
                  <w:tcW w:w="1667" w:type="pct"/>
                  <w:shd w:val="clear" w:color="auto" w:fill="FFFFFF" w:themeFill="accent4"/>
                </w:tcPr>
                <w:p w14:paraId="2D0BBD6D" w14:textId="77777777" w:rsidR="009F5EE5" w:rsidRPr="004E70CE" w:rsidRDefault="009F5EE5" w:rsidP="001A749E">
                  <w:pPr>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4E70CE">
                    <w:rPr>
                      <w:rFonts w:ascii="Calibri" w:eastAsia="Calibri" w:hAnsi="Calibri" w:cs="Calibri"/>
                      <w:color w:val="000000"/>
                      <w:sz w:val="20"/>
                      <w:szCs w:val="20"/>
                    </w:rPr>
                    <w:t>20,900 m</w:t>
                  </w:r>
                  <w:r w:rsidRPr="004E70CE">
                    <w:rPr>
                      <w:rFonts w:ascii="Calibri" w:eastAsia="Calibri" w:hAnsi="Calibri" w:cs="Calibri"/>
                      <w:color w:val="000000"/>
                      <w:sz w:val="20"/>
                      <w:szCs w:val="20"/>
                      <w:vertAlign w:val="superscript"/>
                    </w:rPr>
                    <w:t>3</w:t>
                  </w:r>
                  <w:r w:rsidRPr="004E70CE">
                    <w:rPr>
                      <w:rFonts w:ascii="Calibri" w:eastAsia="Calibri" w:hAnsi="Calibri" w:cs="Calibri"/>
                      <w:color w:val="000000"/>
                      <w:sz w:val="20"/>
                      <w:szCs w:val="20"/>
                    </w:rPr>
                    <w:t xml:space="preserve"> concrete </w:t>
                  </w:r>
                </w:p>
                <w:p w14:paraId="366ECB8D" w14:textId="77777777" w:rsidR="009F5EE5" w:rsidRPr="004E70CE" w:rsidRDefault="009F5EE5" w:rsidP="001A749E">
                  <w:pPr>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4E70CE">
                    <w:rPr>
                      <w:rFonts w:ascii="Calibri" w:eastAsia="Calibri" w:hAnsi="Calibri" w:cs="Calibri"/>
                      <w:color w:val="000000"/>
                      <w:sz w:val="20"/>
                      <w:szCs w:val="20"/>
                    </w:rPr>
                    <w:br/>
                    <w:t>13,200 tonnes steel</w:t>
                  </w:r>
                </w:p>
              </w:tc>
              <w:tc>
                <w:tcPr>
                  <w:tcW w:w="1667" w:type="pct"/>
                  <w:shd w:val="clear" w:color="auto" w:fill="FFFFFF" w:themeFill="accent4"/>
                </w:tcPr>
                <w:p w14:paraId="6C7912E9" w14:textId="74C7BF50" w:rsidR="009F5EE5" w:rsidRPr="004E70CE" w:rsidRDefault="00221D7D" w:rsidP="001A749E">
                  <w:pPr>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4E70CE">
                    <w:rPr>
                      <w:rFonts w:ascii="Calibri" w:eastAsia="Calibri" w:hAnsi="Calibri" w:cs="Calibri"/>
                      <w:color w:val="000000"/>
                      <w:sz w:val="20"/>
                      <w:szCs w:val="20"/>
                    </w:rPr>
                    <w:t xml:space="preserve">0.01 - </w:t>
                  </w:r>
                  <w:r w:rsidR="009F5EE5" w:rsidRPr="004E70CE">
                    <w:rPr>
                      <w:rFonts w:ascii="Calibri" w:eastAsia="Calibri" w:hAnsi="Calibri" w:cs="Calibri"/>
                      <w:color w:val="000000"/>
                      <w:sz w:val="20"/>
                      <w:szCs w:val="20"/>
                    </w:rPr>
                    <w:t>0.0</w:t>
                  </w:r>
                  <w:r w:rsidR="007E7EEC" w:rsidRPr="004E70CE">
                    <w:rPr>
                      <w:rFonts w:ascii="Calibri" w:eastAsia="Calibri" w:hAnsi="Calibri" w:cs="Calibri"/>
                      <w:color w:val="000000"/>
                      <w:sz w:val="20"/>
                      <w:szCs w:val="20"/>
                    </w:rPr>
                    <w:t>3</w:t>
                  </w:r>
                  <w:r w:rsidR="009F5EE5" w:rsidRPr="004E70CE">
                    <w:rPr>
                      <w:rFonts w:ascii="Calibri" w:eastAsia="Calibri" w:hAnsi="Calibri" w:cs="Calibri"/>
                      <w:color w:val="000000"/>
                      <w:sz w:val="20"/>
                      <w:szCs w:val="20"/>
                    </w:rPr>
                    <w:t xml:space="preserve">% of an </w:t>
                  </w:r>
                  <w:r w:rsidR="00E33679" w:rsidRPr="004E70CE">
                    <w:rPr>
                      <w:rFonts w:ascii="Calibri" w:eastAsia="Calibri" w:hAnsi="Calibri" w:cs="Calibri"/>
                      <w:color w:val="000000"/>
                      <w:sz w:val="20"/>
                      <w:szCs w:val="20"/>
                    </w:rPr>
                    <w:t xml:space="preserve">indicative </w:t>
                  </w:r>
                  <w:r w:rsidR="009F5EE5" w:rsidRPr="004E70CE">
                    <w:rPr>
                      <w:rFonts w:ascii="Calibri" w:eastAsia="Calibri" w:hAnsi="Calibri" w:cs="Calibri"/>
                      <w:color w:val="000000"/>
                      <w:sz w:val="20"/>
                      <w:szCs w:val="20"/>
                    </w:rPr>
                    <w:t>$215</w:t>
                  </w:r>
                  <w:r w:rsidR="00B1580A" w:rsidRPr="004E70CE">
                    <w:rPr>
                      <w:rFonts w:ascii="Calibri" w:eastAsia="Calibri" w:hAnsi="Calibri" w:cs="Calibri"/>
                      <w:color w:val="000000"/>
                      <w:sz w:val="20"/>
                      <w:szCs w:val="20"/>
                    </w:rPr>
                    <w:t xml:space="preserve"> </w:t>
                  </w:r>
                  <w:r w:rsidR="009F5EE5" w:rsidRPr="004E70CE">
                    <w:rPr>
                      <w:rFonts w:ascii="Calibri" w:eastAsia="Calibri" w:hAnsi="Calibri" w:cs="Calibri"/>
                      <w:color w:val="000000"/>
                      <w:sz w:val="20"/>
                      <w:szCs w:val="20"/>
                    </w:rPr>
                    <w:t>m</w:t>
                  </w:r>
                  <w:r w:rsidR="00B1580A" w:rsidRPr="004E70CE">
                    <w:rPr>
                      <w:rFonts w:ascii="Calibri" w:eastAsia="Calibri" w:hAnsi="Calibri" w:cs="Calibri"/>
                      <w:color w:val="000000"/>
                      <w:sz w:val="20"/>
                      <w:szCs w:val="20"/>
                    </w:rPr>
                    <w:t>illion</w:t>
                  </w:r>
                  <w:r w:rsidR="009F5EE5" w:rsidRPr="004E70CE">
                    <w:rPr>
                      <w:rFonts w:ascii="Calibri" w:eastAsia="Calibri" w:hAnsi="Calibri" w:cs="Calibri"/>
                      <w:color w:val="000000"/>
                      <w:sz w:val="20"/>
                      <w:szCs w:val="20"/>
                    </w:rPr>
                    <w:t xml:space="preserve"> </w:t>
                  </w:r>
                  <w:r w:rsidR="00B1580A" w:rsidRPr="004E70CE">
                    <w:rPr>
                      <w:rFonts w:ascii="Calibri" w:eastAsia="Calibri" w:hAnsi="Calibri" w:cs="Calibri"/>
                      <w:color w:val="000000"/>
                      <w:sz w:val="20"/>
                      <w:szCs w:val="20"/>
                    </w:rPr>
                    <w:t xml:space="preserve">100 MW wind farm </w:t>
                  </w:r>
                  <w:r w:rsidR="009F5EE5" w:rsidRPr="004E70CE">
                    <w:rPr>
                      <w:rFonts w:ascii="Calibri" w:eastAsia="Calibri" w:hAnsi="Calibri" w:cs="Calibri"/>
                      <w:color w:val="000000"/>
                      <w:sz w:val="20"/>
                      <w:szCs w:val="20"/>
                    </w:rPr>
                    <w:t>price</w:t>
                  </w:r>
                </w:p>
              </w:tc>
            </w:tr>
            <w:tr w:rsidR="009F5EE5" w:rsidRPr="004E70CE" w14:paraId="7293ADFE" w14:textId="77777777" w:rsidTr="00C573B4">
              <w:trPr>
                <w:cnfStyle w:val="000000100000" w:firstRow="0" w:lastRow="0" w:firstColumn="0" w:lastColumn="0" w:oddVBand="0" w:evenVBand="0" w:oddHBand="1" w:evenHBand="0" w:firstRowFirstColumn="0" w:firstRowLastColumn="0" w:lastRowFirstColumn="0" w:lastRowLastColumn="0"/>
                <w:trHeight w:val="816"/>
                <w:jc w:val="center"/>
              </w:trPr>
              <w:tc>
                <w:tcPr>
                  <w:cnfStyle w:val="001000000000" w:firstRow="0" w:lastRow="0" w:firstColumn="1" w:lastColumn="0" w:oddVBand="0" w:evenVBand="0" w:oddHBand="0" w:evenHBand="0" w:firstRowFirstColumn="0" w:firstRowLastColumn="0" w:lastRowFirstColumn="0" w:lastRowLastColumn="0"/>
                  <w:tcW w:w="1666" w:type="pct"/>
                  <w:shd w:val="clear" w:color="auto" w:fill="FFFFFF" w:themeFill="accent4"/>
                </w:tcPr>
                <w:p w14:paraId="1057A0DD" w14:textId="77777777" w:rsidR="009F5EE5" w:rsidRPr="004E70CE" w:rsidRDefault="009F5EE5" w:rsidP="001A749E">
                  <w:pPr>
                    <w:spacing w:after="0"/>
                    <w:rPr>
                      <w:rFonts w:ascii="Times New Roman" w:hAnsi="Times New Roman" w:cs="Times New Roman"/>
                      <w:sz w:val="20"/>
                      <w:szCs w:val="20"/>
                      <w:lang w:eastAsia="en-AU"/>
                    </w:rPr>
                  </w:pPr>
                  <w:r w:rsidRPr="004E70CE">
                    <w:rPr>
                      <w:rFonts w:ascii="Calibri" w:eastAsia="Calibri" w:hAnsi="Calibri" w:cs="Calibri"/>
                      <w:color w:val="000000"/>
                      <w:sz w:val="20"/>
                      <w:szCs w:val="20"/>
                    </w:rPr>
                    <w:t>Wheat (tonne)</w:t>
                  </w:r>
                  <w:r w:rsidRPr="004E70CE">
                    <w:rPr>
                      <w:rStyle w:val="FootnoteReference"/>
                      <w:rFonts w:ascii="Calibri" w:eastAsia="Calibri" w:hAnsi="Calibri" w:cs="Calibri"/>
                      <w:color w:val="000000"/>
                      <w:sz w:val="20"/>
                      <w:szCs w:val="20"/>
                    </w:rPr>
                    <w:footnoteReference w:id="117"/>
                  </w:r>
                  <w:r w:rsidRPr="004E70CE">
                    <w:rPr>
                      <w:rFonts w:ascii="Times New Roman" w:hAnsi="Times New Roman" w:cs="Times New Roman"/>
                      <w:sz w:val="20"/>
                      <w:szCs w:val="20"/>
                      <w:lang w:eastAsia="en-AU"/>
                    </w:rPr>
                    <w:t xml:space="preserve"> </w:t>
                  </w:r>
                </w:p>
                <w:p w14:paraId="0CC2F091" w14:textId="77777777" w:rsidR="009F5EE5" w:rsidRPr="004E70CE" w:rsidRDefault="009F5EE5" w:rsidP="001A749E">
                  <w:pPr>
                    <w:spacing w:after="0"/>
                    <w:rPr>
                      <w:rFonts w:ascii="Calibri" w:eastAsia="Calibri" w:hAnsi="Calibri" w:cs="Calibri"/>
                      <w:color w:val="000000"/>
                      <w:sz w:val="20"/>
                      <w:szCs w:val="20"/>
                    </w:rPr>
                  </w:pPr>
                </w:p>
              </w:tc>
              <w:tc>
                <w:tcPr>
                  <w:tcW w:w="1667" w:type="pct"/>
                  <w:shd w:val="clear" w:color="auto" w:fill="FFFFFF" w:themeFill="accent4"/>
                </w:tcPr>
                <w:p w14:paraId="2D939995" w14:textId="77777777" w:rsidR="009F5EE5" w:rsidRPr="004E70CE" w:rsidRDefault="009F5EE5" w:rsidP="001A749E">
                  <w:pPr>
                    <w:spacing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4E70CE">
                    <w:rPr>
                      <w:rFonts w:ascii="Calibri" w:eastAsia="Calibri" w:hAnsi="Calibri" w:cs="Calibri"/>
                      <w:color w:val="000000"/>
                      <w:sz w:val="20"/>
                      <w:szCs w:val="20"/>
                    </w:rPr>
                    <w:t>0.1</w:t>
                  </w:r>
                  <w:r w:rsidR="00564A4C" w:rsidRPr="004E70CE">
                    <w:rPr>
                      <w:rFonts w:ascii="Calibri" w:eastAsia="Calibri" w:hAnsi="Calibri" w:cs="Calibri"/>
                      <w:color w:val="000000"/>
                      <w:sz w:val="20"/>
                      <w:szCs w:val="20"/>
                    </w:rPr>
                    <w:t>16</w:t>
                  </w:r>
                  <w:r w:rsidRPr="004E70CE">
                    <w:rPr>
                      <w:rFonts w:ascii="Calibri" w:eastAsia="Calibri" w:hAnsi="Calibri" w:cs="Calibri"/>
                      <w:color w:val="000000"/>
                      <w:sz w:val="20"/>
                      <w:szCs w:val="20"/>
                    </w:rPr>
                    <w:t xml:space="preserve"> tonnes ammonium nitrate fertiliser</w:t>
                  </w:r>
                </w:p>
              </w:tc>
              <w:tc>
                <w:tcPr>
                  <w:tcW w:w="1667" w:type="pct"/>
                  <w:shd w:val="clear" w:color="auto" w:fill="FFFFFF" w:themeFill="accent4"/>
                </w:tcPr>
                <w:p w14:paraId="15D0492B" w14:textId="724D40F5" w:rsidR="009F5EE5" w:rsidRPr="004E70CE" w:rsidRDefault="009F5EE5" w:rsidP="001A749E">
                  <w:pPr>
                    <w:spacing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4E70CE">
                    <w:rPr>
                      <w:rFonts w:ascii="Calibri" w:eastAsia="Calibri" w:hAnsi="Calibri" w:cs="Calibri"/>
                      <w:color w:val="000000"/>
                      <w:sz w:val="20"/>
                      <w:szCs w:val="20"/>
                    </w:rPr>
                    <w:t>0.</w:t>
                  </w:r>
                  <w:r w:rsidR="00DC704F" w:rsidRPr="004E70CE">
                    <w:rPr>
                      <w:rFonts w:ascii="Calibri" w:eastAsia="Calibri" w:hAnsi="Calibri" w:cs="Calibri"/>
                      <w:color w:val="000000"/>
                      <w:sz w:val="20"/>
                      <w:szCs w:val="20"/>
                    </w:rPr>
                    <w:t xml:space="preserve">04 - </w:t>
                  </w:r>
                  <w:r w:rsidRPr="004E70CE">
                    <w:rPr>
                      <w:rFonts w:ascii="Calibri" w:eastAsia="Calibri" w:hAnsi="Calibri" w:cs="Calibri"/>
                      <w:color w:val="000000"/>
                      <w:sz w:val="20"/>
                      <w:szCs w:val="20"/>
                    </w:rPr>
                    <w:t>0.</w:t>
                  </w:r>
                  <w:r w:rsidR="00E111F9" w:rsidRPr="004E70CE">
                    <w:rPr>
                      <w:rFonts w:ascii="Calibri" w:eastAsia="Calibri" w:hAnsi="Calibri" w:cs="Calibri"/>
                      <w:color w:val="000000"/>
                      <w:sz w:val="20"/>
                      <w:szCs w:val="20"/>
                    </w:rPr>
                    <w:t>11</w:t>
                  </w:r>
                  <w:r w:rsidRPr="004E70CE">
                    <w:rPr>
                      <w:rFonts w:ascii="Calibri" w:eastAsia="Calibri" w:hAnsi="Calibri" w:cs="Calibri"/>
                      <w:color w:val="000000"/>
                      <w:sz w:val="20"/>
                      <w:szCs w:val="20"/>
                    </w:rPr>
                    <w:t>% of an average $435 tonne of wheat</w:t>
                  </w:r>
                </w:p>
              </w:tc>
            </w:tr>
          </w:tbl>
          <w:p w14:paraId="2686CC08" w14:textId="18C1DA49" w:rsidR="001A749E" w:rsidRPr="004E70CE" w:rsidRDefault="001A749E" w:rsidP="00B226D9">
            <w:pPr>
              <w:spacing w:before="0"/>
              <w:rPr>
                <w:rFonts w:ascii="Calibri" w:eastAsia="Calibri" w:hAnsi="Calibri" w:cs="Calibri"/>
                <w:color w:val="000000"/>
                <w:sz w:val="18"/>
                <w:szCs w:val="18"/>
              </w:rPr>
            </w:pPr>
            <w:r w:rsidRPr="004E70CE">
              <w:rPr>
                <w:rFonts w:ascii="Calibri" w:eastAsia="Calibri" w:hAnsi="Calibri" w:cs="Calibri"/>
                <w:color w:val="000000"/>
                <w:sz w:val="18"/>
                <w:szCs w:val="18"/>
              </w:rPr>
              <w:t xml:space="preserve"> </w:t>
            </w:r>
          </w:p>
        </w:tc>
      </w:tr>
    </w:tbl>
    <w:p w14:paraId="2EEB8B67" w14:textId="77777777" w:rsidR="00E224D1" w:rsidRPr="004E70CE" w:rsidRDefault="00EA29A1" w:rsidP="00A63597">
      <w:pPr>
        <w:pStyle w:val="Heading2"/>
        <w:spacing w:after="200" w:line="276" w:lineRule="auto"/>
        <w:rPr>
          <w:color w:val="197C7D" w:themeColor="accent1"/>
        </w:rPr>
      </w:pPr>
      <w:bookmarkStart w:id="40" w:name="_Toc173997675"/>
      <w:r w:rsidRPr="004E70CE">
        <w:lastRenderedPageBreak/>
        <w:t xml:space="preserve">Mandatory </w:t>
      </w:r>
      <w:r w:rsidR="00C9218E" w:rsidRPr="004E70CE">
        <w:rPr>
          <w:color w:val="197C7D" w:themeColor="accent1"/>
        </w:rPr>
        <w:t>e</w:t>
      </w:r>
      <w:r w:rsidR="00E224D1" w:rsidRPr="004E70CE">
        <w:rPr>
          <w:color w:val="197C7D" w:themeColor="accent1"/>
        </w:rPr>
        <w:t>missions</w:t>
      </w:r>
      <w:r w:rsidR="00E224D1" w:rsidRPr="004E70CE">
        <w:t xml:space="preserve"> product standards</w:t>
      </w:r>
      <w:bookmarkEnd w:id="40"/>
      <w:r w:rsidR="00E224D1" w:rsidRPr="004E70CE">
        <w:t xml:space="preserve"> </w:t>
      </w:r>
    </w:p>
    <w:p w14:paraId="1D4FC809" w14:textId="77777777" w:rsidR="002762A2" w:rsidRPr="004E70CE" w:rsidRDefault="002762A2" w:rsidP="00A63597">
      <w:pPr>
        <w:pStyle w:val="Calloutbox"/>
        <w:spacing w:after="200" w:line="276" w:lineRule="auto"/>
        <w:rPr>
          <w:b/>
          <w:bCs/>
        </w:rPr>
      </w:pPr>
      <w:bookmarkStart w:id="41" w:name="_Hlk167462450"/>
      <w:r w:rsidRPr="004E70CE">
        <w:rPr>
          <w:b/>
          <w:bCs/>
        </w:rPr>
        <w:t>Preliminary findings</w:t>
      </w:r>
      <w:r w:rsidR="002F3C37" w:rsidRPr="004E70CE">
        <w:rPr>
          <w:b/>
          <w:bCs/>
        </w:rPr>
        <w:t xml:space="preserve"> for consultation</w:t>
      </w:r>
    </w:p>
    <w:bookmarkEnd w:id="41"/>
    <w:p w14:paraId="18B9BE0A" w14:textId="77777777" w:rsidR="009464BB" w:rsidRPr="004E70CE" w:rsidRDefault="009464BB" w:rsidP="00A63597">
      <w:pPr>
        <w:pStyle w:val="Calloutbox"/>
        <w:spacing w:after="200" w:line="276" w:lineRule="auto"/>
        <w:rPr>
          <w:rStyle w:val="eop"/>
          <w:rFonts w:cs="Calibri"/>
          <w:color w:val="000000"/>
        </w:rPr>
      </w:pPr>
      <w:r w:rsidRPr="004E70CE">
        <w:rPr>
          <w:rStyle w:val="normaltextrun"/>
          <w:rFonts w:ascii="Calibri" w:hAnsi="Calibri" w:cs="Calibri"/>
          <w:color w:val="000000"/>
          <w:shd w:val="clear" w:color="auto" w:fill="B8DCD7"/>
        </w:rPr>
        <w:t>While mandatory emissions product standards can be suitable for other policy objectives, they are not likely to be an effective policy intervention to address carbon leakage risk.</w:t>
      </w:r>
    </w:p>
    <w:p w14:paraId="28BC4506" w14:textId="77777777" w:rsidR="00AA3EAA" w:rsidRPr="004E70CE" w:rsidRDefault="00EA29A1" w:rsidP="00A63597">
      <w:r w:rsidRPr="004E70CE">
        <w:t>Mandatory e</w:t>
      </w:r>
      <w:r w:rsidR="004E6392" w:rsidRPr="004E70CE">
        <w:t>missions product standards</w:t>
      </w:r>
      <w:r w:rsidR="00F47149" w:rsidRPr="004E70CE">
        <w:t xml:space="preserve"> </w:t>
      </w:r>
      <w:r w:rsidR="004E6392" w:rsidRPr="004E70CE">
        <w:t xml:space="preserve">are a form of mandatory product standards or regulations that </w:t>
      </w:r>
      <w:r w:rsidR="4686D54D" w:rsidRPr="004E70CE">
        <w:t xml:space="preserve">would </w:t>
      </w:r>
      <w:r w:rsidR="004E6392" w:rsidRPr="004E70CE">
        <w:t>set an upper limit on the emissions intensity of products, including imported products, that can be sold in the Australian market</w:t>
      </w:r>
      <w:r w:rsidR="007E16A1" w:rsidRPr="004E70CE">
        <w:t>.</w:t>
      </w:r>
    </w:p>
    <w:p w14:paraId="59B0C448" w14:textId="77777777" w:rsidR="00F67F1F" w:rsidRPr="004E70CE" w:rsidRDefault="00FB6F90" w:rsidP="00A63597">
      <w:r w:rsidRPr="004E70CE">
        <w:t>In its simplest form</w:t>
      </w:r>
      <w:r w:rsidR="00842EF1" w:rsidRPr="004E70CE">
        <w:t>,</w:t>
      </w:r>
      <w:r w:rsidRPr="004E70CE">
        <w:t xml:space="preserve"> a</w:t>
      </w:r>
      <w:r w:rsidR="00165D43" w:rsidRPr="004E70CE">
        <w:t xml:space="preserve"> </w:t>
      </w:r>
      <w:r w:rsidR="00DA487B" w:rsidRPr="004E70CE">
        <w:t xml:space="preserve">mandatory emissions product standard would </w:t>
      </w:r>
      <w:r w:rsidR="0037776B" w:rsidRPr="004E70CE">
        <w:t xml:space="preserve">make it </w:t>
      </w:r>
      <w:r w:rsidR="00842EF1" w:rsidRPr="004E70CE">
        <w:t xml:space="preserve">unlawful </w:t>
      </w:r>
      <w:r w:rsidR="0037776B" w:rsidRPr="004E70CE">
        <w:t xml:space="preserve">for </w:t>
      </w:r>
      <w:r w:rsidR="00DA487B" w:rsidRPr="004E70CE">
        <w:t xml:space="preserve">products that do not meet an emissions intensity standard </w:t>
      </w:r>
      <w:r w:rsidR="0037776B" w:rsidRPr="004E70CE">
        <w:t xml:space="preserve">to be </w:t>
      </w:r>
      <w:r w:rsidR="00DA487B" w:rsidRPr="004E70CE">
        <w:t xml:space="preserve">sold in </w:t>
      </w:r>
      <w:r w:rsidR="0037776B" w:rsidRPr="004E70CE">
        <w:t>Australia</w:t>
      </w:r>
      <w:r w:rsidR="001A422D" w:rsidRPr="004E70CE">
        <w:t xml:space="preserve">. This would include imposing a fine or other </w:t>
      </w:r>
      <w:r w:rsidR="005A3206" w:rsidRPr="004E70CE">
        <w:t xml:space="preserve">legal penalties for </w:t>
      </w:r>
      <w:r w:rsidR="00DA487B" w:rsidRPr="004E70CE">
        <w:t xml:space="preserve">goods that exceed </w:t>
      </w:r>
      <w:r w:rsidR="0067663C" w:rsidRPr="004E70CE">
        <w:t>the standard</w:t>
      </w:r>
      <w:r w:rsidR="006758C2" w:rsidRPr="004E70CE">
        <w:t xml:space="preserve"> and are still sold in Australia</w:t>
      </w:r>
      <w:r w:rsidR="0067663C" w:rsidRPr="004E70CE">
        <w:t>.</w:t>
      </w:r>
    </w:p>
    <w:p w14:paraId="6D66D479" w14:textId="5FDFEFEB" w:rsidR="00777FC4" w:rsidRPr="004E70CE" w:rsidRDefault="00F67F1F" w:rsidP="00A63597">
      <w:r w:rsidRPr="004E70CE">
        <w:t xml:space="preserve">A mandatory emissions product standard </w:t>
      </w:r>
      <w:r w:rsidR="00962265" w:rsidRPr="004E70CE">
        <w:t>c</w:t>
      </w:r>
      <w:r w:rsidRPr="004E70CE">
        <w:t xml:space="preserve">ould </w:t>
      </w:r>
      <w:r w:rsidR="00983CA6" w:rsidRPr="004E70CE">
        <w:t>have similar</w:t>
      </w:r>
      <w:r w:rsidRPr="004E70CE">
        <w:t xml:space="preserve"> administrative processes</w:t>
      </w:r>
      <w:r w:rsidR="00A85663" w:rsidRPr="004E70CE">
        <w:t xml:space="preserve">, </w:t>
      </w:r>
      <w:r w:rsidRPr="004E70CE">
        <w:t>design decisions</w:t>
      </w:r>
      <w:r w:rsidR="00A85663" w:rsidRPr="004E70CE">
        <w:t>,</w:t>
      </w:r>
      <w:r w:rsidRPr="004E70CE">
        <w:t xml:space="preserve"> </w:t>
      </w:r>
      <w:r w:rsidR="00A85663" w:rsidRPr="004E70CE">
        <w:t xml:space="preserve">and </w:t>
      </w:r>
      <w:r w:rsidR="00842EF1" w:rsidRPr="004E70CE">
        <w:t xml:space="preserve">administrative </w:t>
      </w:r>
      <w:r w:rsidR="00A85663" w:rsidRPr="004E70CE">
        <w:t>and compliance costs</w:t>
      </w:r>
      <w:r w:rsidRPr="004E70CE">
        <w:t xml:space="preserve"> as a border carbon adjustment. </w:t>
      </w:r>
      <w:r w:rsidR="00777FC4" w:rsidRPr="004E70CE">
        <w:t>This includes</w:t>
      </w:r>
      <w:r w:rsidRPr="004E70CE" w:rsidDel="00777FC4">
        <w:t xml:space="preserve"> </w:t>
      </w:r>
      <w:r w:rsidR="00777FC4" w:rsidRPr="004E70CE">
        <w:t>an assessment of emissions intensity of production in originating countries, a reporting and verification system,</w:t>
      </w:r>
      <w:r w:rsidR="008C5F70" w:rsidRPr="004E70CE">
        <w:t xml:space="preserve"> and a system for checking and applying the standard at the border</w:t>
      </w:r>
      <w:r w:rsidR="00777FC4" w:rsidRPr="004E70CE">
        <w:t xml:space="preserve">. </w:t>
      </w:r>
      <w:r w:rsidR="00F018E3" w:rsidRPr="004E70CE">
        <w:t>These would all carry similar costs to government and business as a border carbon adjustment as outlined in the preceding chapter.</w:t>
      </w:r>
      <w:r w:rsidR="00777FC4" w:rsidRPr="004E70CE">
        <w:t xml:space="preserve">  </w:t>
      </w:r>
    </w:p>
    <w:p w14:paraId="1CF20964" w14:textId="2D03FC90" w:rsidR="00591DDF" w:rsidRPr="004E70CE" w:rsidRDefault="00777FC4" w:rsidP="00A63597">
      <w:pPr>
        <w:rPr>
          <w:lang w:eastAsia="ja-JP"/>
        </w:rPr>
      </w:pPr>
      <w:r w:rsidRPr="004E70CE">
        <w:rPr>
          <w:lang w:eastAsia="ja-JP"/>
        </w:rPr>
        <w:t xml:space="preserve">The same international trade law principles that </w:t>
      </w:r>
      <w:r w:rsidR="00CF74E2" w:rsidRPr="004E70CE">
        <w:rPr>
          <w:lang w:eastAsia="ja-JP"/>
        </w:rPr>
        <w:t>must be considered in relation to</w:t>
      </w:r>
      <w:r w:rsidRPr="004E70CE">
        <w:rPr>
          <w:lang w:eastAsia="ja-JP"/>
        </w:rPr>
        <w:t xml:space="preserve"> a border carbon adjustment are also relevant to a </w:t>
      </w:r>
      <w:r w:rsidRPr="004E70CE">
        <w:t>mandatory emissions product standard</w:t>
      </w:r>
      <w:r w:rsidRPr="004E70CE">
        <w:rPr>
          <w:lang w:eastAsia="ja-JP"/>
        </w:rPr>
        <w:t xml:space="preserve">, especially non-discrimination. A </w:t>
      </w:r>
      <w:r w:rsidRPr="004E70CE">
        <w:t xml:space="preserve">mandatory emissions product standard </w:t>
      </w:r>
      <w:r w:rsidRPr="004E70CE">
        <w:rPr>
          <w:lang w:eastAsia="ja-JP"/>
        </w:rPr>
        <w:t xml:space="preserve">that </w:t>
      </w:r>
      <w:r w:rsidR="00CF74E2" w:rsidRPr="004E70CE">
        <w:rPr>
          <w:lang w:eastAsia="ja-JP"/>
        </w:rPr>
        <w:t>restricted the sale of</w:t>
      </w:r>
      <w:r w:rsidRPr="004E70CE">
        <w:rPr>
          <w:lang w:eastAsia="ja-JP"/>
        </w:rPr>
        <w:t xml:space="preserve"> non</w:t>
      </w:r>
      <w:r w:rsidR="00A350E6" w:rsidRPr="004E70CE">
        <w:rPr>
          <w:lang w:eastAsia="ja-JP"/>
        </w:rPr>
        <w:t>-</w:t>
      </w:r>
      <w:r w:rsidRPr="004E70CE">
        <w:rPr>
          <w:lang w:eastAsia="ja-JP"/>
        </w:rPr>
        <w:t>compliant imports would also need to prevent non</w:t>
      </w:r>
      <w:r w:rsidR="00D247B2" w:rsidRPr="004E70CE">
        <w:rPr>
          <w:lang w:eastAsia="ja-JP"/>
        </w:rPr>
        <w:t>-</w:t>
      </w:r>
      <w:r w:rsidRPr="004E70CE">
        <w:rPr>
          <w:lang w:eastAsia="ja-JP"/>
        </w:rPr>
        <w:t xml:space="preserve">compliant </w:t>
      </w:r>
      <w:r w:rsidR="00CF74E2" w:rsidRPr="004E70CE">
        <w:rPr>
          <w:lang w:eastAsia="ja-JP"/>
        </w:rPr>
        <w:t>domestically produced commodities</w:t>
      </w:r>
      <w:r w:rsidRPr="004E70CE">
        <w:rPr>
          <w:lang w:eastAsia="ja-JP"/>
        </w:rPr>
        <w:t xml:space="preserve"> from being sold in the local market.</w:t>
      </w:r>
      <w:r w:rsidR="00C44677" w:rsidRPr="004E70CE">
        <w:rPr>
          <w:lang w:eastAsia="ja-JP"/>
        </w:rPr>
        <w:t xml:space="preserve"> </w:t>
      </w:r>
    </w:p>
    <w:p w14:paraId="0C5EF64E" w14:textId="77777777" w:rsidR="00F77078" w:rsidRPr="004E70CE" w:rsidRDefault="00A0256B" w:rsidP="00A63597">
      <w:r w:rsidRPr="004E70CE">
        <w:rPr>
          <w:lang w:eastAsia="ja-JP"/>
        </w:rPr>
        <w:t>As such,</w:t>
      </w:r>
      <w:r w:rsidR="009A1FEC" w:rsidRPr="004E70CE">
        <w:rPr>
          <w:lang w:eastAsia="ja-JP"/>
        </w:rPr>
        <w:t xml:space="preserve"> a </w:t>
      </w:r>
      <w:r w:rsidR="00591064" w:rsidRPr="004E70CE">
        <w:rPr>
          <w:lang w:eastAsia="ja-JP"/>
        </w:rPr>
        <w:t xml:space="preserve">mandatory emissions product </w:t>
      </w:r>
      <w:r w:rsidR="009A1FEC" w:rsidRPr="004E70CE">
        <w:rPr>
          <w:lang w:eastAsia="ja-JP"/>
        </w:rPr>
        <w:t xml:space="preserve">standard </w:t>
      </w:r>
      <w:r w:rsidR="00591064" w:rsidRPr="004E70CE">
        <w:rPr>
          <w:lang w:eastAsia="ja-JP"/>
        </w:rPr>
        <w:t xml:space="preserve">would have to be </w:t>
      </w:r>
      <w:r w:rsidRPr="004E70CE">
        <w:rPr>
          <w:lang w:eastAsia="ja-JP"/>
        </w:rPr>
        <w:t>set</w:t>
      </w:r>
      <w:r w:rsidR="00591064" w:rsidRPr="004E70CE">
        <w:rPr>
          <w:lang w:eastAsia="ja-JP"/>
        </w:rPr>
        <w:t xml:space="preserve"> by reference </w:t>
      </w:r>
      <w:r w:rsidR="00AF4310" w:rsidRPr="004E70CE">
        <w:rPr>
          <w:lang w:eastAsia="ja-JP"/>
        </w:rPr>
        <w:t>a new domestic policy to</w:t>
      </w:r>
      <w:r w:rsidR="00591064" w:rsidRPr="004E70CE">
        <w:rPr>
          <w:lang w:eastAsia="ja-JP"/>
        </w:rPr>
        <w:t xml:space="preserve"> </w:t>
      </w:r>
      <w:r w:rsidR="005A4109" w:rsidRPr="004E70CE">
        <w:t xml:space="preserve">prevent the sale of goods that </w:t>
      </w:r>
      <w:r w:rsidR="006F023C" w:rsidRPr="004E70CE">
        <w:t>exceed the relevant</w:t>
      </w:r>
      <w:r w:rsidR="005A4109" w:rsidRPr="004E70CE">
        <w:t xml:space="preserve"> </w:t>
      </w:r>
      <w:r w:rsidR="00AF4310" w:rsidRPr="004E70CE">
        <w:t>standard</w:t>
      </w:r>
      <w:r w:rsidR="00591064" w:rsidRPr="004E70CE">
        <w:t xml:space="preserve">. </w:t>
      </w:r>
    </w:p>
    <w:p w14:paraId="321BD1EC" w14:textId="77777777" w:rsidR="00591064" w:rsidRPr="004E70CE" w:rsidRDefault="00591064" w:rsidP="00A63597">
      <w:r w:rsidRPr="004E70CE">
        <w:t xml:space="preserve">This would </w:t>
      </w:r>
      <w:r w:rsidR="00AF4310" w:rsidRPr="004E70CE">
        <w:t xml:space="preserve">be </w:t>
      </w:r>
      <w:r w:rsidR="003B4F56" w:rsidRPr="004E70CE">
        <w:t>a new regulation</w:t>
      </w:r>
      <w:r w:rsidR="00AF4310" w:rsidRPr="004E70CE">
        <w:t xml:space="preserve"> in addition to the Safeguard Mechanism and would </w:t>
      </w:r>
      <w:r w:rsidRPr="004E70CE">
        <w:t>create</w:t>
      </w:r>
      <w:r w:rsidR="001E148F" w:rsidRPr="004E70CE">
        <w:t xml:space="preserve"> considerable</w:t>
      </w:r>
      <w:r w:rsidRPr="004E70CE">
        <w:t xml:space="preserve"> complexity </w:t>
      </w:r>
      <w:r w:rsidR="001E148F" w:rsidRPr="004E70CE">
        <w:t xml:space="preserve">and </w:t>
      </w:r>
      <w:r w:rsidR="4CF4F226" w:rsidRPr="004E70CE">
        <w:t xml:space="preserve">reduce </w:t>
      </w:r>
      <w:r w:rsidR="001E148F" w:rsidRPr="004E70CE">
        <w:t>flexibility</w:t>
      </w:r>
      <w:r w:rsidRPr="004E70CE">
        <w:t xml:space="preserve">. </w:t>
      </w:r>
    </w:p>
    <w:p w14:paraId="70511E6D" w14:textId="77777777" w:rsidR="008A4604" w:rsidRPr="004E70CE" w:rsidRDefault="004A67C2" w:rsidP="00A63597">
      <w:r w:rsidRPr="004E70CE">
        <w:t>For domestic producers, t</w:t>
      </w:r>
      <w:r w:rsidR="00591064" w:rsidRPr="004E70CE">
        <w:t>he Safeguard Mechanism is designed to be</w:t>
      </w:r>
      <w:r w:rsidR="009A1FEC" w:rsidRPr="004E70CE">
        <w:t xml:space="preserve"> </w:t>
      </w:r>
      <w:r w:rsidR="00F5315A" w:rsidRPr="004E70CE">
        <w:t xml:space="preserve">flexible </w:t>
      </w:r>
      <w:r w:rsidR="000572F7" w:rsidRPr="004E70CE">
        <w:t>and provide facilities lowest cost options</w:t>
      </w:r>
      <w:r w:rsidR="00F5315A" w:rsidRPr="004E70CE">
        <w:t xml:space="preserve"> to </w:t>
      </w:r>
      <w:r w:rsidR="00FA0F82" w:rsidRPr="004E70CE">
        <w:t>reduce their emissions over time</w:t>
      </w:r>
      <w:r w:rsidR="00F5315A" w:rsidRPr="004E70CE">
        <w:t xml:space="preserve">. </w:t>
      </w:r>
    </w:p>
    <w:p w14:paraId="730937AD" w14:textId="0CFCF343" w:rsidR="00832A62" w:rsidRPr="004E70CE" w:rsidRDefault="4075FF43" w:rsidP="00A63597">
      <w:r w:rsidRPr="004E70CE">
        <w:t>A</w:t>
      </w:r>
      <w:r w:rsidR="00747AB9" w:rsidRPr="004E70CE">
        <w:t xml:space="preserve"> border carbon adjustment</w:t>
      </w:r>
      <w:r w:rsidR="18A9CFF3" w:rsidRPr="004E70CE">
        <w:t xml:space="preserve"> would mirror that flexibility to the treatment of imports</w:t>
      </w:r>
      <w:r w:rsidR="00747AB9" w:rsidRPr="004E70CE">
        <w:t xml:space="preserve">. </w:t>
      </w:r>
      <w:r w:rsidR="6911C26A" w:rsidRPr="004E70CE">
        <w:t>Compared to a mandatory product standard, a</w:t>
      </w:r>
      <w:r w:rsidR="00747AB9" w:rsidRPr="004E70CE">
        <w:t xml:space="preserve"> well-designed border carbon adjustment c</w:t>
      </w:r>
      <w:r w:rsidR="00D80906" w:rsidRPr="004E70CE">
        <w:t>ould</w:t>
      </w:r>
      <w:r w:rsidR="00747AB9" w:rsidRPr="004E70CE">
        <w:t xml:space="preserve"> provide </w:t>
      </w:r>
      <w:r w:rsidR="006C51FD" w:rsidRPr="004E70CE">
        <w:t>a higher degree of</w:t>
      </w:r>
      <w:r w:rsidR="00747AB9" w:rsidRPr="004E70CE">
        <w:t xml:space="preserve"> </w:t>
      </w:r>
      <w:r w:rsidR="7684BF86" w:rsidRPr="004E70CE">
        <w:t>flexibility</w:t>
      </w:r>
      <w:r w:rsidR="00747AB9" w:rsidRPr="004E70CE">
        <w:t xml:space="preserve"> and would </w:t>
      </w:r>
      <w:r w:rsidR="006C51FD" w:rsidRPr="004E70CE">
        <w:t>not carry</w:t>
      </w:r>
      <w:r w:rsidR="00747AB9" w:rsidRPr="004E70CE">
        <w:t xml:space="preserve"> the </w:t>
      </w:r>
      <w:r w:rsidR="006C51FD" w:rsidRPr="004E70CE">
        <w:t>risk of</w:t>
      </w:r>
      <w:r w:rsidR="00747AB9" w:rsidRPr="004E70CE">
        <w:t xml:space="preserve"> </w:t>
      </w:r>
      <w:r w:rsidR="00562BE0" w:rsidRPr="004E70CE">
        <w:t>goods becoming ineligible for entry into the Australian market at a future point in time.</w:t>
      </w:r>
    </w:p>
    <w:p w14:paraId="43A9E042" w14:textId="77777777" w:rsidR="0031657B" w:rsidRPr="004E70CE" w:rsidRDefault="0031657B" w:rsidP="00A63597">
      <w:pPr>
        <w:rPr>
          <w:lang w:eastAsia="ja-JP"/>
        </w:rPr>
      </w:pPr>
      <w:r w:rsidRPr="004E70CE">
        <w:rPr>
          <w:lang w:eastAsia="ja-JP"/>
        </w:rPr>
        <w:t xml:space="preserve">For </w:t>
      </w:r>
      <w:r w:rsidR="00F47149" w:rsidRPr="004E70CE">
        <w:rPr>
          <w:lang w:eastAsia="ja-JP"/>
        </w:rPr>
        <w:t xml:space="preserve">a </w:t>
      </w:r>
      <w:r w:rsidR="00A6531F" w:rsidRPr="004E70CE">
        <w:t>mandatory emissions product standard</w:t>
      </w:r>
      <w:r w:rsidR="00F47149" w:rsidRPr="004E70CE">
        <w:t xml:space="preserve"> </w:t>
      </w:r>
      <w:r w:rsidRPr="004E70CE">
        <w:rPr>
          <w:lang w:eastAsia="ja-JP"/>
        </w:rPr>
        <w:t xml:space="preserve">to be suitable to address carbon leakage risk, there would need to be a situation where particular high emissions intensity production methods or </w:t>
      </w:r>
      <w:r w:rsidRPr="004E70CE">
        <w:rPr>
          <w:lang w:eastAsia="ja-JP"/>
        </w:rPr>
        <w:lastRenderedPageBreak/>
        <w:t xml:space="preserve">practices would undercut production that is subject to carbon obligations, and where suitable thresholds for product standards can be reliably identified. </w:t>
      </w:r>
      <w:r w:rsidR="00401E39" w:rsidRPr="004E70CE">
        <w:rPr>
          <w:lang w:eastAsia="ja-JP"/>
        </w:rPr>
        <w:t xml:space="preserve">Consideration and consultation through the course of the Review </w:t>
      </w:r>
      <w:r w:rsidR="008158E6" w:rsidRPr="004E70CE">
        <w:rPr>
          <w:lang w:eastAsia="ja-JP"/>
        </w:rPr>
        <w:t>has not identified such an instance.</w:t>
      </w:r>
    </w:p>
    <w:p w14:paraId="670D19EB" w14:textId="0D44C3B6" w:rsidR="00B4017B" w:rsidRPr="004E70CE" w:rsidRDefault="005612F1" w:rsidP="00A63597">
      <w:pPr>
        <w:rPr>
          <w:lang w:eastAsia="ja-JP"/>
        </w:rPr>
      </w:pPr>
      <w:r w:rsidRPr="004E70CE">
        <w:rPr>
          <w:lang w:eastAsia="ja-JP"/>
        </w:rPr>
        <w:t xml:space="preserve">There was </w:t>
      </w:r>
      <w:r w:rsidR="00B558A5" w:rsidRPr="004E70CE">
        <w:rPr>
          <w:lang w:eastAsia="ja-JP"/>
        </w:rPr>
        <w:t xml:space="preserve">little support </w:t>
      </w:r>
      <w:r w:rsidR="00FF28DB" w:rsidRPr="004E70CE">
        <w:rPr>
          <w:lang w:eastAsia="ja-JP"/>
        </w:rPr>
        <w:t>for</w:t>
      </w:r>
      <w:r w:rsidR="00AA1E77" w:rsidRPr="004E70CE">
        <w:rPr>
          <w:lang w:eastAsia="ja-JP"/>
        </w:rPr>
        <w:t>, and considerable concern about,</w:t>
      </w:r>
      <w:r w:rsidR="00FF28DB" w:rsidRPr="004E70CE">
        <w:rPr>
          <w:lang w:eastAsia="ja-JP"/>
        </w:rPr>
        <w:t xml:space="preserve"> </w:t>
      </w:r>
      <w:r w:rsidR="00A6531F" w:rsidRPr="004E70CE">
        <w:t xml:space="preserve">mandatory emissions product standards </w:t>
      </w:r>
      <w:r w:rsidR="00FF28DB" w:rsidRPr="004E70CE">
        <w:rPr>
          <w:lang w:eastAsia="ja-JP"/>
        </w:rPr>
        <w:t xml:space="preserve">expressed by business stakeholders </w:t>
      </w:r>
      <w:r w:rsidRPr="004E70CE">
        <w:rPr>
          <w:lang w:eastAsia="ja-JP"/>
        </w:rPr>
        <w:t xml:space="preserve">in submissions </w:t>
      </w:r>
      <w:r w:rsidR="00FF28DB" w:rsidRPr="004E70CE">
        <w:rPr>
          <w:lang w:eastAsia="ja-JP"/>
        </w:rPr>
        <w:t>and other consultations</w:t>
      </w:r>
      <w:r w:rsidR="004A484A" w:rsidRPr="004E70CE">
        <w:rPr>
          <w:lang w:eastAsia="ja-JP"/>
        </w:rPr>
        <w:t xml:space="preserve">. </w:t>
      </w:r>
      <w:r w:rsidR="007E16A1" w:rsidRPr="004E70CE">
        <w:rPr>
          <w:lang w:eastAsia="ja-JP"/>
        </w:rPr>
        <w:t>The primary concern was that</w:t>
      </w:r>
      <w:r w:rsidR="00F47149" w:rsidRPr="004E70CE">
        <w:rPr>
          <w:lang w:eastAsia="ja-JP"/>
        </w:rPr>
        <w:t xml:space="preserve"> </w:t>
      </w:r>
      <w:r w:rsidR="00A6531F" w:rsidRPr="004E70CE">
        <w:t xml:space="preserve">mandatory emissions product standards </w:t>
      </w:r>
      <w:r w:rsidR="007E16A1" w:rsidRPr="004E70CE">
        <w:rPr>
          <w:lang w:eastAsia="ja-JP"/>
        </w:rPr>
        <w:t xml:space="preserve">would be a </w:t>
      </w:r>
      <w:r w:rsidR="0055051C" w:rsidRPr="004E70CE">
        <w:rPr>
          <w:lang w:eastAsia="ja-JP"/>
        </w:rPr>
        <w:t>blunt</w:t>
      </w:r>
      <w:r w:rsidR="007E16A1" w:rsidRPr="004E70CE">
        <w:rPr>
          <w:lang w:eastAsia="ja-JP"/>
        </w:rPr>
        <w:t xml:space="preserve"> tool with a </w:t>
      </w:r>
      <w:r w:rsidR="0055051C" w:rsidRPr="004E70CE">
        <w:rPr>
          <w:lang w:eastAsia="ja-JP"/>
        </w:rPr>
        <w:t>high</w:t>
      </w:r>
      <w:r w:rsidR="007E16A1" w:rsidRPr="004E70CE">
        <w:rPr>
          <w:lang w:eastAsia="ja-JP"/>
        </w:rPr>
        <w:t xml:space="preserve"> possibility of unintended and detrimental consequences</w:t>
      </w:r>
      <w:r w:rsidR="005E5702" w:rsidRPr="004E70CE">
        <w:rPr>
          <w:lang w:eastAsia="ja-JP"/>
        </w:rPr>
        <w:t>.</w:t>
      </w:r>
    </w:p>
    <w:p w14:paraId="7CA83352" w14:textId="77777777" w:rsidR="00B709C5" w:rsidRPr="004E70CE" w:rsidRDefault="004A484A" w:rsidP="00A63597">
      <w:pPr>
        <w:rPr>
          <w:lang w:eastAsia="ja-JP"/>
        </w:rPr>
      </w:pPr>
      <w:r w:rsidRPr="004E70CE">
        <w:rPr>
          <w:lang w:eastAsia="ja-JP"/>
        </w:rPr>
        <w:t xml:space="preserve">For example, </w:t>
      </w:r>
      <w:r w:rsidR="00164C3E" w:rsidRPr="004E70CE">
        <w:rPr>
          <w:lang w:eastAsia="ja-JP"/>
        </w:rPr>
        <w:t>there are several cement product standards that set a minimum percentage of clinker</w:t>
      </w:r>
      <w:r w:rsidR="003D6832" w:rsidRPr="004E70CE">
        <w:rPr>
          <w:lang w:eastAsia="ja-JP"/>
        </w:rPr>
        <w:t xml:space="preserve"> in accordance with </w:t>
      </w:r>
      <w:r w:rsidR="00164C3E" w:rsidRPr="004E70CE">
        <w:rPr>
          <w:lang w:eastAsia="ja-JP"/>
        </w:rPr>
        <w:t xml:space="preserve">the </w:t>
      </w:r>
      <w:r w:rsidR="0027676E" w:rsidRPr="004E70CE">
        <w:rPr>
          <w:lang w:eastAsia="ja-JP"/>
        </w:rPr>
        <w:t xml:space="preserve">performance standard required for its application. </w:t>
      </w:r>
      <w:r w:rsidR="00376E6B" w:rsidRPr="004E70CE">
        <w:rPr>
          <w:lang w:eastAsia="ja-JP"/>
        </w:rPr>
        <w:t>A</w:t>
      </w:r>
      <w:r w:rsidR="0031719C" w:rsidRPr="004E70CE">
        <w:rPr>
          <w:lang w:eastAsia="ja-JP"/>
        </w:rPr>
        <w:t xml:space="preserve"> </w:t>
      </w:r>
      <w:r w:rsidR="00A6531F" w:rsidRPr="004E70CE">
        <w:t xml:space="preserve">mandatory emissions product standard </w:t>
      </w:r>
      <w:r w:rsidR="00376E6B" w:rsidRPr="004E70CE">
        <w:rPr>
          <w:lang w:eastAsia="ja-JP"/>
        </w:rPr>
        <w:t xml:space="preserve">relating to </w:t>
      </w:r>
      <w:r w:rsidR="00973C50" w:rsidRPr="004E70CE">
        <w:t xml:space="preserve">cement </w:t>
      </w:r>
      <w:r w:rsidR="00376E6B" w:rsidRPr="004E70CE">
        <w:rPr>
          <w:lang w:eastAsia="ja-JP"/>
        </w:rPr>
        <w:t>would have to account for each of these standards or risk</w:t>
      </w:r>
      <w:r w:rsidR="0009386B" w:rsidRPr="004E70CE">
        <w:rPr>
          <w:lang w:eastAsia="ja-JP"/>
        </w:rPr>
        <w:t xml:space="preserve"> </w:t>
      </w:r>
      <w:r w:rsidR="00E11CCD" w:rsidRPr="004E70CE">
        <w:rPr>
          <w:lang w:eastAsia="ja-JP"/>
        </w:rPr>
        <w:t>making it</w:t>
      </w:r>
      <w:r w:rsidR="00635003" w:rsidRPr="004E70CE">
        <w:rPr>
          <w:lang w:eastAsia="ja-JP"/>
        </w:rPr>
        <w:t xml:space="preserve"> unlawful to import cement </w:t>
      </w:r>
      <w:r w:rsidR="00F77BA0" w:rsidRPr="004E70CE">
        <w:rPr>
          <w:lang w:eastAsia="ja-JP"/>
        </w:rPr>
        <w:t xml:space="preserve">that meets </w:t>
      </w:r>
      <w:r w:rsidR="00635003" w:rsidRPr="004E70CE">
        <w:rPr>
          <w:lang w:eastAsia="ja-JP"/>
        </w:rPr>
        <w:t>a particular</w:t>
      </w:r>
      <w:r w:rsidR="0077754C" w:rsidRPr="004E70CE">
        <w:rPr>
          <w:lang w:eastAsia="ja-JP"/>
        </w:rPr>
        <w:t xml:space="preserve"> </w:t>
      </w:r>
      <w:r w:rsidR="00635003" w:rsidRPr="004E70CE">
        <w:rPr>
          <w:lang w:eastAsia="ja-JP"/>
        </w:rPr>
        <w:t>performance standard.</w:t>
      </w:r>
    </w:p>
    <w:p w14:paraId="5BC5C0A8" w14:textId="77777777" w:rsidR="00CA16A8" w:rsidRPr="004E70CE" w:rsidRDefault="0009386B" w:rsidP="00A63597">
      <w:pPr>
        <w:rPr>
          <w:lang w:eastAsia="ja-JP"/>
        </w:rPr>
      </w:pPr>
      <w:r w:rsidRPr="004E70CE">
        <w:rPr>
          <w:lang w:eastAsia="ja-JP"/>
        </w:rPr>
        <w:t xml:space="preserve">Some stakeholders were </w:t>
      </w:r>
      <w:r w:rsidR="00CD5029" w:rsidRPr="004E70CE">
        <w:rPr>
          <w:lang w:eastAsia="ja-JP"/>
        </w:rPr>
        <w:t xml:space="preserve">also </w:t>
      </w:r>
      <w:r w:rsidRPr="004E70CE">
        <w:rPr>
          <w:lang w:eastAsia="ja-JP"/>
        </w:rPr>
        <w:t>concerned about the impact of a</w:t>
      </w:r>
      <w:r w:rsidR="00F47149" w:rsidRPr="004E70CE">
        <w:rPr>
          <w:lang w:eastAsia="ja-JP"/>
        </w:rPr>
        <w:t xml:space="preserve"> </w:t>
      </w:r>
      <w:r w:rsidR="00A6531F" w:rsidRPr="004E70CE">
        <w:t xml:space="preserve">mandatory emissions product standard </w:t>
      </w:r>
      <w:r w:rsidRPr="004E70CE">
        <w:rPr>
          <w:lang w:eastAsia="ja-JP"/>
        </w:rPr>
        <w:t xml:space="preserve">on downstream users and broader economic outcomes </w:t>
      </w:r>
      <w:r w:rsidR="00FF28DB" w:rsidRPr="004E70CE">
        <w:rPr>
          <w:lang w:eastAsia="ja-JP"/>
        </w:rPr>
        <w:t xml:space="preserve">due to the </w:t>
      </w:r>
      <w:r w:rsidRPr="004E70CE">
        <w:rPr>
          <w:lang w:eastAsia="ja-JP"/>
        </w:rPr>
        <w:t>risk of preventing import of critical commodities.</w:t>
      </w:r>
    </w:p>
    <w:p w14:paraId="4C7CCE36" w14:textId="77777777" w:rsidR="00CA16A8" w:rsidRPr="004E70CE" w:rsidRDefault="00A51871" w:rsidP="00A63597">
      <w:pPr>
        <w:ind w:left="720"/>
        <w:rPr>
          <w:b/>
          <w:bCs/>
          <w:lang w:eastAsia="ja-JP"/>
        </w:rPr>
      </w:pPr>
      <w:r w:rsidRPr="004E70CE">
        <w:rPr>
          <w:i/>
          <w:iCs/>
          <w:lang w:eastAsia="ja-JP"/>
        </w:rPr>
        <w:t>By nature</w:t>
      </w:r>
      <w:r w:rsidR="00890F14" w:rsidRPr="004E70CE">
        <w:rPr>
          <w:i/>
          <w:iCs/>
          <w:lang w:eastAsia="ja-JP"/>
        </w:rPr>
        <w:t>,</w:t>
      </w:r>
      <w:r w:rsidRPr="004E70CE">
        <w:rPr>
          <w:i/>
          <w:iCs/>
          <w:lang w:eastAsia="ja-JP"/>
        </w:rPr>
        <w:t xml:space="preserve"> these are blunt mechanisms that are not sensitive to varying amounts of embedded carbon. This means that there is little incentive to exceed the minimum requirements of the standard, which could stifle innovation.</w:t>
      </w:r>
      <w:r w:rsidR="00824027" w:rsidRPr="004E70CE">
        <w:rPr>
          <w:i/>
          <w:iCs/>
          <w:lang w:eastAsia="ja-JP"/>
        </w:rPr>
        <w:t xml:space="preserve"> </w:t>
      </w:r>
      <w:r w:rsidR="00824027" w:rsidRPr="004E70CE">
        <w:rPr>
          <w:lang w:eastAsia="ja-JP"/>
        </w:rPr>
        <w:t xml:space="preserve">– </w:t>
      </w:r>
      <w:r w:rsidR="00824027" w:rsidRPr="004E70CE">
        <w:rPr>
          <w:b/>
          <w:bCs/>
          <w:lang w:eastAsia="ja-JP"/>
        </w:rPr>
        <w:t xml:space="preserve">Cement Industry Federation </w:t>
      </w:r>
    </w:p>
    <w:p w14:paraId="6AFFDE02" w14:textId="77777777" w:rsidR="00FB7FB4" w:rsidRPr="004E70CE" w:rsidRDefault="00FB7FB4" w:rsidP="00A63597">
      <w:pPr>
        <w:ind w:left="720"/>
        <w:rPr>
          <w:b/>
        </w:rPr>
      </w:pPr>
      <w:r w:rsidRPr="004E70CE">
        <w:rPr>
          <w:i/>
        </w:rPr>
        <w:t>Product emission standards are unlikely to adequately address the risk of carbon leakage, given the significant risk of non-conformance and spurious conformance claims.</w:t>
      </w:r>
      <w:r w:rsidRPr="004E70CE">
        <w:t xml:space="preserve"> – </w:t>
      </w:r>
      <w:r w:rsidRPr="004E70CE">
        <w:rPr>
          <w:b/>
        </w:rPr>
        <w:t>Chemistry Australia</w:t>
      </w:r>
    </w:p>
    <w:p w14:paraId="74F4DE3F" w14:textId="77777777" w:rsidR="008930E5" w:rsidRPr="004E70CE" w:rsidRDefault="008930E5" w:rsidP="00A63597">
      <w:pPr>
        <w:ind w:left="720"/>
        <w:rPr>
          <w:lang w:eastAsia="ja-JP"/>
        </w:rPr>
      </w:pPr>
      <w:r w:rsidRPr="004E70CE">
        <w:rPr>
          <w:i/>
          <w:iCs/>
        </w:rPr>
        <w:t xml:space="preserve">[E]missions product standards are a much blunter instrument because they create a binary threshold for what products can be sold and do not provide incentives to reduce emissions further below the standard, especially for hard to abate sectors such as iron and steel. If product standards impacted Australian manufactured product, these industries might well immediately cease to be viable, and Australia would lose sovereign capacity. </w:t>
      </w:r>
      <w:r w:rsidRPr="004E70CE">
        <w:t xml:space="preserve">– </w:t>
      </w:r>
      <w:r w:rsidRPr="004E70CE">
        <w:rPr>
          <w:b/>
        </w:rPr>
        <w:t>Bluescope</w:t>
      </w:r>
    </w:p>
    <w:p w14:paraId="70FF09E6" w14:textId="0F62231D" w:rsidR="00CA176C" w:rsidRPr="004E70CE" w:rsidRDefault="00AD4424" w:rsidP="00A63597">
      <w:pPr>
        <w:rPr>
          <w:lang w:eastAsia="ja-JP"/>
        </w:rPr>
      </w:pPr>
      <w:r w:rsidRPr="004E70CE">
        <w:rPr>
          <w:lang w:eastAsia="ja-JP"/>
        </w:rPr>
        <w:t>Some s</w:t>
      </w:r>
      <w:r w:rsidR="00D101AA" w:rsidRPr="004E70CE">
        <w:rPr>
          <w:lang w:eastAsia="ja-JP"/>
        </w:rPr>
        <w:t xml:space="preserve">takeholders were supportive of </w:t>
      </w:r>
      <w:r w:rsidR="00FF28DB" w:rsidRPr="004E70CE">
        <w:rPr>
          <w:lang w:eastAsia="ja-JP"/>
        </w:rPr>
        <w:t xml:space="preserve">the possibility of </w:t>
      </w:r>
      <w:r w:rsidR="00B4017B" w:rsidRPr="004E70CE">
        <w:rPr>
          <w:lang w:eastAsia="ja-JP"/>
        </w:rPr>
        <w:t>emission product standard</w:t>
      </w:r>
      <w:r w:rsidR="0031719C" w:rsidRPr="004E70CE">
        <w:rPr>
          <w:lang w:eastAsia="ja-JP"/>
        </w:rPr>
        <w:t>s</w:t>
      </w:r>
      <w:r w:rsidR="00D101AA" w:rsidRPr="004E70CE">
        <w:rPr>
          <w:lang w:eastAsia="ja-JP"/>
        </w:rPr>
        <w:t xml:space="preserve"> </w:t>
      </w:r>
      <w:r w:rsidRPr="004E70CE">
        <w:rPr>
          <w:lang w:eastAsia="ja-JP"/>
        </w:rPr>
        <w:t xml:space="preserve">that </w:t>
      </w:r>
      <w:r w:rsidR="00FF28DB" w:rsidRPr="004E70CE">
        <w:rPr>
          <w:lang w:eastAsia="ja-JP"/>
        </w:rPr>
        <w:t>would</w:t>
      </w:r>
      <w:r w:rsidRPr="004E70CE">
        <w:rPr>
          <w:lang w:eastAsia="ja-JP"/>
        </w:rPr>
        <w:t xml:space="preserve"> follow future </w:t>
      </w:r>
      <w:r w:rsidR="00D75106" w:rsidRPr="004E70CE">
        <w:rPr>
          <w:lang w:eastAsia="ja-JP"/>
        </w:rPr>
        <w:t>international standards</w:t>
      </w:r>
      <w:r w:rsidR="00C74886" w:rsidRPr="004E70CE">
        <w:rPr>
          <w:lang w:eastAsia="ja-JP"/>
        </w:rPr>
        <w:t>, several of which are being negotiated or discussed in multilateral forums.</w:t>
      </w:r>
      <w:r w:rsidR="00C136DE" w:rsidRPr="004E70CE">
        <w:rPr>
          <w:lang w:eastAsia="ja-JP"/>
        </w:rPr>
        <w:t xml:space="preserve"> </w:t>
      </w:r>
      <w:r w:rsidR="005F20C6" w:rsidRPr="004E70CE">
        <w:rPr>
          <w:lang w:eastAsia="ja-JP"/>
        </w:rPr>
        <w:t>In the steel industry</w:t>
      </w:r>
      <w:r w:rsidR="00AA46D4" w:rsidRPr="004E70CE">
        <w:rPr>
          <w:lang w:eastAsia="ja-JP"/>
        </w:rPr>
        <w:t>,</w:t>
      </w:r>
      <w:r w:rsidR="00EC1EF0" w:rsidRPr="004E70CE">
        <w:rPr>
          <w:lang w:eastAsia="ja-JP"/>
        </w:rPr>
        <w:t xml:space="preserve"> standards for evaluating emissions intensity already exist or are under development, such as ISO 14404, ISO 20915 and the Worldsteel Benchmarking Systems</w:t>
      </w:r>
      <w:r w:rsidR="00316B95" w:rsidRPr="004E70CE">
        <w:rPr>
          <w:lang w:eastAsia="ja-JP"/>
        </w:rPr>
        <w:t>.</w:t>
      </w:r>
      <w:r w:rsidR="00EC1EF0" w:rsidRPr="004E70CE">
        <w:rPr>
          <w:lang w:eastAsia="ja-JP"/>
        </w:rPr>
        <w:t xml:space="preserve"> </w:t>
      </w:r>
      <w:r w:rsidR="00316B95" w:rsidRPr="004E70CE">
        <w:rPr>
          <w:lang w:eastAsia="ja-JP"/>
        </w:rPr>
        <w:t>H</w:t>
      </w:r>
      <w:r w:rsidR="00EC1EF0" w:rsidRPr="004E70CE">
        <w:rPr>
          <w:lang w:eastAsia="ja-JP"/>
        </w:rPr>
        <w:t>owever, these measurement standards do not specify normative thresholds or target levels for emissions intensities.</w:t>
      </w:r>
      <w:r w:rsidR="00EC1EF0" w:rsidRPr="004E70CE">
        <w:rPr>
          <w:rStyle w:val="FootnoteReference"/>
          <w:lang w:eastAsia="ja-JP"/>
        </w:rPr>
        <w:footnoteReference w:id="118"/>
      </w:r>
      <w:r w:rsidR="00316B95" w:rsidRPr="004E70CE">
        <w:rPr>
          <w:lang w:eastAsia="ja-JP"/>
        </w:rPr>
        <w:t xml:space="preserve"> </w:t>
      </w:r>
      <w:r w:rsidR="00D56711" w:rsidRPr="004E70CE">
        <w:rPr>
          <w:lang w:eastAsia="ja-JP"/>
        </w:rPr>
        <w:t xml:space="preserve">There have </w:t>
      </w:r>
      <w:r w:rsidR="00E615E1" w:rsidRPr="004E70CE">
        <w:rPr>
          <w:lang w:eastAsia="ja-JP"/>
        </w:rPr>
        <w:t>also</w:t>
      </w:r>
      <w:r w:rsidR="00D56711" w:rsidRPr="004E70CE">
        <w:rPr>
          <w:lang w:eastAsia="ja-JP"/>
        </w:rPr>
        <w:t xml:space="preserve"> been collaborative, industry-led initiatives to set product and site-</w:t>
      </w:r>
      <w:r w:rsidR="00B165A9" w:rsidRPr="004E70CE">
        <w:rPr>
          <w:lang w:eastAsia="ja-JP"/>
        </w:rPr>
        <w:t xml:space="preserve">level decarbonisation </w:t>
      </w:r>
      <w:r w:rsidR="00FD6391">
        <w:rPr>
          <w:lang w:eastAsia="ja-JP"/>
        </w:rPr>
        <w:t xml:space="preserve">standards </w:t>
      </w:r>
      <w:r w:rsidR="00B165A9" w:rsidRPr="004E70CE">
        <w:rPr>
          <w:lang w:eastAsia="ja-JP"/>
        </w:rPr>
        <w:t>such as ResponsibleSteel</w:t>
      </w:r>
      <w:r w:rsidR="00E615E1" w:rsidRPr="004E70CE">
        <w:rPr>
          <w:lang w:eastAsia="ja-JP"/>
        </w:rPr>
        <w:t xml:space="preserve">. </w:t>
      </w:r>
      <w:r w:rsidR="00057DD6" w:rsidRPr="004E70CE">
        <w:rPr>
          <w:lang w:eastAsia="ja-JP"/>
        </w:rPr>
        <w:t>N</w:t>
      </w:r>
      <w:r w:rsidR="00E615E1" w:rsidRPr="004E70CE">
        <w:rPr>
          <w:lang w:eastAsia="ja-JP"/>
        </w:rPr>
        <w:t>one of</w:t>
      </w:r>
      <w:r w:rsidR="00B165A9" w:rsidRPr="004E70CE">
        <w:rPr>
          <w:lang w:eastAsia="ja-JP"/>
        </w:rPr>
        <w:t xml:space="preserve"> these standards have been formally adopted as part of any multilateral forums. </w:t>
      </w:r>
    </w:p>
    <w:p w14:paraId="032BB5DE" w14:textId="77777777" w:rsidR="00AE076D" w:rsidRPr="004E70CE" w:rsidRDefault="00E0301B" w:rsidP="00A63597">
      <w:pPr>
        <w:rPr>
          <w:lang w:eastAsia="ja-JP"/>
        </w:rPr>
      </w:pPr>
      <w:r w:rsidRPr="004E70CE">
        <w:rPr>
          <w:lang w:eastAsia="ja-JP"/>
        </w:rPr>
        <w:t>The suitability of</w:t>
      </w:r>
      <w:r w:rsidR="0030723B" w:rsidRPr="004E70CE">
        <w:rPr>
          <w:lang w:eastAsia="ja-JP"/>
        </w:rPr>
        <w:t xml:space="preserve"> </w:t>
      </w:r>
      <w:r w:rsidRPr="004E70CE">
        <w:rPr>
          <w:lang w:eastAsia="ja-JP"/>
        </w:rPr>
        <w:t xml:space="preserve">future </w:t>
      </w:r>
      <w:r w:rsidR="00B165A9" w:rsidRPr="004E70CE">
        <w:rPr>
          <w:lang w:eastAsia="ja-JP"/>
        </w:rPr>
        <w:t xml:space="preserve">international </w:t>
      </w:r>
      <w:r w:rsidRPr="004E70CE">
        <w:rPr>
          <w:lang w:eastAsia="ja-JP"/>
        </w:rPr>
        <w:t xml:space="preserve">standards as a tool to address carbon leakage </w:t>
      </w:r>
      <w:r w:rsidR="00FF28DB" w:rsidRPr="004E70CE">
        <w:rPr>
          <w:lang w:eastAsia="ja-JP"/>
        </w:rPr>
        <w:t xml:space="preserve">would </w:t>
      </w:r>
      <w:r w:rsidRPr="004E70CE">
        <w:rPr>
          <w:lang w:eastAsia="ja-JP"/>
        </w:rPr>
        <w:t>depend on the standard itself and its application to Australia’s specific carbon leakage risks.</w:t>
      </w:r>
    </w:p>
    <w:p w14:paraId="3EECBC1F" w14:textId="77777777" w:rsidR="002F78E1" w:rsidRPr="004E70CE" w:rsidRDefault="002F78E1" w:rsidP="00A63597">
      <w:r w:rsidRPr="004E70CE">
        <w:rPr>
          <w:lang w:eastAsia="ja-JP"/>
        </w:rPr>
        <w:lastRenderedPageBreak/>
        <w:t>Product standards, including emissions product standards</w:t>
      </w:r>
      <w:r w:rsidR="000E6CBE" w:rsidRPr="004E70CE">
        <w:rPr>
          <w:lang w:eastAsia="ja-JP"/>
        </w:rPr>
        <w:t>,</w:t>
      </w:r>
      <w:r w:rsidRPr="004E70CE">
        <w:rPr>
          <w:lang w:eastAsia="ja-JP"/>
        </w:rPr>
        <w:t xml:space="preserve"> can be effective policy tools where an established maximum emissions intensity can be efficiently determined and legislated. For example, the </w:t>
      </w:r>
      <w:r w:rsidRPr="004E70CE">
        <w:rPr>
          <w:i/>
          <w:iCs/>
          <w:lang w:eastAsia="ja-JP"/>
        </w:rPr>
        <w:t>Product Emissions Standards Act 2017</w:t>
      </w:r>
      <w:r w:rsidRPr="004E70CE">
        <w:rPr>
          <w:lang w:eastAsia="ja-JP"/>
        </w:rPr>
        <w:t xml:space="preserve"> (PESA) sets emissions standards for outdoor power equipment and marine engines. The PESA standard can be satisfied using certification from established standards in the EU, United States and Canada. These standards are established, well-understood in the market and already widely used by manufacturers.</w:t>
      </w:r>
    </w:p>
    <w:p w14:paraId="1AF9CD21" w14:textId="77777777" w:rsidR="00687B19" w:rsidRPr="004E70CE" w:rsidRDefault="20C4028A" w:rsidP="00A63597">
      <w:pPr>
        <w:rPr>
          <w:lang w:eastAsia="ja-JP"/>
        </w:rPr>
      </w:pPr>
      <w:r w:rsidRPr="004E70CE">
        <w:rPr>
          <w:lang w:eastAsia="ja-JP"/>
        </w:rPr>
        <w:t>More generally</w:t>
      </w:r>
      <w:r w:rsidR="530DB1E4" w:rsidRPr="004E70CE">
        <w:rPr>
          <w:lang w:eastAsia="ja-JP"/>
        </w:rPr>
        <w:t xml:space="preserve"> and beyond the objective of curbing carbon leakage risk</w:t>
      </w:r>
      <w:r w:rsidRPr="004E70CE">
        <w:rPr>
          <w:lang w:eastAsia="ja-JP"/>
        </w:rPr>
        <w:t>, p</w:t>
      </w:r>
      <w:r w:rsidR="00935535" w:rsidRPr="004E70CE">
        <w:rPr>
          <w:lang w:eastAsia="ja-JP"/>
        </w:rPr>
        <w:t>roduct standards</w:t>
      </w:r>
      <w:r w:rsidR="00687B19" w:rsidRPr="004E70CE">
        <w:rPr>
          <w:lang w:eastAsia="ja-JP"/>
        </w:rPr>
        <w:t>, both mandatory and voluntary,</w:t>
      </w:r>
      <w:r w:rsidR="00935535" w:rsidRPr="004E70CE">
        <w:rPr>
          <w:lang w:eastAsia="ja-JP"/>
        </w:rPr>
        <w:t xml:space="preserve"> may have roles to play as part of overall future industrial decarbonisation strategies</w:t>
      </w:r>
      <w:r w:rsidR="00690D7E" w:rsidRPr="004E70CE">
        <w:rPr>
          <w:lang w:eastAsia="ja-JP"/>
        </w:rPr>
        <w:t xml:space="preserve"> and </w:t>
      </w:r>
      <w:r w:rsidR="2C583A6C" w:rsidRPr="004E70CE">
        <w:rPr>
          <w:lang w:eastAsia="ja-JP"/>
        </w:rPr>
        <w:t>to help</w:t>
      </w:r>
      <w:r w:rsidR="00690D7E" w:rsidRPr="004E70CE">
        <w:rPr>
          <w:lang w:eastAsia="ja-JP"/>
        </w:rPr>
        <w:t xml:space="preserve"> Australia’s </w:t>
      </w:r>
      <w:r w:rsidR="00890F14" w:rsidRPr="004E70CE">
        <w:rPr>
          <w:lang w:eastAsia="ja-JP"/>
        </w:rPr>
        <w:t>n</w:t>
      </w:r>
      <w:r w:rsidR="00690D7E" w:rsidRPr="004E70CE">
        <w:rPr>
          <w:lang w:eastAsia="ja-JP"/>
        </w:rPr>
        <w:t xml:space="preserve">et </w:t>
      </w:r>
      <w:r w:rsidR="00890F14" w:rsidRPr="004E70CE">
        <w:rPr>
          <w:lang w:eastAsia="ja-JP"/>
        </w:rPr>
        <w:t>z</w:t>
      </w:r>
      <w:r w:rsidR="00690D7E" w:rsidRPr="004E70CE">
        <w:rPr>
          <w:lang w:eastAsia="ja-JP"/>
        </w:rPr>
        <w:t>ero objectives</w:t>
      </w:r>
      <w:r w:rsidR="00935535" w:rsidRPr="004E70CE">
        <w:rPr>
          <w:lang w:eastAsia="ja-JP"/>
        </w:rPr>
        <w:t>.</w:t>
      </w:r>
      <w:r w:rsidR="00687B19" w:rsidRPr="004E70CE">
        <w:rPr>
          <w:lang w:eastAsia="ja-JP"/>
        </w:rPr>
        <w:t xml:space="preserve"> A number of submissions expressed support for the creation of voluntary standards that estimate and declare the emissions intensity of different materials and </w:t>
      </w:r>
      <w:r w:rsidR="00021B12" w:rsidRPr="004E70CE">
        <w:rPr>
          <w:lang w:eastAsia="ja-JP"/>
        </w:rPr>
        <w:t>commodities</w:t>
      </w:r>
      <w:r w:rsidR="00F87305" w:rsidRPr="004E70CE">
        <w:rPr>
          <w:lang w:eastAsia="ja-JP"/>
        </w:rPr>
        <w:t xml:space="preserve"> for the purposes of meeting </w:t>
      </w:r>
      <w:r w:rsidR="000874F9" w:rsidRPr="004E70CE">
        <w:rPr>
          <w:lang w:eastAsia="ja-JP"/>
        </w:rPr>
        <w:t xml:space="preserve">possible future </w:t>
      </w:r>
      <w:r w:rsidR="00F87305" w:rsidRPr="004E70CE">
        <w:rPr>
          <w:lang w:eastAsia="ja-JP"/>
        </w:rPr>
        <w:t>mandated government procurement guidelines</w:t>
      </w:r>
      <w:r w:rsidR="000874F9" w:rsidRPr="004E70CE">
        <w:rPr>
          <w:lang w:eastAsia="ja-JP"/>
        </w:rPr>
        <w:t>,</w:t>
      </w:r>
      <w:r w:rsidR="00366C2C" w:rsidRPr="004E70CE">
        <w:rPr>
          <w:lang w:eastAsia="ja-JP"/>
        </w:rPr>
        <w:t xml:space="preserve"> or</w:t>
      </w:r>
      <w:r w:rsidR="00F87305" w:rsidRPr="004E70CE">
        <w:rPr>
          <w:lang w:eastAsia="ja-JP"/>
        </w:rPr>
        <w:t xml:space="preserve"> green ‘star’ labelling</w:t>
      </w:r>
      <w:r w:rsidR="002F3C95" w:rsidRPr="004E70CE">
        <w:rPr>
          <w:lang w:eastAsia="ja-JP"/>
        </w:rPr>
        <w:t xml:space="preserve">. </w:t>
      </w:r>
      <w:r w:rsidR="000874F9" w:rsidRPr="004E70CE">
        <w:rPr>
          <w:lang w:eastAsia="ja-JP"/>
        </w:rPr>
        <w:t xml:space="preserve">Such </w:t>
      </w:r>
      <w:r w:rsidR="002F3C95" w:rsidRPr="004E70CE">
        <w:rPr>
          <w:lang w:eastAsia="ja-JP"/>
        </w:rPr>
        <w:t xml:space="preserve">standards could help achieve a </w:t>
      </w:r>
      <w:r w:rsidR="00250378" w:rsidRPr="004E70CE">
        <w:rPr>
          <w:lang w:eastAsia="ja-JP"/>
        </w:rPr>
        <w:t xml:space="preserve">market premium </w:t>
      </w:r>
      <w:r w:rsidR="002F3C95" w:rsidRPr="004E70CE">
        <w:rPr>
          <w:lang w:eastAsia="ja-JP"/>
        </w:rPr>
        <w:t xml:space="preserve">for low emissions intensity </w:t>
      </w:r>
      <w:r w:rsidR="00021B12" w:rsidRPr="004E70CE">
        <w:rPr>
          <w:lang w:eastAsia="ja-JP"/>
        </w:rPr>
        <w:t>commodities</w:t>
      </w:r>
      <w:r w:rsidR="000874F9" w:rsidRPr="004E70CE">
        <w:rPr>
          <w:lang w:eastAsia="ja-JP"/>
        </w:rPr>
        <w:t xml:space="preserve"> in Australian markets. However, they would not </w:t>
      </w:r>
      <w:r w:rsidR="39DD72B9" w:rsidRPr="004E70CE">
        <w:rPr>
          <w:lang w:eastAsia="ja-JP"/>
        </w:rPr>
        <w:t>directly</w:t>
      </w:r>
      <w:r w:rsidR="000874F9" w:rsidRPr="004E70CE">
        <w:rPr>
          <w:lang w:eastAsia="ja-JP"/>
        </w:rPr>
        <w:t xml:space="preserve"> </w:t>
      </w:r>
      <w:r w:rsidR="79191B54" w:rsidRPr="004E70CE">
        <w:rPr>
          <w:lang w:eastAsia="ja-JP"/>
        </w:rPr>
        <w:t>address</w:t>
      </w:r>
      <w:r w:rsidR="000874F9" w:rsidRPr="004E70CE">
        <w:rPr>
          <w:lang w:eastAsia="ja-JP"/>
        </w:rPr>
        <w:t xml:space="preserve"> carbon leakage</w:t>
      </w:r>
      <w:r w:rsidR="091C7228" w:rsidRPr="004E70CE">
        <w:rPr>
          <w:lang w:eastAsia="ja-JP"/>
        </w:rPr>
        <w:t xml:space="preserve"> concerns</w:t>
      </w:r>
      <w:r w:rsidR="002F3C95" w:rsidRPr="004E70CE">
        <w:rPr>
          <w:lang w:eastAsia="ja-JP"/>
        </w:rPr>
        <w:t>.</w:t>
      </w:r>
    </w:p>
    <w:p w14:paraId="7C3F29A0" w14:textId="77777777" w:rsidR="006520B4" w:rsidRPr="004E70CE" w:rsidRDefault="006520B4" w:rsidP="00A63597">
      <w:pPr>
        <w:pStyle w:val="Heading2"/>
        <w:spacing w:after="200" w:line="276" w:lineRule="auto"/>
      </w:pPr>
      <w:bookmarkStart w:id="42" w:name="_Toc173997676"/>
      <w:r w:rsidRPr="004E70CE">
        <w:lastRenderedPageBreak/>
        <w:t xml:space="preserve">Multilateral </w:t>
      </w:r>
      <w:r w:rsidR="001935FF" w:rsidRPr="004E70CE">
        <w:t>and</w:t>
      </w:r>
      <w:r w:rsidRPr="004E70CE">
        <w:t xml:space="preserve"> plurilateral initiatives</w:t>
      </w:r>
      <w:bookmarkEnd w:id="42"/>
    </w:p>
    <w:p w14:paraId="1E2CD9A3" w14:textId="77777777" w:rsidR="009863F4" w:rsidRPr="004E70CE" w:rsidRDefault="009863F4" w:rsidP="00A63597">
      <w:pPr>
        <w:pStyle w:val="Calloutbox"/>
        <w:spacing w:after="200" w:line="276" w:lineRule="auto"/>
        <w:rPr>
          <w:b/>
          <w:bCs/>
        </w:rPr>
      </w:pPr>
      <w:bookmarkStart w:id="43" w:name="_Toc430782161"/>
      <w:r w:rsidRPr="004E70CE">
        <w:rPr>
          <w:b/>
          <w:bCs/>
        </w:rPr>
        <w:t>Preliminary findings</w:t>
      </w:r>
      <w:r w:rsidR="002F3C37" w:rsidRPr="004E70CE">
        <w:rPr>
          <w:b/>
          <w:bCs/>
        </w:rPr>
        <w:t xml:space="preserve"> for consultation</w:t>
      </w:r>
    </w:p>
    <w:p w14:paraId="39A5F518" w14:textId="77777777" w:rsidR="001C0AA9" w:rsidRPr="004E70CE" w:rsidRDefault="001C0AA9" w:rsidP="00A63597">
      <w:pPr>
        <w:pStyle w:val="Calloutbox"/>
        <w:spacing w:after="200" w:line="276" w:lineRule="auto"/>
      </w:pPr>
      <w:r w:rsidRPr="004E70CE">
        <w:t xml:space="preserve">Given Australia’s strong stake in the international rules-based system, policy responses to address carbon leakage risks should advance and support the international system. </w:t>
      </w:r>
    </w:p>
    <w:p w14:paraId="2EB85A02" w14:textId="77777777" w:rsidR="001C0AA9" w:rsidRPr="004E70CE" w:rsidRDefault="001C0AA9" w:rsidP="00A63597">
      <w:pPr>
        <w:pStyle w:val="Calloutbox"/>
        <w:spacing w:after="200" w:line="276" w:lineRule="auto"/>
      </w:pPr>
      <w:r w:rsidRPr="004E70CE">
        <w:t>Enhanced global climate action would reduce carbon leakage</w:t>
      </w:r>
      <w:r w:rsidR="00890F14" w:rsidRPr="004E70CE">
        <w:t>,</w:t>
      </w:r>
      <w:r w:rsidRPr="004E70CE">
        <w:t xml:space="preserve"> but divergences in ambition and policy approaches will persist in the medium</w:t>
      </w:r>
      <w:r w:rsidR="00890F14" w:rsidRPr="004E70CE">
        <w:t>-</w:t>
      </w:r>
      <w:r w:rsidRPr="004E70CE">
        <w:t>term.</w:t>
      </w:r>
    </w:p>
    <w:p w14:paraId="7161D2B8" w14:textId="77777777" w:rsidR="001C0AA9" w:rsidRPr="004E70CE" w:rsidRDefault="001C0AA9" w:rsidP="00A63597">
      <w:pPr>
        <w:pStyle w:val="Calloutbox"/>
        <w:spacing w:after="200" w:line="276" w:lineRule="auto"/>
      </w:pPr>
      <w:r w:rsidRPr="004E70CE">
        <w:t>An internationally agreed solution to address carbon leakage risk developed through multilateral and plurilateral initiatives would be ideal</w:t>
      </w:r>
      <w:r w:rsidR="00890F14" w:rsidRPr="004E70CE">
        <w:t>,</w:t>
      </w:r>
      <w:r w:rsidRPr="004E70CE">
        <w:t xml:space="preserve"> but is uncertain and would take time to develop. Possible long</w:t>
      </w:r>
      <w:r w:rsidR="00890F14" w:rsidRPr="004E70CE">
        <w:t>-</w:t>
      </w:r>
      <w:r w:rsidRPr="004E70CE">
        <w:t>term international solutions will not replace the near- and medium-term need for domestic policy action.</w:t>
      </w:r>
    </w:p>
    <w:p w14:paraId="50DDCE6F" w14:textId="7B61698C" w:rsidR="001C0AA9" w:rsidRPr="004E70CE" w:rsidRDefault="001C0AA9" w:rsidP="00A63597">
      <w:pPr>
        <w:pStyle w:val="Calloutbox"/>
        <w:spacing w:after="200" w:line="276" w:lineRule="auto"/>
      </w:pPr>
      <w:r w:rsidRPr="004E70CE">
        <w:t>Multilateral and plurilateral initiatives c</w:t>
      </w:r>
      <w:r w:rsidR="007B11A2" w:rsidRPr="004E70CE">
        <w:t>ould</w:t>
      </w:r>
      <w:r w:rsidRPr="004E70CE">
        <w:t xml:space="preserve"> support the implementation of </w:t>
      </w:r>
      <w:r w:rsidR="00271716" w:rsidRPr="004E70CE">
        <w:t>border carbon adjustments</w:t>
      </w:r>
      <w:r w:rsidRPr="004E70CE">
        <w:t xml:space="preserve"> through the development of interoperable standards and approaches</w:t>
      </w:r>
      <w:r w:rsidR="001935FF" w:rsidRPr="004E70CE">
        <w:t>,</w:t>
      </w:r>
      <w:r w:rsidRPr="004E70CE">
        <w:t xml:space="preserve"> for example development of agreed default emissions intensities or standards to measure embedded emissions.</w:t>
      </w:r>
    </w:p>
    <w:p w14:paraId="6845603F" w14:textId="77777777" w:rsidR="001C0AA9" w:rsidRPr="004E70CE" w:rsidRDefault="001C0AA9" w:rsidP="00A63597">
      <w:pPr>
        <w:pStyle w:val="Calloutbox"/>
        <w:spacing w:after="200" w:line="276" w:lineRule="auto"/>
      </w:pPr>
      <w:r w:rsidRPr="004E70CE">
        <w:t>Australia’s active engagement in these initiatives would support the development of best practice policy to address carbon leakage. Enhanced engagement is an opportunity for Australia to contribute positively to international policy development.</w:t>
      </w:r>
    </w:p>
    <w:p w14:paraId="488A4E9E" w14:textId="77777777" w:rsidR="0049648C" w:rsidRPr="004E70CE" w:rsidRDefault="00472F88" w:rsidP="00A63597">
      <w:r w:rsidRPr="004E70CE">
        <w:t>The Review has assessed the role of m</w:t>
      </w:r>
      <w:r w:rsidR="002504E3" w:rsidRPr="004E70CE">
        <w:t>ultilateral and plurilateral initiatives</w:t>
      </w:r>
      <w:r w:rsidR="002216B7" w:rsidRPr="004E70CE">
        <w:t xml:space="preserve"> </w:t>
      </w:r>
      <w:r w:rsidR="00301B3F" w:rsidRPr="004E70CE">
        <w:t xml:space="preserve">to </w:t>
      </w:r>
      <w:r w:rsidR="00E312C7" w:rsidRPr="004E70CE">
        <w:t>both</w:t>
      </w:r>
      <w:r w:rsidR="00301B3F" w:rsidRPr="004E70CE">
        <w:t xml:space="preserve"> address carbon leakage</w:t>
      </w:r>
      <w:r w:rsidR="00523B9C" w:rsidRPr="004E70CE">
        <w:t xml:space="preserve"> </w:t>
      </w:r>
      <w:r w:rsidR="00272D63" w:rsidRPr="004E70CE">
        <w:t>and</w:t>
      </w:r>
      <w:r w:rsidR="00523B9C" w:rsidRPr="004E70CE">
        <w:t xml:space="preserve"> </w:t>
      </w:r>
      <w:r w:rsidR="009D551E" w:rsidRPr="004E70CE">
        <w:t xml:space="preserve">to </w:t>
      </w:r>
      <w:r w:rsidR="00DC4BE3" w:rsidRPr="004E70CE">
        <w:t xml:space="preserve">support the </w:t>
      </w:r>
      <w:r w:rsidR="00DA74EB" w:rsidRPr="004E70CE">
        <w:t>implementation</w:t>
      </w:r>
      <w:r w:rsidR="00E312C7" w:rsidRPr="004E70CE">
        <w:t xml:space="preserve"> of policy </w:t>
      </w:r>
      <w:r w:rsidR="00BF2657" w:rsidRPr="004E70CE">
        <w:t>approaches</w:t>
      </w:r>
      <w:r w:rsidR="00E312C7" w:rsidRPr="004E70CE">
        <w:t xml:space="preserve"> </w:t>
      </w:r>
      <w:r w:rsidR="0049648C" w:rsidRPr="004E70CE">
        <w:t>to reduce leakage risk</w:t>
      </w:r>
      <w:r w:rsidR="00E312C7" w:rsidRPr="004E70CE">
        <w:t xml:space="preserve"> </w:t>
      </w:r>
      <w:r w:rsidR="005312F3" w:rsidRPr="004E70CE">
        <w:t xml:space="preserve">in an internationally cohesive </w:t>
      </w:r>
      <w:r w:rsidR="00740446" w:rsidRPr="004E70CE">
        <w:t>and effective</w:t>
      </w:r>
      <w:r w:rsidR="005312F3" w:rsidRPr="004E70CE">
        <w:t xml:space="preserve"> manner.</w:t>
      </w:r>
      <w:r w:rsidR="000B5E72" w:rsidRPr="004E70CE">
        <w:t xml:space="preserve"> </w:t>
      </w:r>
    </w:p>
    <w:p w14:paraId="7CF6D54B" w14:textId="1097ED9C" w:rsidR="00452A93" w:rsidRPr="004E70CE" w:rsidRDefault="00132C2F" w:rsidP="00A63597">
      <w:r w:rsidRPr="004E70CE">
        <w:t>Australia is an active participant</w:t>
      </w:r>
      <w:r w:rsidR="0076591F" w:rsidRPr="004E70CE">
        <w:t xml:space="preserve"> </w:t>
      </w:r>
      <w:r w:rsidR="00A43188" w:rsidRPr="004E70CE">
        <w:t xml:space="preserve">in international discussions and initiatives that are considering carbon leakage, </w:t>
      </w:r>
      <w:r w:rsidR="00390C1C" w:rsidRPr="004E70CE">
        <w:t>including the I</w:t>
      </w:r>
      <w:r w:rsidR="00E512EC" w:rsidRPr="004E70CE">
        <w:t xml:space="preserve">nclusive </w:t>
      </w:r>
      <w:r w:rsidR="00390C1C" w:rsidRPr="004E70CE">
        <w:t>F</w:t>
      </w:r>
      <w:r w:rsidR="00E512EC" w:rsidRPr="004E70CE">
        <w:t xml:space="preserve">orum on </w:t>
      </w:r>
      <w:r w:rsidR="00390C1C" w:rsidRPr="004E70CE">
        <w:t>C</w:t>
      </w:r>
      <w:r w:rsidR="00E512EC" w:rsidRPr="004E70CE">
        <w:t xml:space="preserve">arbon </w:t>
      </w:r>
      <w:r w:rsidR="00390C1C" w:rsidRPr="004E70CE">
        <w:t>M</w:t>
      </w:r>
      <w:r w:rsidR="00E512EC" w:rsidRPr="004E70CE">
        <w:t xml:space="preserve">itigation </w:t>
      </w:r>
      <w:r w:rsidR="00390C1C" w:rsidRPr="004E70CE">
        <w:t>A</w:t>
      </w:r>
      <w:r w:rsidR="00E512EC" w:rsidRPr="004E70CE">
        <w:t>pproaches</w:t>
      </w:r>
      <w:r w:rsidR="00390C1C" w:rsidRPr="004E70CE">
        <w:t xml:space="preserve"> and </w:t>
      </w:r>
      <w:r w:rsidR="00DE430E" w:rsidRPr="004E70CE">
        <w:t>the Climate Club</w:t>
      </w:r>
      <w:r w:rsidR="00C4045C" w:rsidRPr="004E70CE">
        <w:t xml:space="preserve"> (see </w:t>
      </w:r>
      <w:r w:rsidR="00262456" w:rsidRPr="004E70CE">
        <w:rPr>
          <w:b/>
          <w:bCs/>
        </w:rPr>
        <w:t>B</w:t>
      </w:r>
      <w:r w:rsidR="00C4045C" w:rsidRPr="004E70CE">
        <w:rPr>
          <w:b/>
          <w:bCs/>
        </w:rPr>
        <w:t xml:space="preserve">ox </w:t>
      </w:r>
      <w:r w:rsidR="00474A2D">
        <w:rPr>
          <w:b/>
          <w:bCs/>
        </w:rPr>
        <w:t>5</w:t>
      </w:r>
      <w:r w:rsidR="00C4045C" w:rsidRPr="004E70CE">
        <w:t>)</w:t>
      </w:r>
      <w:r w:rsidR="00DE430E" w:rsidRPr="004E70CE">
        <w:t>.</w:t>
      </w:r>
    </w:p>
    <w:p w14:paraId="6B3FAF99" w14:textId="77777777" w:rsidR="007C5D27" w:rsidRDefault="0013CD09" w:rsidP="00F550AF">
      <w:pPr>
        <w:spacing w:after="0"/>
      </w:pPr>
      <w:r w:rsidRPr="004E70CE">
        <w:t xml:space="preserve">Active engagement in relevant multilateral and plurilateral initiatives will support the development of policy responses to carbon leakage in a way that advances Australia’s interests in the rules-based system and can help </w:t>
      </w:r>
      <w:r w:rsidR="00BF6880" w:rsidRPr="004E70CE">
        <w:t>develop</w:t>
      </w:r>
      <w:r w:rsidR="00BC77F7" w:rsidRPr="004E70CE">
        <w:t xml:space="preserve"> </w:t>
      </w:r>
      <w:r w:rsidRPr="004E70CE">
        <w:t>international</w:t>
      </w:r>
      <w:r w:rsidR="00BC77F7" w:rsidRPr="004E70CE">
        <w:t xml:space="preserve"> policy innovations</w:t>
      </w:r>
      <w:r w:rsidRPr="004E70CE">
        <w:t>.</w:t>
      </w:r>
      <w:r w:rsidR="007E084A" w:rsidRPr="004E70CE">
        <w:t xml:space="preserve"> Discussions on these issues are underway in a variety of bodies, including the UNFCCC, the WTO, the OECD and the G7 Climate Club.</w:t>
      </w:r>
    </w:p>
    <w:p w14:paraId="09CC82B4" w14:textId="0898DC14" w:rsidR="00196D7C" w:rsidRPr="004E70CE" w:rsidRDefault="0042159F" w:rsidP="00F550AF">
      <w:pPr>
        <w:spacing w:after="0"/>
      </w:pPr>
      <w:r w:rsidRPr="004E70CE">
        <w:br w:type="page"/>
      </w:r>
    </w:p>
    <w:p w14:paraId="05BEF675" w14:textId="2F8346B3" w:rsidR="00A63597" w:rsidRPr="004E70CE" w:rsidRDefault="00A63597" w:rsidP="00A63597">
      <w:pPr>
        <w:pStyle w:val="Calloutbox"/>
        <w:shd w:val="clear" w:color="auto" w:fill="D7F5FA" w:themeFill="background2" w:themeFillTint="1A"/>
        <w:spacing w:after="200" w:line="276" w:lineRule="auto"/>
        <w:rPr>
          <w:b/>
        </w:rPr>
      </w:pPr>
      <w:r w:rsidRPr="004E70CE">
        <w:rPr>
          <w:b/>
          <w:bCs/>
        </w:rPr>
        <w:lastRenderedPageBreak/>
        <w:t xml:space="preserve">Box </w:t>
      </w:r>
      <w:r w:rsidR="00474A2D">
        <w:rPr>
          <w:b/>
          <w:bCs/>
        </w:rPr>
        <w:t>5</w:t>
      </w:r>
      <w:r w:rsidRPr="004E70CE">
        <w:rPr>
          <w:b/>
          <w:bCs/>
        </w:rPr>
        <w:t xml:space="preserve"> - </w:t>
      </w:r>
      <w:r w:rsidRPr="004E70CE">
        <w:rPr>
          <w:b/>
        </w:rPr>
        <w:t xml:space="preserve">Australia’s </w:t>
      </w:r>
      <w:r w:rsidR="00F550AF">
        <w:rPr>
          <w:b/>
        </w:rPr>
        <w:t>e</w:t>
      </w:r>
      <w:r w:rsidRPr="004E70CE">
        <w:rPr>
          <w:b/>
        </w:rPr>
        <w:t xml:space="preserve">ngagement in </w:t>
      </w:r>
      <w:r w:rsidR="00F550AF">
        <w:rPr>
          <w:b/>
        </w:rPr>
        <w:t>m</w:t>
      </w:r>
      <w:r w:rsidRPr="004E70CE">
        <w:rPr>
          <w:b/>
        </w:rPr>
        <w:t xml:space="preserve">ultilateral and </w:t>
      </w:r>
      <w:r w:rsidR="00F550AF">
        <w:rPr>
          <w:b/>
        </w:rPr>
        <w:t>p</w:t>
      </w:r>
      <w:r w:rsidRPr="004E70CE">
        <w:rPr>
          <w:b/>
        </w:rPr>
        <w:t xml:space="preserve">lurilateral </w:t>
      </w:r>
      <w:r w:rsidR="00F550AF">
        <w:rPr>
          <w:b/>
        </w:rPr>
        <w:t>i</w:t>
      </w:r>
      <w:r w:rsidRPr="004E70CE">
        <w:rPr>
          <w:b/>
        </w:rPr>
        <w:t>nitiatives</w:t>
      </w:r>
    </w:p>
    <w:p w14:paraId="0A01896D" w14:textId="77777777" w:rsidR="000F69C8" w:rsidRPr="004E70CE" w:rsidRDefault="00A63597" w:rsidP="00A63597">
      <w:pPr>
        <w:pStyle w:val="Calloutbox"/>
        <w:shd w:val="clear" w:color="auto" w:fill="D7F5FA" w:themeFill="background2" w:themeFillTint="1A"/>
        <w:spacing w:after="200" w:line="276" w:lineRule="auto"/>
      </w:pPr>
      <w:r w:rsidRPr="004E70CE">
        <w:t>Australia is an active participant in initiatives focused on carbon leakage. Australia participates in the Climate Club</w:t>
      </w:r>
      <w:r w:rsidRPr="004E70CE">
        <w:rPr>
          <w:rStyle w:val="FootnoteReference"/>
        </w:rPr>
        <w:footnoteReference w:id="119"/>
      </w:r>
      <w:r w:rsidRPr="004E70CE">
        <w:t xml:space="preserve"> and the Organisation for Economic Co-operation and Development’s Inclusive Forum on Carbon Mitigation Approaches</w:t>
      </w:r>
      <w:r w:rsidRPr="004E70CE">
        <w:rPr>
          <w:rStyle w:val="FootnoteReference"/>
        </w:rPr>
        <w:footnoteReference w:id="120"/>
      </w:r>
      <w:r w:rsidRPr="004E70CE">
        <w:t>. Australia is also a member of the Coalition of Trade Ministers for Climate</w:t>
      </w:r>
      <w:r w:rsidRPr="004E70CE">
        <w:rPr>
          <w:rStyle w:val="FootnoteReference"/>
        </w:rPr>
        <w:footnoteReference w:id="121"/>
      </w:r>
      <w:r w:rsidRPr="004E70CE">
        <w:t xml:space="preserve"> and is actively involved in discussions on the nexus of trade and climate, including carbon leakage at the WTO through the Committee on Trade and Environment and the Trade and Environmental Sustainability Structured Discussions.</w:t>
      </w:r>
      <w:r w:rsidRPr="004E70CE">
        <w:rPr>
          <w:rStyle w:val="FootnoteReference"/>
        </w:rPr>
        <w:footnoteReference w:id="122"/>
      </w:r>
      <w:r w:rsidRPr="004E70CE">
        <w:t xml:space="preserve"> In each of these bodies, Australia advocates for greater transparency and enhanced cooperation on carbon leakage.</w:t>
      </w:r>
    </w:p>
    <w:p w14:paraId="7801C06F" w14:textId="77777777" w:rsidR="006D70D5" w:rsidRPr="004E70CE" w:rsidRDefault="005568B3" w:rsidP="00A63597">
      <w:r w:rsidRPr="004E70CE">
        <w:t xml:space="preserve">Australia is </w:t>
      </w:r>
      <w:r w:rsidR="00D91E1C" w:rsidRPr="004E70CE">
        <w:t>a</w:t>
      </w:r>
      <w:r w:rsidRPr="004E70CE">
        <w:t xml:space="preserve"> proponent</w:t>
      </w:r>
      <w:r w:rsidR="00820CCD" w:rsidRPr="004E70CE">
        <w:t xml:space="preserve"> </w:t>
      </w:r>
      <w:r w:rsidRPr="004E70CE">
        <w:t xml:space="preserve">of the international rules-based system, including the global climate and trade regimes. International cooperation underpinned by </w:t>
      </w:r>
      <w:r w:rsidR="00D91E1C" w:rsidRPr="004E70CE">
        <w:t>this</w:t>
      </w:r>
      <w:r w:rsidRPr="004E70CE">
        <w:t xml:space="preserve"> </w:t>
      </w:r>
      <w:r w:rsidR="00FB78CB" w:rsidRPr="004E70CE">
        <w:t xml:space="preserve">system </w:t>
      </w:r>
      <w:r w:rsidR="00EA55D3" w:rsidRPr="004E70CE">
        <w:t xml:space="preserve">is critical for a peaceful, stable and prosperous world. </w:t>
      </w:r>
      <w:r w:rsidR="005C65D2" w:rsidRPr="004E70CE">
        <w:t xml:space="preserve">This system </w:t>
      </w:r>
      <w:r w:rsidRPr="004E70CE">
        <w:t xml:space="preserve">has been a foundation of Australia’s economic and social development. </w:t>
      </w:r>
      <w:r w:rsidR="00D46CEE" w:rsidRPr="004E70CE">
        <w:t>The international rules-based system has a crucial role to play with</w:t>
      </w:r>
      <w:r w:rsidRPr="004E70CE">
        <w:t xml:space="preserve"> the </w:t>
      </w:r>
      <w:r w:rsidRPr="004E70CE">
        <w:rPr>
          <w:lang w:val="en-GB"/>
        </w:rPr>
        <w:t>challenge</w:t>
      </w:r>
      <w:r w:rsidRPr="004E70CE">
        <w:t xml:space="preserve"> of climate change sharpen</w:t>
      </w:r>
      <w:r w:rsidR="00D46CEE" w:rsidRPr="004E70CE">
        <w:t>ing</w:t>
      </w:r>
      <w:r w:rsidRPr="004E70CE">
        <w:t xml:space="preserve"> and as international trade patterns become more complex.</w:t>
      </w:r>
    </w:p>
    <w:p w14:paraId="7640581C" w14:textId="77777777" w:rsidR="005568B3" w:rsidRPr="004E70CE" w:rsidRDefault="00100766" w:rsidP="00A63597">
      <w:pPr>
        <w:pStyle w:val="Heading3"/>
        <w:spacing w:line="276" w:lineRule="auto"/>
        <w:rPr>
          <w:sz w:val="32"/>
          <w:szCs w:val="32"/>
          <w:lang w:val="en-GB"/>
        </w:rPr>
      </w:pPr>
      <w:bookmarkStart w:id="44" w:name="_Toc173997677"/>
      <w:r w:rsidRPr="004E70CE">
        <w:rPr>
          <w:sz w:val="32"/>
          <w:szCs w:val="32"/>
        </w:rPr>
        <w:t>Enhanced g</w:t>
      </w:r>
      <w:r w:rsidR="006D70D5" w:rsidRPr="004E70CE">
        <w:rPr>
          <w:sz w:val="32"/>
          <w:szCs w:val="32"/>
          <w:lang w:val="en-GB"/>
        </w:rPr>
        <w:t>lobal climate ambition</w:t>
      </w:r>
      <w:bookmarkEnd w:id="44"/>
      <w:r w:rsidR="005568B3" w:rsidRPr="004E70CE">
        <w:rPr>
          <w:sz w:val="32"/>
          <w:szCs w:val="32"/>
          <w:lang w:val="en-GB"/>
        </w:rPr>
        <w:t xml:space="preserve"> </w:t>
      </w:r>
    </w:p>
    <w:p w14:paraId="1D8118B2" w14:textId="5DE09CBB" w:rsidR="00A50A18" w:rsidRPr="004E70CE" w:rsidRDefault="3B71B960" w:rsidP="00A63597">
      <w:r w:rsidRPr="004E70CE">
        <w:t>I</w:t>
      </w:r>
      <w:r w:rsidR="46331F70" w:rsidRPr="004E70CE">
        <w:t xml:space="preserve">nternational cooperation </w:t>
      </w:r>
      <w:r w:rsidRPr="004E70CE">
        <w:t>is</w:t>
      </w:r>
      <w:r w:rsidR="46331F70" w:rsidRPr="004E70CE">
        <w:t xml:space="preserve"> essential to encourage the ambitious cooperative responses needed to </w:t>
      </w:r>
      <w:r w:rsidR="731A1B98" w:rsidRPr="004E70CE">
        <w:t xml:space="preserve">address </w:t>
      </w:r>
      <w:r w:rsidR="46331F70" w:rsidRPr="004E70CE">
        <w:t xml:space="preserve">climate change. </w:t>
      </w:r>
      <w:r w:rsidR="0DF29CA3" w:rsidRPr="004E70CE">
        <w:t xml:space="preserve">Such action has </w:t>
      </w:r>
      <w:r w:rsidR="46331F70" w:rsidRPr="004E70CE">
        <w:t xml:space="preserve">an important role </w:t>
      </w:r>
      <w:r w:rsidR="0DF29CA3" w:rsidRPr="004E70CE">
        <w:t xml:space="preserve">to support </w:t>
      </w:r>
      <w:r w:rsidR="46331F70" w:rsidRPr="004E70CE">
        <w:t>industrial decarbonisation</w:t>
      </w:r>
      <w:r w:rsidR="0DF29CA3" w:rsidRPr="004E70CE">
        <w:t xml:space="preserve"> by, for example, </w:t>
      </w:r>
      <w:r w:rsidR="46331F70" w:rsidRPr="004E70CE">
        <w:t>assist</w:t>
      </w:r>
      <w:r w:rsidR="0DF29CA3" w:rsidRPr="004E70CE">
        <w:t>ing</w:t>
      </w:r>
      <w:r w:rsidR="46331F70" w:rsidRPr="004E70CE">
        <w:t xml:space="preserve"> the spread of advanced decarbonisation technology, enabl</w:t>
      </w:r>
      <w:r w:rsidR="0DF29CA3" w:rsidRPr="004E70CE">
        <w:t>ing</w:t>
      </w:r>
      <w:r w:rsidR="46331F70" w:rsidRPr="004E70CE">
        <w:t xml:space="preserve"> access to finance and promot</w:t>
      </w:r>
      <w:r w:rsidR="0DF29CA3" w:rsidRPr="004E70CE">
        <w:t>ing</w:t>
      </w:r>
      <w:r w:rsidR="46331F70" w:rsidRPr="004E70CE">
        <w:t xml:space="preserve"> harmonised regulatory approach</w:t>
      </w:r>
      <w:r w:rsidR="09E15987" w:rsidRPr="004E70CE">
        <w:t>es</w:t>
      </w:r>
      <w:r w:rsidR="0DF29CA3" w:rsidRPr="004E70CE">
        <w:t>, and</w:t>
      </w:r>
      <w:r w:rsidR="46331F70" w:rsidRPr="004E70CE">
        <w:t xml:space="preserve"> enabling coordinated and effective policy responses.</w:t>
      </w:r>
    </w:p>
    <w:p w14:paraId="7C9D1524" w14:textId="77777777" w:rsidR="00A22989" w:rsidRPr="004E70CE" w:rsidRDefault="00A22989" w:rsidP="00A63597">
      <w:r w:rsidRPr="004E70CE">
        <w:t xml:space="preserve">Enhanced </w:t>
      </w:r>
      <w:r w:rsidR="00C117DD" w:rsidRPr="004E70CE">
        <w:t>and converging</w:t>
      </w:r>
      <w:r w:rsidRPr="004E70CE">
        <w:t xml:space="preserve"> global climate </w:t>
      </w:r>
      <w:r w:rsidR="00EE4C7F" w:rsidRPr="004E70CE">
        <w:t>action</w:t>
      </w:r>
      <w:r w:rsidRPr="004E70CE">
        <w:t xml:space="preserve"> would </w:t>
      </w:r>
      <w:r w:rsidR="000208A8" w:rsidRPr="004E70CE">
        <w:t>reduce the risk of carbon leakage</w:t>
      </w:r>
      <w:r w:rsidR="006C765C" w:rsidRPr="004E70CE">
        <w:t xml:space="preserve">. </w:t>
      </w:r>
      <w:r w:rsidR="00230276" w:rsidRPr="004E70CE">
        <w:t>T</w:t>
      </w:r>
      <w:r w:rsidR="00563ACD" w:rsidRPr="004E70CE">
        <w:t xml:space="preserve">his would </w:t>
      </w:r>
      <w:r w:rsidR="00FB2529" w:rsidRPr="004E70CE">
        <w:t xml:space="preserve">be the most desirable outcome from a climate and trade </w:t>
      </w:r>
      <w:r w:rsidR="00D006E4" w:rsidRPr="004E70CE">
        <w:t>perspective</w:t>
      </w:r>
      <w:r w:rsidR="00A33178" w:rsidRPr="004E70CE">
        <w:t>. O</w:t>
      </w:r>
      <w:r w:rsidR="003C66BD" w:rsidRPr="004E70CE">
        <w:t>ngoing</w:t>
      </w:r>
      <w:r w:rsidR="00E55474" w:rsidRPr="004E70CE">
        <w:t xml:space="preserve"> e</w:t>
      </w:r>
      <w:r w:rsidR="00D006E4" w:rsidRPr="004E70CE">
        <w:t xml:space="preserve">ncouragement for </w:t>
      </w:r>
      <w:r w:rsidR="0055362E" w:rsidRPr="004E70CE">
        <w:t>enhanced</w:t>
      </w:r>
      <w:r w:rsidR="00D006E4" w:rsidRPr="004E70CE">
        <w:t xml:space="preserve"> ambition</w:t>
      </w:r>
      <w:r w:rsidR="7358E025" w:rsidRPr="004E70CE">
        <w:t xml:space="preserve">, </w:t>
      </w:r>
      <w:r w:rsidR="611F83C0" w:rsidRPr="004E70CE">
        <w:t xml:space="preserve">including </w:t>
      </w:r>
      <w:r w:rsidR="003C66BD" w:rsidRPr="004E70CE">
        <w:t>as</w:t>
      </w:r>
      <w:r w:rsidR="00D006E4" w:rsidRPr="004E70CE">
        <w:t xml:space="preserve"> part of Australia’s </w:t>
      </w:r>
      <w:r w:rsidR="003C66BD" w:rsidRPr="004E70CE">
        <w:t>existing climate diplomacy</w:t>
      </w:r>
      <w:r w:rsidR="63603E0E" w:rsidRPr="004E70CE">
        <w:t>,</w:t>
      </w:r>
      <w:r w:rsidR="0092669D" w:rsidRPr="004E70CE">
        <w:t xml:space="preserve"> </w:t>
      </w:r>
      <w:r w:rsidR="0B95CE6E" w:rsidRPr="004E70CE">
        <w:t xml:space="preserve">could </w:t>
      </w:r>
      <w:r w:rsidR="0092669D" w:rsidRPr="004E70CE">
        <w:t>help to address carbon leakage</w:t>
      </w:r>
      <w:r w:rsidR="00BD48E2" w:rsidRPr="004E70CE">
        <w:t xml:space="preserve"> in the longer</w:t>
      </w:r>
      <w:r w:rsidR="00580AEC" w:rsidRPr="004E70CE">
        <w:t>-</w:t>
      </w:r>
      <w:r w:rsidR="00BD48E2" w:rsidRPr="004E70CE">
        <w:t xml:space="preserve">term. </w:t>
      </w:r>
      <w:r w:rsidR="00393C0B" w:rsidRPr="004E70CE">
        <w:t>In the short</w:t>
      </w:r>
      <w:r w:rsidR="00266B49" w:rsidRPr="004E70CE">
        <w:t>-</w:t>
      </w:r>
      <w:r w:rsidR="003A2A13" w:rsidRPr="004E70CE">
        <w:t xml:space="preserve"> to medium</w:t>
      </w:r>
      <w:r w:rsidR="00266B49" w:rsidRPr="004E70CE">
        <w:t>-</w:t>
      </w:r>
      <w:r w:rsidR="00393C0B" w:rsidRPr="004E70CE">
        <w:t xml:space="preserve">term, divergence of climate ambition will persist and </w:t>
      </w:r>
      <w:r w:rsidR="00204745" w:rsidRPr="004E70CE">
        <w:t xml:space="preserve">domestic </w:t>
      </w:r>
      <w:r w:rsidR="00393C0B" w:rsidRPr="004E70CE">
        <w:t>policy approaches will</w:t>
      </w:r>
      <w:r w:rsidR="00DA67C4" w:rsidRPr="004E70CE">
        <w:t xml:space="preserve"> </w:t>
      </w:r>
      <w:r w:rsidR="003A2A13" w:rsidRPr="004E70CE">
        <w:t>continue to</w:t>
      </w:r>
      <w:r w:rsidR="00DA67C4" w:rsidRPr="004E70CE">
        <w:t xml:space="preserve"> differ </w:t>
      </w:r>
      <w:r w:rsidR="00204745" w:rsidRPr="004E70CE">
        <w:t>given differing national circumstances</w:t>
      </w:r>
      <w:r w:rsidR="3BFA4186" w:rsidRPr="004E70CE">
        <w:t>, preferences and objectives</w:t>
      </w:r>
      <w:r w:rsidR="00204745" w:rsidRPr="004E70CE">
        <w:t>.</w:t>
      </w:r>
      <w:r w:rsidR="00966824" w:rsidRPr="004E70CE">
        <w:t xml:space="preserve"> Carbon leakage risks will remain whilst </w:t>
      </w:r>
      <w:r w:rsidR="00961E78" w:rsidRPr="004E70CE">
        <w:t xml:space="preserve">this </w:t>
      </w:r>
      <w:r w:rsidR="00966824" w:rsidRPr="004E70CE">
        <w:t>divergence continue</w:t>
      </w:r>
      <w:r w:rsidR="00961E78" w:rsidRPr="004E70CE">
        <w:t>s</w:t>
      </w:r>
      <w:r w:rsidR="00966824" w:rsidRPr="004E70CE">
        <w:t>.</w:t>
      </w:r>
    </w:p>
    <w:p w14:paraId="3140F3ED" w14:textId="77777777" w:rsidR="005568B3" w:rsidRPr="004E70CE" w:rsidRDefault="005568B3" w:rsidP="00A63597">
      <w:pPr>
        <w:pStyle w:val="Heading3"/>
        <w:spacing w:line="276" w:lineRule="auto"/>
        <w:rPr>
          <w:sz w:val="32"/>
          <w:szCs w:val="32"/>
          <w:lang w:val="en-GB"/>
        </w:rPr>
      </w:pPr>
      <w:bookmarkStart w:id="45" w:name="_Toc173997678"/>
      <w:r w:rsidRPr="004E70CE">
        <w:rPr>
          <w:sz w:val="32"/>
          <w:szCs w:val="32"/>
        </w:rPr>
        <w:t xml:space="preserve">International </w:t>
      </w:r>
      <w:r w:rsidR="00FC6D81" w:rsidRPr="004E70CE">
        <w:rPr>
          <w:sz w:val="32"/>
          <w:szCs w:val="32"/>
          <w:lang w:val="en-GB"/>
        </w:rPr>
        <w:t>s</w:t>
      </w:r>
      <w:r w:rsidRPr="004E70CE">
        <w:rPr>
          <w:sz w:val="32"/>
          <w:szCs w:val="32"/>
          <w:lang w:val="en-GB"/>
        </w:rPr>
        <w:t>olutions</w:t>
      </w:r>
      <w:r w:rsidR="00F64634" w:rsidRPr="004E70CE">
        <w:rPr>
          <w:sz w:val="32"/>
          <w:szCs w:val="32"/>
          <w:lang w:val="en-GB"/>
        </w:rPr>
        <w:t xml:space="preserve"> developed through multilateral and plurilateral initiatives</w:t>
      </w:r>
      <w:bookmarkEnd w:id="45"/>
    </w:p>
    <w:p w14:paraId="23DA89AA" w14:textId="77777777" w:rsidR="00334E33" w:rsidRPr="004E70CE" w:rsidRDefault="56CCF120" w:rsidP="00A63597">
      <w:r w:rsidRPr="004E70CE">
        <w:t>I</w:t>
      </w:r>
      <w:r w:rsidR="005568B3" w:rsidRPr="004E70CE">
        <w:t>nternationally</w:t>
      </w:r>
      <w:r w:rsidR="00DB1BC8" w:rsidRPr="004E70CE">
        <w:t xml:space="preserve"> </w:t>
      </w:r>
      <w:r w:rsidR="005568B3" w:rsidRPr="004E70CE">
        <w:t xml:space="preserve">agreed solutions </w:t>
      </w:r>
      <w:r w:rsidR="00DB1BC8" w:rsidRPr="004E70CE">
        <w:t>developed through multilateral and plurilateral initiatives</w:t>
      </w:r>
      <w:r w:rsidR="005568B3" w:rsidRPr="004E70CE">
        <w:t xml:space="preserve"> to </w:t>
      </w:r>
      <w:r w:rsidR="00A170CE" w:rsidRPr="004E70CE">
        <w:t>address</w:t>
      </w:r>
      <w:r w:rsidR="005568B3" w:rsidRPr="004E70CE">
        <w:t xml:space="preserve"> carbon leakage risks</w:t>
      </w:r>
      <w:r w:rsidR="004B5E0C" w:rsidRPr="004E70CE">
        <w:t xml:space="preserve"> would be</w:t>
      </w:r>
      <w:r w:rsidR="00D867A0" w:rsidRPr="004E70CE">
        <w:t xml:space="preserve"> ideal</w:t>
      </w:r>
      <w:r w:rsidR="005568B3" w:rsidRPr="004E70CE">
        <w:t xml:space="preserve">. </w:t>
      </w:r>
      <w:r w:rsidR="00100766" w:rsidRPr="004E70CE">
        <w:t>For example, internationally agreed</w:t>
      </w:r>
      <w:r w:rsidR="0064329A" w:rsidRPr="004E70CE">
        <w:t xml:space="preserve"> standards and</w:t>
      </w:r>
      <w:r w:rsidR="00100766" w:rsidRPr="004E70CE">
        <w:t xml:space="preserve"> </w:t>
      </w:r>
      <w:r w:rsidR="005D2BF8" w:rsidRPr="004E70CE">
        <w:t>approach</w:t>
      </w:r>
      <w:r w:rsidR="0064329A" w:rsidRPr="004E70CE">
        <w:t>es</w:t>
      </w:r>
      <w:r w:rsidR="005D2BF8" w:rsidRPr="004E70CE">
        <w:t xml:space="preserve"> for border carbon adjustments.</w:t>
      </w:r>
      <w:r w:rsidR="00A170CE" w:rsidRPr="004E70CE">
        <w:t xml:space="preserve"> </w:t>
      </w:r>
      <w:r w:rsidR="005568B3" w:rsidRPr="004E70CE">
        <w:t xml:space="preserve">These types of solutions </w:t>
      </w:r>
      <w:r w:rsidR="00E66F7F" w:rsidRPr="004E70CE">
        <w:t>c</w:t>
      </w:r>
      <w:r w:rsidR="00F65A43" w:rsidRPr="004E70CE">
        <w:t>ould</w:t>
      </w:r>
      <w:r w:rsidR="005568B3" w:rsidRPr="004E70CE">
        <w:t xml:space="preserve"> support policy </w:t>
      </w:r>
      <w:r w:rsidR="00772049" w:rsidRPr="004E70CE">
        <w:t xml:space="preserve">effectiveness and </w:t>
      </w:r>
      <w:r w:rsidR="00820B7E" w:rsidRPr="004E70CE">
        <w:t>efficiency</w:t>
      </w:r>
      <w:r w:rsidR="005568B3" w:rsidRPr="004E70CE">
        <w:t>, minimise transaction costs, balance different national perspectives</w:t>
      </w:r>
      <w:r w:rsidR="000101C8" w:rsidRPr="004E70CE">
        <w:t xml:space="preserve"> </w:t>
      </w:r>
      <w:r w:rsidR="005568B3" w:rsidRPr="004E70CE">
        <w:t xml:space="preserve">and </w:t>
      </w:r>
      <w:r w:rsidR="002A672F" w:rsidRPr="004E70CE">
        <w:t xml:space="preserve">reduce tensions </w:t>
      </w:r>
      <w:r w:rsidR="004E4508" w:rsidRPr="004E70CE">
        <w:t xml:space="preserve">between </w:t>
      </w:r>
      <w:r w:rsidR="00EF15C4" w:rsidRPr="004E70CE">
        <w:t xml:space="preserve">different jurisdictions </w:t>
      </w:r>
      <w:r w:rsidR="000344BB" w:rsidRPr="004E70CE">
        <w:t>based on</w:t>
      </w:r>
      <w:r w:rsidR="00E66F7F" w:rsidRPr="004E70CE">
        <w:t xml:space="preserve"> different</w:t>
      </w:r>
      <w:r w:rsidR="000344BB" w:rsidRPr="004E70CE">
        <w:t xml:space="preserve"> </w:t>
      </w:r>
      <w:r w:rsidR="00E66F7F" w:rsidRPr="004E70CE">
        <w:t xml:space="preserve">perspectives </w:t>
      </w:r>
      <w:r w:rsidR="000344BB" w:rsidRPr="004E70CE">
        <w:t xml:space="preserve">of </w:t>
      </w:r>
      <w:r w:rsidR="00B11827" w:rsidRPr="004E70CE">
        <w:t>unilateral measures.</w:t>
      </w:r>
      <w:r w:rsidR="005568B3" w:rsidRPr="004E70CE">
        <w:t xml:space="preserve"> </w:t>
      </w:r>
    </w:p>
    <w:p w14:paraId="11E00BF0" w14:textId="77777777" w:rsidR="00EC6306" w:rsidRPr="004E70CE" w:rsidRDefault="46331F70" w:rsidP="00A63597">
      <w:r w:rsidRPr="004E70CE">
        <w:lastRenderedPageBreak/>
        <w:t xml:space="preserve">Efforts underway in existing bodies, for example </w:t>
      </w:r>
      <w:r w:rsidR="084FA897" w:rsidRPr="004E70CE">
        <w:t>at</w:t>
      </w:r>
      <w:r w:rsidRPr="004E70CE">
        <w:t xml:space="preserve"> the </w:t>
      </w:r>
      <w:r w:rsidR="2566DAC9" w:rsidRPr="004E70CE">
        <w:t>WTO, the OECD</w:t>
      </w:r>
      <w:r w:rsidRPr="004E70CE">
        <w:t xml:space="preserve"> and the Climate Club are building some momentum towards these goals. Sectoral or narrower plurilateral cooperative efforts could also lead to effective and efficient solutions and </w:t>
      </w:r>
      <w:r w:rsidR="2566DAC9" w:rsidRPr="004E70CE">
        <w:t xml:space="preserve">are </w:t>
      </w:r>
      <w:r w:rsidR="20EF6849" w:rsidRPr="004E70CE">
        <w:t>inherently</w:t>
      </w:r>
      <w:r w:rsidR="2566DAC9" w:rsidRPr="004E70CE">
        <w:t xml:space="preserve"> </w:t>
      </w:r>
      <w:r w:rsidRPr="004E70CE">
        <w:t xml:space="preserve">less complex than </w:t>
      </w:r>
      <w:r w:rsidR="750A6B7C" w:rsidRPr="004E70CE">
        <w:t>initiatives</w:t>
      </w:r>
      <w:r w:rsidRPr="004E70CE">
        <w:t xml:space="preserve"> with a wider </w:t>
      </w:r>
      <w:r w:rsidR="35B33542" w:rsidRPr="004E70CE">
        <w:t xml:space="preserve">sectoral </w:t>
      </w:r>
      <w:r w:rsidRPr="004E70CE">
        <w:t>scope or broader participation.</w:t>
      </w:r>
      <w:r w:rsidR="00FF7138" w:rsidRPr="004E70CE">
        <w:t xml:space="preserve"> </w:t>
      </w:r>
      <w:r w:rsidR="00EC6306" w:rsidRPr="004E70CE">
        <w:t xml:space="preserve">An example of these types of agreements is the Global Arrangement on Sustainable Steel and Aluminium, currently under negotiation between the US and the EU. </w:t>
      </w:r>
    </w:p>
    <w:p w14:paraId="5B36AD1C" w14:textId="77777777" w:rsidR="005568B3" w:rsidRPr="004E70CE" w:rsidRDefault="00FF7138" w:rsidP="00A63597">
      <w:r w:rsidRPr="004E70CE">
        <w:t>The initiatives focused on carbon leakage are at an early stage. This presents an opportunity for Australia to contribute to positive international policy innovation in a manner that supports the international system and can encourage the benefits of harmonious policy responses.</w:t>
      </w:r>
    </w:p>
    <w:p w14:paraId="5B9BEA7B" w14:textId="77777777" w:rsidR="00911690" w:rsidRPr="004E70CE" w:rsidRDefault="197DEB82" w:rsidP="00A63597">
      <w:r w:rsidRPr="004E70CE">
        <w:t>As more countries adopt or strengthen climate policies covering industrial production, including through market instruments, c</w:t>
      </w:r>
      <w:r w:rsidR="0037765A" w:rsidRPr="004E70CE">
        <w:t xml:space="preserve">arbon leakage policy </w:t>
      </w:r>
      <w:r w:rsidR="00320B8B" w:rsidRPr="004E70CE">
        <w:t xml:space="preserve">is likely to </w:t>
      </w:r>
      <w:r w:rsidR="0037765A" w:rsidRPr="004E70CE">
        <w:t xml:space="preserve">become a more prominent feature of multilateral and plurilateral discussions. </w:t>
      </w:r>
    </w:p>
    <w:p w14:paraId="077F4C53" w14:textId="77777777" w:rsidR="005568B3" w:rsidRPr="004E70CE" w:rsidRDefault="009A610D" w:rsidP="00A63597">
      <w:pPr>
        <w:rPr>
          <w:b/>
        </w:rPr>
      </w:pPr>
      <w:r w:rsidRPr="004E70CE">
        <w:t xml:space="preserve">Building </w:t>
      </w:r>
      <w:r w:rsidR="00EB4015" w:rsidRPr="004E70CE">
        <w:t xml:space="preserve">consensus </w:t>
      </w:r>
      <w:r w:rsidR="34088768" w:rsidRPr="004E70CE">
        <w:t xml:space="preserve">or </w:t>
      </w:r>
      <w:r w:rsidR="00C106B9" w:rsidRPr="004E70CE">
        <w:t>broad-based</w:t>
      </w:r>
      <w:r w:rsidR="34088768" w:rsidRPr="004E70CE">
        <w:t xml:space="preserve"> agreement</w:t>
      </w:r>
      <w:r w:rsidR="00EB4015" w:rsidRPr="004E70CE">
        <w:t xml:space="preserve"> on international </w:t>
      </w:r>
      <w:r w:rsidR="00C712D0" w:rsidRPr="004E70CE">
        <w:t>solutions</w:t>
      </w:r>
      <w:r w:rsidR="00EB4015" w:rsidRPr="004E70CE">
        <w:t xml:space="preserve"> to address carbon leakage</w:t>
      </w:r>
      <w:r w:rsidR="00C712D0" w:rsidRPr="004E70CE">
        <w:t xml:space="preserve"> will take time. Whilst some</w:t>
      </w:r>
      <w:r w:rsidR="0020232C" w:rsidRPr="004E70CE">
        <w:t xml:space="preserve"> of </w:t>
      </w:r>
      <w:r w:rsidR="004054FF" w:rsidRPr="004E70CE">
        <w:t xml:space="preserve">these initiatives </w:t>
      </w:r>
      <w:r w:rsidR="0020009F" w:rsidRPr="004E70CE">
        <w:t>underway</w:t>
      </w:r>
      <w:r w:rsidR="00C712D0" w:rsidRPr="004E70CE">
        <w:t xml:space="preserve"> </w:t>
      </w:r>
      <w:r w:rsidR="00E84183" w:rsidRPr="004E70CE">
        <w:t>are prospective</w:t>
      </w:r>
      <w:r w:rsidR="005176F0" w:rsidRPr="004E70CE">
        <w:t xml:space="preserve"> for future cooperation</w:t>
      </w:r>
      <w:r w:rsidR="00E84183" w:rsidRPr="004E70CE">
        <w:t>, in th</w:t>
      </w:r>
      <w:r w:rsidR="00C712D0" w:rsidRPr="004E70CE">
        <w:t>e short</w:t>
      </w:r>
      <w:r w:rsidR="32C63A9A" w:rsidRPr="004E70CE">
        <w:t xml:space="preserve"> to medium</w:t>
      </w:r>
      <w:r w:rsidR="00C712D0" w:rsidRPr="004E70CE">
        <w:t>-term</w:t>
      </w:r>
      <w:r w:rsidR="005176F0" w:rsidRPr="004E70CE">
        <w:t xml:space="preserve"> they </w:t>
      </w:r>
      <w:r w:rsidR="004054FF" w:rsidRPr="004E70CE">
        <w:t>will not replace the need for domestic action to address carbon leakage risk</w:t>
      </w:r>
      <w:r w:rsidR="004054FF" w:rsidRPr="004E70CE">
        <w:rPr>
          <w:b/>
          <w:bCs/>
        </w:rPr>
        <w:t>.</w:t>
      </w:r>
    </w:p>
    <w:p w14:paraId="399FC540" w14:textId="77777777" w:rsidR="00C340D7" w:rsidRPr="004E70CE" w:rsidRDefault="00167D60" w:rsidP="00A63597">
      <w:pPr>
        <w:pStyle w:val="Heading3"/>
        <w:spacing w:line="276" w:lineRule="auto"/>
        <w:rPr>
          <w:sz w:val="32"/>
          <w:szCs w:val="32"/>
          <w:lang w:val="en-GB"/>
        </w:rPr>
      </w:pPr>
      <w:bookmarkStart w:id="46" w:name="_Toc173997679"/>
      <w:r w:rsidRPr="004E70CE">
        <w:rPr>
          <w:sz w:val="32"/>
          <w:szCs w:val="32"/>
        </w:rPr>
        <w:t xml:space="preserve">Multilateral and plurilateral </w:t>
      </w:r>
      <w:r w:rsidR="00C340D7" w:rsidRPr="004E70CE">
        <w:rPr>
          <w:sz w:val="32"/>
          <w:szCs w:val="32"/>
          <w:lang w:val="en-GB"/>
        </w:rPr>
        <w:t>cooperation to support domestic policy implementation</w:t>
      </w:r>
      <w:bookmarkEnd w:id="46"/>
    </w:p>
    <w:p w14:paraId="415EEB76" w14:textId="77777777" w:rsidR="00325487" w:rsidRPr="004E70CE" w:rsidRDefault="005568B3" w:rsidP="00A63597">
      <w:r w:rsidRPr="004E70CE">
        <w:t xml:space="preserve">Multilateral and plurilateral initiatives </w:t>
      </w:r>
      <w:r w:rsidR="007759EB" w:rsidRPr="004E70CE">
        <w:t>could</w:t>
      </w:r>
      <w:r w:rsidRPr="004E70CE">
        <w:t xml:space="preserve"> play a more immediate role by contributing to the development of commonly</w:t>
      </w:r>
      <w:r w:rsidR="00E17E7F" w:rsidRPr="004E70CE">
        <w:t xml:space="preserve"> </w:t>
      </w:r>
      <w:r w:rsidRPr="004E70CE">
        <w:t xml:space="preserve">accepted and interoperable policy approaches </w:t>
      </w:r>
      <w:r w:rsidR="00CB1548" w:rsidRPr="004E70CE">
        <w:t>that</w:t>
      </w:r>
      <w:r w:rsidRPr="004E70CE">
        <w:t xml:space="preserve"> </w:t>
      </w:r>
      <w:r w:rsidR="00D322D8" w:rsidRPr="004E70CE">
        <w:t>could</w:t>
      </w:r>
      <w:r w:rsidR="0045459D" w:rsidRPr="004E70CE">
        <w:t xml:space="preserve"> support </w:t>
      </w:r>
      <w:r w:rsidR="00D322D8" w:rsidRPr="004E70CE">
        <w:t>effective and efficient</w:t>
      </w:r>
      <w:r w:rsidR="0045459D" w:rsidRPr="004E70CE">
        <w:t xml:space="preserve"> implementation of domestic </w:t>
      </w:r>
      <w:r w:rsidRPr="004E70CE">
        <w:t>policies, particularly border carbon adjustment</w:t>
      </w:r>
      <w:r w:rsidR="00F62F21" w:rsidRPr="004E70CE">
        <w:t>s</w:t>
      </w:r>
      <w:r w:rsidRPr="004E70CE">
        <w:t>.</w:t>
      </w:r>
    </w:p>
    <w:p w14:paraId="717BE515" w14:textId="77777777" w:rsidR="00B36B70" w:rsidRPr="004E70CE" w:rsidRDefault="003B5879" w:rsidP="00A63597">
      <w:r w:rsidRPr="004E70CE">
        <w:t>Multilateral and plurilateral initiatives</w:t>
      </w:r>
      <w:r w:rsidR="004306A2" w:rsidRPr="004E70CE">
        <w:t xml:space="preserve">, such as the </w:t>
      </w:r>
      <w:r w:rsidR="003A5D3D" w:rsidRPr="004E70CE">
        <w:t>Inclusive Forum on Carbon Mitigation Approaches</w:t>
      </w:r>
      <w:r w:rsidR="004306A2" w:rsidRPr="004E70CE">
        <w:t xml:space="preserve"> and Climate Club, are advancing </w:t>
      </w:r>
      <w:r w:rsidR="00885C2D" w:rsidRPr="004E70CE">
        <w:t xml:space="preserve">several streams of work that could contribute practically to the implementation of interoperable and more harmonised border carbon adjustments. </w:t>
      </w:r>
      <w:r w:rsidR="00CD083C" w:rsidRPr="004E70CE">
        <w:t xml:space="preserve">In particular, efforts towards common emissions accounting standards, </w:t>
      </w:r>
      <w:r w:rsidR="00E55C18" w:rsidRPr="004E70CE">
        <w:t>agreed default emissions intensities and</w:t>
      </w:r>
      <w:r w:rsidR="00067A51" w:rsidRPr="004E70CE">
        <w:t xml:space="preserve"> to</w:t>
      </w:r>
      <w:r w:rsidR="00E55C18" w:rsidRPr="004E70CE">
        <w:t xml:space="preserve"> independently asses</w:t>
      </w:r>
      <w:r w:rsidR="001529A1" w:rsidRPr="004E70CE">
        <w:t>s</w:t>
      </w:r>
      <w:r w:rsidR="00B74B8F" w:rsidRPr="004E70CE">
        <w:t xml:space="preserve"> </w:t>
      </w:r>
      <w:r w:rsidR="0066335F" w:rsidRPr="004E70CE">
        <w:t xml:space="preserve">the </w:t>
      </w:r>
      <w:r w:rsidR="020DDEBC" w:rsidRPr="004E70CE">
        <w:t>effect or</w:t>
      </w:r>
      <w:r w:rsidR="0066335F" w:rsidRPr="004E70CE">
        <w:t xml:space="preserve"> </w:t>
      </w:r>
      <w:r w:rsidR="00B74B8F" w:rsidRPr="004E70CE">
        <w:t>equivalence of</w:t>
      </w:r>
      <w:r w:rsidR="001529A1" w:rsidRPr="004E70CE">
        <w:t xml:space="preserve"> </w:t>
      </w:r>
      <w:r w:rsidR="0066335F" w:rsidRPr="004E70CE">
        <w:t>different</w:t>
      </w:r>
      <w:r w:rsidR="001529A1" w:rsidRPr="004E70CE">
        <w:t xml:space="preserve"> </w:t>
      </w:r>
      <w:r w:rsidR="00C8600F" w:rsidRPr="004E70CE">
        <w:t xml:space="preserve">carbon pricing policies </w:t>
      </w:r>
      <w:r w:rsidR="00F718D0" w:rsidRPr="004E70CE">
        <w:t xml:space="preserve">could contribute significantly to better border </w:t>
      </w:r>
      <w:r w:rsidR="00F612C4" w:rsidRPr="004E70CE">
        <w:rPr>
          <w:rFonts w:eastAsia="Segoe UI" w:cstheme="minorHAnsi"/>
        </w:rPr>
        <w:t xml:space="preserve">carbon </w:t>
      </w:r>
      <w:r w:rsidR="00F718D0" w:rsidRPr="004E70CE">
        <w:t xml:space="preserve">adjustment policies. </w:t>
      </w:r>
    </w:p>
    <w:p w14:paraId="391040F4" w14:textId="77777777" w:rsidR="003B5879" w:rsidRPr="004E70CE" w:rsidRDefault="004A208C" w:rsidP="00A63597">
      <w:r w:rsidRPr="004E70CE">
        <w:t xml:space="preserve">Discussions underway at the WTO </w:t>
      </w:r>
      <w:r w:rsidR="00575E9F" w:rsidRPr="004E70CE">
        <w:t>(at the Committee on Trade and Environment and under the working group on trade-related climate measures of the Trade and Environmental Sustainability Structured Discussions)</w:t>
      </w:r>
      <w:r w:rsidR="00D77BBB" w:rsidRPr="004E70CE">
        <w:t xml:space="preserve"> </w:t>
      </w:r>
      <w:r w:rsidR="008D487A" w:rsidRPr="004E70CE">
        <w:t>have focused on the need for greater interoperability and coherence of measures</w:t>
      </w:r>
      <w:r w:rsidR="00186E43" w:rsidRPr="004E70CE">
        <w:t>, including on emissions measurement and verification.</w:t>
      </w:r>
    </w:p>
    <w:p w14:paraId="3F98A0E4" w14:textId="248613E4" w:rsidR="00C30C8F" w:rsidRPr="004E70CE" w:rsidRDefault="00C068B4" w:rsidP="00A63597">
      <w:r w:rsidRPr="004E70CE">
        <w:t>International</w:t>
      </w:r>
      <w:r w:rsidR="000C6645" w:rsidRPr="004E70CE">
        <w:t xml:space="preserve"> and domestic work on </w:t>
      </w:r>
      <w:r w:rsidR="00996F8E">
        <w:t xml:space="preserve">a </w:t>
      </w:r>
      <w:r w:rsidRPr="004E70CE">
        <w:t xml:space="preserve">sustainable finance taxonomy may also present opportunities </w:t>
      </w:r>
      <w:r w:rsidR="00D2255E" w:rsidRPr="004E70CE">
        <w:t>when</w:t>
      </w:r>
      <w:r w:rsidR="00AD20D8" w:rsidRPr="004E70CE">
        <w:t xml:space="preserve"> </w:t>
      </w:r>
      <w:r w:rsidR="00E00F50" w:rsidRPr="004E70CE">
        <w:t xml:space="preserve">developing </w:t>
      </w:r>
      <w:r w:rsidR="00A4009E" w:rsidRPr="004E70CE">
        <w:t>domestic carbon leakage policies. In November 2023</w:t>
      </w:r>
      <w:r w:rsidR="001935FF" w:rsidRPr="004E70CE">
        <w:t>, the Australian</w:t>
      </w:r>
      <w:r w:rsidR="00A4009E" w:rsidRPr="004E70CE">
        <w:t xml:space="preserve"> Treasury published the Sustainable Finance Strategy consultation paper</w:t>
      </w:r>
      <w:r w:rsidR="002A65D1" w:rsidRPr="004E70CE">
        <w:t xml:space="preserve">, </w:t>
      </w:r>
      <w:r w:rsidR="001935FF" w:rsidRPr="004E70CE">
        <w:t>which among other issues suggests improving</w:t>
      </w:r>
      <w:r w:rsidR="00390132" w:rsidRPr="004E70CE">
        <w:t xml:space="preserve"> transparency on climate and sustainability through access to credible, accurate and actionable information</w:t>
      </w:r>
      <w:r w:rsidR="003C4104" w:rsidRPr="004E70CE">
        <w:t xml:space="preserve">. </w:t>
      </w:r>
      <w:r w:rsidR="007D3E65" w:rsidRPr="004E70CE">
        <w:t>The strategy proposes continued support of the development of consistent global standards</w:t>
      </w:r>
      <w:r w:rsidR="000C2E26" w:rsidRPr="004E70CE">
        <w:t xml:space="preserve"> and a scaled-up focus on bilateral and regional mechanisms to promote knowledge sharing, capability development and interoperability.</w:t>
      </w:r>
      <w:r w:rsidR="002A65D1" w:rsidRPr="004E70CE">
        <w:t xml:space="preserve"> </w:t>
      </w:r>
    </w:p>
    <w:p w14:paraId="5D6112E8" w14:textId="4D4D1A6D" w:rsidR="003B5879" w:rsidRPr="004E70CE" w:rsidRDefault="003F6CB8" w:rsidP="00A63597">
      <w:r w:rsidRPr="004E70CE">
        <w:lastRenderedPageBreak/>
        <w:t xml:space="preserve">The Review </w:t>
      </w:r>
      <w:r w:rsidR="00607A73" w:rsidRPr="004E70CE">
        <w:t xml:space="preserve">has </w:t>
      </w:r>
      <w:r w:rsidR="007E55CB" w:rsidRPr="004E70CE">
        <w:t xml:space="preserve">indicated how a border carbon adjustment in Australia’s context could </w:t>
      </w:r>
      <w:r w:rsidR="006577EA" w:rsidRPr="004E70CE">
        <w:t xml:space="preserve">rely on such tools in </w:t>
      </w:r>
      <w:r w:rsidR="005619E4">
        <w:t xml:space="preserve">the Appendix </w:t>
      </w:r>
      <w:r w:rsidR="006577EA" w:rsidRPr="004E70CE">
        <w:t>(</w:t>
      </w:r>
      <w:r w:rsidR="002B70FD" w:rsidRPr="004E70CE">
        <w:rPr>
          <w:iCs/>
        </w:rPr>
        <w:t xml:space="preserve">Box </w:t>
      </w:r>
      <w:r w:rsidR="00474A2D">
        <w:rPr>
          <w:iCs/>
        </w:rPr>
        <w:t>7</w:t>
      </w:r>
      <w:r w:rsidR="006577EA" w:rsidRPr="004E70CE">
        <w:rPr>
          <w:i/>
          <w:iCs/>
        </w:rPr>
        <w:t>)</w:t>
      </w:r>
      <w:r w:rsidR="00336A7C" w:rsidRPr="004E70CE">
        <w:rPr>
          <w:i/>
          <w:iCs/>
        </w:rPr>
        <w:t>.</w:t>
      </w:r>
      <w:r w:rsidR="00AC70FF" w:rsidRPr="004E70CE">
        <w:rPr>
          <w:i/>
          <w:iCs/>
        </w:rPr>
        <w:t xml:space="preserve"> </w:t>
      </w:r>
      <w:r w:rsidR="00AC70FF" w:rsidRPr="004E70CE">
        <w:t>Generally speaking, any Australian border carbon adjustment would rely on internationally agreed standards and guidelines, where relevant and appropriate.</w:t>
      </w:r>
    </w:p>
    <w:p w14:paraId="701F4471" w14:textId="77777777" w:rsidR="005568B3" w:rsidRPr="004E70CE" w:rsidRDefault="704F6C47" w:rsidP="00A63597">
      <w:r w:rsidRPr="004E70CE">
        <w:t>Using</w:t>
      </w:r>
      <w:r w:rsidR="00084BC1" w:rsidRPr="004E70CE">
        <w:t xml:space="preserve"> </w:t>
      </w:r>
      <w:r w:rsidR="0059394D" w:rsidRPr="004E70CE">
        <w:t>multilaterally and plurilaterally developed tools</w:t>
      </w:r>
      <w:r w:rsidR="0821EA14" w:rsidRPr="004E70CE">
        <w:t xml:space="preserve"> or assessments by plurilateral initiatives</w:t>
      </w:r>
      <w:r w:rsidR="0059394D" w:rsidRPr="004E70CE">
        <w:t xml:space="preserve"> to support implementation of a border carbon adjustment can reduce international</w:t>
      </w:r>
      <w:r w:rsidR="005568B3" w:rsidRPr="004E70CE">
        <w:t xml:space="preserve"> policy divergence and fragmentation, </w:t>
      </w:r>
      <w:r w:rsidR="0059394D" w:rsidRPr="004E70CE">
        <w:t>minimise</w:t>
      </w:r>
      <w:r w:rsidR="005568B3" w:rsidRPr="004E70CE">
        <w:t xml:space="preserve"> transaction costs, </w:t>
      </w:r>
      <w:r w:rsidR="0059394D" w:rsidRPr="004E70CE">
        <w:t>create</w:t>
      </w:r>
      <w:r w:rsidR="005568B3" w:rsidRPr="004E70CE">
        <w:t xml:space="preserve"> business certainty, enhance policy effectiveness and contribute to the development of best practice.</w:t>
      </w:r>
    </w:p>
    <w:p w14:paraId="7A918E0C" w14:textId="48B79809" w:rsidR="004D67F3" w:rsidRPr="004E70CE" w:rsidRDefault="00A91941" w:rsidP="00A63597">
      <w:r w:rsidRPr="004E70CE">
        <w:t>Given Australia’s</w:t>
      </w:r>
      <w:r w:rsidR="00DE187E" w:rsidRPr="004E70CE">
        <w:t xml:space="preserve"> interests in this </w:t>
      </w:r>
      <w:r w:rsidR="00C16593" w:rsidRPr="004E70CE">
        <w:t>carbon leakage policy,</w:t>
      </w:r>
      <w:r w:rsidR="007C4A68" w:rsidRPr="004E70CE">
        <w:t xml:space="preserve"> there </w:t>
      </w:r>
      <w:r w:rsidR="00B138C9" w:rsidRPr="004E70CE">
        <w:t xml:space="preserve">could be </w:t>
      </w:r>
      <w:r w:rsidR="007C4A68" w:rsidRPr="004E70CE">
        <w:t xml:space="preserve">value in deepening </w:t>
      </w:r>
      <w:r w:rsidR="00C16593" w:rsidRPr="004E70CE">
        <w:t xml:space="preserve">collaboration with like-minded trade and climate partners. </w:t>
      </w:r>
      <w:r w:rsidR="00EB1425" w:rsidRPr="004E70CE">
        <w:t>T</w:t>
      </w:r>
      <w:r w:rsidR="00C16593" w:rsidRPr="004E70CE">
        <w:t>he Climate Club and</w:t>
      </w:r>
      <w:r w:rsidR="004D358A" w:rsidRPr="004E70CE">
        <w:t xml:space="preserve"> the</w:t>
      </w:r>
      <w:r w:rsidR="00C16593" w:rsidRPr="004E70CE">
        <w:t xml:space="preserve"> I</w:t>
      </w:r>
      <w:r w:rsidR="00FC3FD3" w:rsidRPr="004E70CE">
        <w:t xml:space="preserve">nclusive </w:t>
      </w:r>
      <w:r w:rsidR="00C16593" w:rsidRPr="004E70CE">
        <w:t>F</w:t>
      </w:r>
      <w:r w:rsidR="00FC3FD3" w:rsidRPr="004E70CE">
        <w:t xml:space="preserve">orum on </w:t>
      </w:r>
      <w:r w:rsidR="00C16593" w:rsidRPr="004E70CE">
        <w:t>C</w:t>
      </w:r>
      <w:r w:rsidR="00FC3FD3" w:rsidRPr="004E70CE">
        <w:t xml:space="preserve">arbon </w:t>
      </w:r>
      <w:r w:rsidR="00C16593" w:rsidRPr="004E70CE">
        <w:t>M</w:t>
      </w:r>
      <w:r w:rsidR="00FC3FD3" w:rsidRPr="004E70CE">
        <w:t xml:space="preserve">itigation </w:t>
      </w:r>
      <w:r w:rsidR="00C16593" w:rsidRPr="004E70CE">
        <w:t>A</w:t>
      </w:r>
      <w:r w:rsidR="00FC3FD3" w:rsidRPr="004E70CE">
        <w:t>pproaches</w:t>
      </w:r>
      <w:r w:rsidR="00C16593" w:rsidRPr="004E70CE">
        <w:t xml:space="preserve"> represent some of the most advanced discussions</w:t>
      </w:r>
      <w:r w:rsidR="00EE11C9" w:rsidRPr="004E70CE">
        <w:t xml:space="preserve"> and are suitable forums</w:t>
      </w:r>
      <w:r w:rsidR="003324F3" w:rsidRPr="004E70CE">
        <w:t xml:space="preserve"> </w:t>
      </w:r>
      <w:r w:rsidR="00A74BF1" w:rsidRPr="004E70CE">
        <w:t>where</w:t>
      </w:r>
      <w:r w:rsidR="003324F3" w:rsidRPr="004E70CE">
        <w:t xml:space="preserve"> collaboration</w:t>
      </w:r>
      <w:r w:rsidR="00A74BF1" w:rsidRPr="004E70CE">
        <w:t xml:space="preserve"> could occur</w:t>
      </w:r>
      <w:r w:rsidR="00C17B9F" w:rsidRPr="004E70CE">
        <w:t>.</w:t>
      </w:r>
      <w:r w:rsidR="00C16593" w:rsidRPr="004E70CE">
        <w:t xml:space="preserve"> </w:t>
      </w:r>
      <w:r w:rsidR="00A74BF1" w:rsidRPr="004E70CE">
        <w:t xml:space="preserve">This work </w:t>
      </w:r>
      <w:r w:rsidR="00C16593" w:rsidRPr="004E70CE">
        <w:t>could</w:t>
      </w:r>
      <w:r w:rsidR="00A74BF1" w:rsidRPr="004E70CE">
        <w:t xml:space="preserve"> also be</w:t>
      </w:r>
      <w:r w:rsidR="00C16593" w:rsidRPr="004E70CE">
        <w:t xml:space="preserve"> advanced in other </w:t>
      </w:r>
      <w:r w:rsidR="00EE11C9" w:rsidRPr="004E70CE">
        <w:t xml:space="preserve">multilateral </w:t>
      </w:r>
      <w:r w:rsidR="00C16593" w:rsidRPr="004E70CE">
        <w:t>architecture</w:t>
      </w:r>
      <w:r w:rsidR="00EE11C9" w:rsidRPr="004E70CE">
        <w:t>s</w:t>
      </w:r>
      <w:r w:rsidR="005328D1" w:rsidRPr="004E70CE">
        <w:t xml:space="preserve">, </w:t>
      </w:r>
      <w:r w:rsidR="00EE11C9" w:rsidRPr="004E70CE">
        <w:t xml:space="preserve">such as </w:t>
      </w:r>
      <w:r w:rsidR="00A44C52" w:rsidRPr="004E70CE">
        <w:t>the WTO and the UNFCCC, or</w:t>
      </w:r>
      <w:r w:rsidR="005328D1" w:rsidRPr="004E70CE">
        <w:t xml:space="preserve"> </w:t>
      </w:r>
      <w:r w:rsidR="00A74BF1" w:rsidRPr="004E70CE">
        <w:t xml:space="preserve">regional groupings such as the Asia Pacific Economic Cooperation forum </w:t>
      </w:r>
      <w:r w:rsidR="005328D1" w:rsidRPr="004E70CE">
        <w:t xml:space="preserve">or </w:t>
      </w:r>
      <w:r w:rsidR="00EA77C7" w:rsidRPr="004E70CE">
        <w:t>the</w:t>
      </w:r>
      <w:r w:rsidR="005328D1" w:rsidRPr="004E70CE">
        <w:t xml:space="preserve"> </w:t>
      </w:r>
      <w:r w:rsidR="00A74BF1" w:rsidRPr="004E70CE">
        <w:t>Indo-Pacific Economic Framework, or through small</w:t>
      </w:r>
      <w:r w:rsidR="00E80B05" w:rsidRPr="004E70CE">
        <w:t xml:space="preserve"> </w:t>
      </w:r>
      <w:r w:rsidR="00A74BF1" w:rsidRPr="004E70CE">
        <w:t>groups or under bilateral dialogues, such as the Australia-United States Climate, Critical Minerals and Clean Energy Transformation Compact</w:t>
      </w:r>
      <w:r w:rsidR="00C16593" w:rsidRPr="004E70CE">
        <w:t>.</w:t>
      </w:r>
      <w:r w:rsidR="00EA77C7" w:rsidRPr="004E70CE">
        <w:t xml:space="preserve"> The work could also take place</w:t>
      </w:r>
      <w:r w:rsidR="00A74BF1" w:rsidRPr="004E70CE">
        <w:t xml:space="preserve"> in </w:t>
      </w:r>
      <w:r w:rsidR="00EA77C7" w:rsidRPr="004E70CE">
        <w:t>new bodies</w:t>
      </w:r>
      <w:r w:rsidR="00E80B05" w:rsidRPr="004E70CE">
        <w:t>.</w:t>
      </w:r>
      <w:r w:rsidR="00A028B7" w:rsidRPr="004E70CE">
        <w:t xml:space="preserve"> </w:t>
      </w:r>
      <w:r w:rsidR="00E80B05" w:rsidRPr="004E70CE">
        <w:t>F</w:t>
      </w:r>
      <w:r w:rsidR="00320B1F" w:rsidRPr="004E70CE">
        <w:t>or example,</w:t>
      </w:r>
      <w:r w:rsidR="00A660EC" w:rsidRPr="004E70CE">
        <w:t xml:space="preserve"> t</w:t>
      </w:r>
      <w:r w:rsidR="00C16593" w:rsidRPr="004E70CE">
        <w:t xml:space="preserve">here </w:t>
      </w:r>
      <w:r w:rsidR="003324F3" w:rsidRPr="004E70CE">
        <w:t xml:space="preserve">could </w:t>
      </w:r>
      <w:r w:rsidR="00C16593" w:rsidRPr="004E70CE">
        <w:t xml:space="preserve">be </w:t>
      </w:r>
      <w:r w:rsidR="00663E76" w:rsidRPr="004E70CE">
        <w:t xml:space="preserve">utility in </w:t>
      </w:r>
      <w:r w:rsidR="1A0644CE" w:rsidRPr="004E70CE">
        <w:t>creating</w:t>
      </w:r>
      <w:r w:rsidR="00663E76" w:rsidRPr="004E70CE">
        <w:t xml:space="preserve"> </w:t>
      </w:r>
      <w:r w:rsidR="00C16593" w:rsidRPr="004E70CE">
        <w:t>a</w:t>
      </w:r>
      <w:r w:rsidR="00A028B7" w:rsidRPr="004E70CE">
        <w:t xml:space="preserve"> new</w:t>
      </w:r>
      <w:r w:rsidR="00C16593" w:rsidRPr="004E70CE">
        <w:t xml:space="preserve"> initiative of like</w:t>
      </w:r>
      <w:r w:rsidR="00E80B05" w:rsidRPr="004E70CE">
        <w:t>-</w:t>
      </w:r>
      <w:r w:rsidR="00C16593" w:rsidRPr="004E70CE">
        <w:t xml:space="preserve">minded </w:t>
      </w:r>
      <w:r w:rsidR="321115A2" w:rsidRPr="004E70CE">
        <w:t>countries</w:t>
      </w:r>
      <w:r w:rsidR="00C85996" w:rsidRPr="004E70CE">
        <w:t xml:space="preserve"> focused on </w:t>
      </w:r>
      <w:r w:rsidR="00C16593" w:rsidRPr="004E70CE">
        <w:t>develop</w:t>
      </w:r>
      <w:r w:rsidR="00C85996" w:rsidRPr="004E70CE">
        <w:t>ing</w:t>
      </w:r>
      <w:r w:rsidR="00C16593" w:rsidRPr="004E70CE">
        <w:t xml:space="preserve"> common</w:t>
      </w:r>
      <w:r w:rsidR="00B32A48" w:rsidRPr="004E70CE">
        <w:t xml:space="preserve"> and interoperable</w:t>
      </w:r>
      <w:r w:rsidR="00C16593" w:rsidRPr="004E70CE">
        <w:t xml:space="preserve"> approaches to measure and reduce embedded emissions in</w:t>
      </w:r>
      <w:r w:rsidR="00B32A48" w:rsidRPr="004E70CE">
        <w:t xml:space="preserve"> </w:t>
      </w:r>
      <w:r w:rsidR="00705B27" w:rsidRPr="004E70CE">
        <w:t xml:space="preserve">traded </w:t>
      </w:r>
      <w:r w:rsidR="00213119" w:rsidRPr="004E70CE">
        <w:t>commodities</w:t>
      </w:r>
      <w:r w:rsidR="00C16593" w:rsidRPr="004E70CE">
        <w:t>.</w:t>
      </w:r>
    </w:p>
    <w:p w14:paraId="3D034AE3" w14:textId="77777777" w:rsidR="004D67F3" w:rsidRPr="004E70CE" w:rsidRDefault="004D67F3" w:rsidP="00A63597"/>
    <w:p w14:paraId="425CA8ED" w14:textId="77777777" w:rsidR="004D67F3" w:rsidRPr="004E70CE" w:rsidRDefault="004D67F3" w:rsidP="00A63597"/>
    <w:p w14:paraId="77C96A5B" w14:textId="77777777" w:rsidR="009B5AF0" w:rsidRPr="004E70CE" w:rsidRDefault="0021711D" w:rsidP="009B5AF0">
      <w:pPr>
        <w:pStyle w:val="Heading2"/>
        <w:numPr>
          <w:ilvl w:val="0"/>
          <w:numId w:val="0"/>
        </w:numPr>
        <w:ind w:left="720" w:hanging="720"/>
      </w:pPr>
      <w:bookmarkStart w:id="47" w:name="_Toc173997680"/>
      <w:bookmarkStart w:id="48" w:name="_Toc430782162"/>
      <w:bookmarkEnd w:id="43"/>
      <w:r w:rsidRPr="004E70CE">
        <w:lastRenderedPageBreak/>
        <w:t>Acronyms</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417"/>
        <w:gridCol w:w="7643"/>
      </w:tblGrid>
      <w:tr w:rsidR="00A815DC" w:rsidRPr="004E70CE" w14:paraId="0C291520" w14:textId="77777777" w:rsidTr="00BA1598">
        <w:trPr>
          <w:cantSplit/>
          <w:tblHeader/>
        </w:trPr>
        <w:tc>
          <w:tcPr>
            <w:tcW w:w="782" w:type="pct"/>
            <w:tcMar>
              <w:left w:w="108" w:type="dxa"/>
              <w:right w:w="108" w:type="dxa"/>
            </w:tcMar>
          </w:tcPr>
          <w:p w14:paraId="0502123C" w14:textId="77777777" w:rsidR="00A815DC" w:rsidRPr="004E70CE" w:rsidRDefault="00A815DC" w:rsidP="00A815DC">
            <w:pPr>
              <w:pStyle w:val="TableHeading"/>
              <w:rPr>
                <w:b w:val="0"/>
                <w:bCs/>
                <w:sz w:val="20"/>
                <w:szCs w:val="20"/>
              </w:rPr>
            </w:pPr>
            <w:bookmarkStart w:id="49" w:name="Title_Glossary"/>
            <w:bookmarkEnd w:id="49"/>
            <w:r w:rsidRPr="004E70CE">
              <w:rPr>
                <w:b w:val="0"/>
                <w:bCs/>
                <w:sz w:val="20"/>
                <w:szCs w:val="20"/>
              </w:rPr>
              <w:t>ABS</w:t>
            </w:r>
          </w:p>
        </w:tc>
        <w:tc>
          <w:tcPr>
            <w:tcW w:w="4218" w:type="pct"/>
            <w:tcMar>
              <w:left w:w="108" w:type="dxa"/>
              <w:right w:w="108" w:type="dxa"/>
            </w:tcMar>
          </w:tcPr>
          <w:p w14:paraId="3B822DF0" w14:textId="77777777" w:rsidR="00A815DC" w:rsidRPr="004E70CE" w:rsidRDefault="00A815DC" w:rsidP="00A815DC">
            <w:pPr>
              <w:pStyle w:val="TableHeading"/>
              <w:rPr>
                <w:b w:val="0"/>
                <w:bCs/>
                <w:sz w:val="20"/>
                <w:szCs w:val="20"/>
              </w:rPr>
            </w:pPr>
            <w:r w:rsidRPr="004E70CE">
              <w:rPr>
                <w:b w:val="0"/>
                <w:bCs/>
                <w:sz w:val="20"/>
                <w:szCs w:val="20"/>
              </w:rPr>
              <w:t>Australian Bureau of Statistics</w:t>
            </w:r>
          </w:p>
        </w:tc>
      </w:tr>
      <w:tr w:rsidR="00A815DC" w:rsidRPr="004E70CE" w14:paraId="1B6A1D2B" w14:textId="77777777" w:rsidTr="00BA1598">
        <w:trPr>
          <w:cantSplit/>
          <w:tblHeader/>
        </w:trPr>
        <w:tc>
          <w:tcPr>
            <w:tcW w:w="782" w:type="pct"/>
            <w:tcMar>
              <w:left w:w="108" w:type="dxa"/>
              <w:right w:w="108" w:type="dxa"/>
            </w:tcMar>
          </w:tcPr>
          <w:p w14:paraId="1F1C244D" w14:textId="77777777" w:rsidR="00A815DC" w:rsidRPr="004E70CE" w:rsidRDefault="00A815DC" w:rsidP="00A815DC">
            <w:pPr>
              <w:pStyle w:val="TableHeading"/>
              <w:rPr>
                <w:b w:val="0"/>
                <w:bCs/>
                <w:sz w:val="20"/>
                <w:szCs w:val="20"/>
              </w:rPr>
            </w:pPr>
            <w:r w:rsidRPr="004E70CE">
              <w:rPr>
                <w:b w:val="0"/>
                <w:bCs/>
                <w:sz w:val="20"/>
                <w:szCs w:val="20"/>
              </w:rPr>
              <w:t>ACCU</w:t>
            </w:r>
          </w:p>
        </w:tc>
        <w:tc>
          <w:tcPr>
            <w:tcW w:w="4218" w:type="pct"/>
            <w:tcMar>
              <w:left w:w="108" w:type="dxa"/>
              <w:right w:w="108" w:type="dxa"/>
            </w:tcMar>
          </w:tcPr>
          <w:p w14:paraId="15A94FE1" w14:textId="77777777" w:rsidR="00A815DC" w:rsidRPr="004E70CE" w:rsidRDefault="00A815DC" w:rsidP="00A815DC">
            <w:pPr>
              <w:pStyle w:val="TableHeading"/>
              <w:rPr>
                <w:b w:val="0"/>
                <w:bCs/>
                <w:sz w:val="20"/>
                <w:szCs w:val="20"/>
              </w:rPr>
            </w:pPr>
            <w:r w:rsidRPr="004E70CE">
              <w:rPr>
                <w:b w:val="0"/>
                <w:bCs/>
                <w:sz w:val="20"/>
                <w:szCs w:val="20"/>
              </w:rPr>
              <w:t>Australian Carbon Credit Unit</w:t>
            </w:r>
          </w:p>
        </w:tc>
      </w:tr>
      <w:tr w:rsidR="00687A2E" w:rsidRPr="004E70CE" w14:paraId="140367D7" w14:textId="77777777" w:rsidTr="00BA1598">
        <w:trPr>
          <w:cantSplit/>
          <w:tblHeader/>
        </w:trPr>
        <w:tc>
          <w:tcPr>
            <w:tcW w:w="782" w:type="pct"/>
            <w:tcMar>
              <w:left w:w="108" w:type="dxa"/>
              <w:right w:w="108" w:type="dxa"/>
            </w:tcMar>
          </w:tcPr>
          <w:p w14:paraId="50EDB776" w14:textId="77777777" w:rsidR="00687A2E" w:rsidRPr="004E70CE" w:rsidRDefault="00687A2E" w:rsidP="00A815DC">
            <w:pPr>
              <w:pStyle w:val="TableHeading"/>
              <w:rPr>
                <w:b w:val="0"/>
                <w:bCs/>
                <w:sz w:val="20"/>
                <w:szCs w:val="20"/>
              </w:rPr>
            </w:pPr>
            <w:r w:rsidRPr="004E70CE">
              <w:rPr>
                <w:b w:val="0"/>
                <w:bCs/>
                <w:sz w:val="20"/>
                <w:szCs w:val="20"/>
              </w:rPr>
              <w:t>ARENA</w:t>
            </w:r>
          </w:p>
        </w:tc>
        <w:tc>
          <w:tcPr>
            <w:tcW w:w="4218" w:type="pct"/>
            <w:tcMar>
              <w:left w:w="108" w:type="dxa"/>
              <w:right w:w="108" w:type="dxa"/>
            </w:tcMar>
          </w:tcPr>
          <w:p w14:paraId="4AA41696" w14:textId="77777777" w:rsidR="00687A2E" w:rsidRPr="004E70CE" w:rsidRDefault="00687A2E" w:rsidP="00A815DC">
            <w:pPr>
              <w:pStyle w:val="TableHeading"/>
              <w:rPr>
                <w:b w:val="0"/>
                <w:bCs/>
                <w:sz w:val="20"/>
                <w:szCs w:val="20"/>
              </w:rPr>
            </w:pPr>
            <w:r w:rsidRPr="004E70CE">
              <w:rPr>
                <w:b w:val="0"/>
                <w:bCs/>
                <w:sz w:val="20"/>
                <w:szCs w:val="20"/>
              </w:rPr>
              <w:t>Australian Renewable Energy Agency</w:t>
            </w:r>
          </w:p>
        </w:tc>
      </w:tr>
      <w:tr w:rsidR="00687A2E" w:rsidRPr="004E70CE" w14:paraId="5D2D2974" w14:textId="77777777" w:rsidTr="00BA1598">
        <w:trPr>
          <w:cantSplit/>
          <w:tblHeader/>
        </w:trPr>
        <w:tc>
          <w:tcPr>
            <w:tcW w:w="782" w:type="pct"/>
            <w:tcMar>
              <w:left w:w="108" w:type="dxa"/>
              <w:right w:w="108" w:type="dxa"/>
            </w:tcMar>
          </w:tcPr>
          <w:p w14:paraId="61B3536F" w14:textId="77777777" w:rsidR="00687A2E" w:rsidRPr="004E70CE" w:rsidRDefault="00687A2E" w:rsidP="00A815DC">
            <w:pPr>
              <w:pStyle w:val="TableHeading"/>
              <w:rPr>
                <w:b w:val="0"/>
                <w:bCs/>
                <w:sz w:val="20"/>
                <w:szCs w:val="20"/>
              </w:rPr>
            </w:pPr>
            <w:r w:rsidRPr="004E70CE">
              <w:rPr>
                <w:b w:val="0"/>
                <w:bCs/>
                <w:sz w:val="20"/>
                <w:szCs w:val="20"/>
              </w:rPr>
              <w:t>BCA</w:t>
            </w:r>
          </w:p>
        </w:tc>
        <w:tc>
          <w:tcPr>
            <w:tcW w:w="4218" w:type="pct"/>
            <w:tcMar>
              <w:left w:w="108" w:type="dxa"/>
              <w:right w:w="108" w:type="dxa"/>
            </w:tcMar>
          </w:tcPr>
          <w:p w14:paraId="3794A93C" w14:textId="77777777" w:rsidR="00687A2E" w:rsidRPr="004E70CE" w:rsidRDefault="00687A2E" w:rsidP="00A815DC">
            <w:pPr>
              <w:pStyle w:val="TableHeading"/>
              <w:rPr>
                <w:b w:val="0"/>
                <w:bCs/>
                <w:sz w:val="20"/>
                <w:szCs w:val="20"/>
              </w:rPr>
            </w:pPr>
            <w:r w:rsidRPr="004E70CE">
              <w:rPr>
                <w:b w:val="0"/>
                <w:bCs/>
                <w:sz w:val="20"/>
                <w:szCs w:val="20"/>
              </w:rPr>
              <w:t>Border carbon adjustment</w:t>
            </w:r>
          </w:p>
        </w:tc>
      </w:tr>
      <w:tr w:rsidR="00687A2E" w:rsidRPr="004E70CE" w14:paraId="51778EE0" w14:textId="77777777" w:rsidTr="00BA1598">
        <w:trPr>
          <w:cantSplit/>
          <w:tblHeader/>
        </w:trPr>
        <w:tc>
          <w:tcPr>
            <w:tcW w:w="782" w:type="pct"/>
            <w:tcMar>
              <w:left w:w="108" w:type="dxa"/>
              <w:right w:w="108" w:type="dxa"/>
            </w:tcMar>
          </w:tcPr>
          <w:p w14:paraId="289C2BFF" w14:textId="77777777" w:rsidR="00687A2E" w:rsidRPr="004E70CE" w:rsidRDefault="00687A2E" w:rsidP="00A815DC">
            <w:pPr>
              <w:pStyle w:val="TableHeading"/>
              <w:rPr>
                <w:b w:val="0"/>
                <w:bCs/>
                <w:sz w:val="20"/>
                <w:szCs w:val="20"/>
              </w:rPr>
            </w:pPr>
            <w:r w:rsidRPr="004E70CE">
              <w:rPr>
                <w:b w:val="0"/>
                <w:bCs/>
                <w:sz w:val="20"/>
                <w:szCs w:val="20"/>
              </w:rPr>
              <w:t>BLADE</w:t>
            </w:r>
          </w:p>
        </w:tc>
        <w:tc>
          <w:tcPr>
            <w:tcW w:w="4218" w:type="pct"/>
            <w:tcMar>
              <w:left w:w="108" w:type="dxa"/>
              <w:right w:w="108" w:type="dxa"/>
            </w:tcMar>
          </w:tcPr>
          <w:p w14:paraId="0A509BD9" w14:textId="77777777" w:rsidR="00687A2E" w:rsidRPr="004E70CE" w:rsidRDefault="00687A2E" w:rsidP="00A815DC">
            <w:pPr>
              <w:pStyle w:val="TableHeading"/>
              <w:rPr>
                <w:b w:val="0"/>
                <w:bCs/>
                <w:sz w:val="20"/>
                <w:szCs w:val="20"/>
              </w:rPr>
            </w:pPr>
            <w:r w:rsidRPr="004E70CE">
              <w:rPr>
                <w:b w:val="0"/>
                <w:bCs/>
                <w:sz w:val="20"/>
                <w:szCs w:val="20"/>
              </w:rPr>
              <w:t>(ABS) Business Longitudinal Analysis Data Environment</w:t>
            </w:r>
          </w:p>
        </w:tc>
      </w:tr>
      <w:tr w:rsidR="00687A2E" w:rsidRPr="004E70CE" w14:paraId="56713CC5" w14:textId="77777777" w:rsidTr="00BA1598">
        <w:trPr>
          <w:cantSplit/>
          <w:tblHeader/>
        </w:trPr>
        <w:tc>
          <w:tcPr>
            <w:tcW w:w="782" w:type="pct"/>
            <w:tcMar>
              <w:left w:w="108" w:type="dxa"/>
              <w:right w:w="108" w:type="dxa"/>
            </w:tcMar>
          </w:tcPr>
          <w:p w14:paraId="72B1064E" w14:textId="77777777" w:rsidR="00687A2E" w:rsidRPr="004E70CE" w:rsidRDefault="00687A2E" w:rsidP="00A815DC">
            <w:pPr>
              <w:pStyle w:val="TableHeading"/>
              <w:rPr>
                <w:b w:val="0"/>
                <w:bCs/>
                <w:sz w:val="20"/>
                <w:szCs w:val="20"/>
              </w:rPr>
            </w:pPr>
            <w:r w:rsidRPr="004E70CE">
              <w:rPr>
                <w:b w:val="0"/>
                <w:bCs/>
                <w:sz w:val="20"/>
                <w:szCs w:val="20"/>
              </w:rPr>
              <w:t>CBAM</w:t>
            </w:r>
          </w:p>
        </w:tc>
        <w:tc>
          <w:tcPr>
            <w:tcW w:w="4218" w:type="pct"/>
            <w:tcMar>
              <w:left w:w="108" w:type="dxa"/>
              <w:right w:w="108" w:type="dxa"/>
            </w:tcMar>
          </w:tcPr>
          <w:p w14:paraId="0C4BE3DD" w14:textId="77777777" w:rsidR="00687A2E" w:rsidRPr="004E70CE" w:rsidRDefault="00687A2E" w:rsidP="00A815DC">
            <w:pPr>
              <w:pStyle w:val="TableHeading"/>
              <w:rPr>
                <w:b w:val="0"/>
                <w:bCs/>
                <w:sz w:val="20"/>
                <w:szCs w:val="20"/>
              </w:rPr>
            </w:pPr>
            <w:r w:rsidRPr="004E70CE">
              <w:rPr>
                <w:b w:val="0"/>
                <w:bCs/>
                <w:sz w:val="20"/>
                <w:szCs w:val="20"/>
              </w:rPr>
              <w:t>Carbon border adjustment mechanism</w:t>
            </w:r>
          </w:p>
        </w:tc>
      </w:tr>
      <w:tr w:rsidR="001234BD" w:rsidRPr="004E70CE" w14:paraId="1442DEF8" w14:textId="77777777" w:rsidTr="00BA1598">
        <w:trPr>
          <w:cantSplit/>
          <w:tblHeader/>
        </w:trPr>
        <w:tc>
          <w:tcPr>
            <w:tcW w:w="782" w:type="pct"/>
            <w:tcMar>
              <w:left w:w="108" w:type="dxa"/>
              <w:right w:w="108" w:type="dxa"/>
            </w:tcMar>
          </w:tcPr>
          <w:p w14:paraId="51354734" w14:textId="77777777" w:rsidR="001234BD" w:rsidRPr="004E70CE" w:rsidRDefault="001234BD" w:rsidP="00A815DC">
            <w:pPr>
              <w:pStyle w:val="TableHeading"/>
              <w:rPr>
                <w:b w:val="0"/>
                <w:bCs/>
                <w:sz w:val="20"/>
                <w:szCs w:val="20"/>
              </w:rPr>
            </w:pPr>
            <w:r w:rsidRPr="004E70CE">
              <w:rPr>
                <w:b w:val="0"/>
                <w:bCs/>
                <w:sz w:val="20"/>
                <w:szCs w:val="20"/>
              </w:rPr>
              <w:t>COP</w:t>
            </w:r>
          </w:p>
        </w:tc>
        <w:tc>
          <w:tcPr>
            <w:tcW w:w="4218" w:type="pct"/>
            <w:tcMar>
              <w:left w:w="108" w:type="dxa"/>
              <w:right w:w="108" w:type="dxa"/>
            </w:tcMar>
          </w:tcPr>
          <w:p w14:paraId="03F9767A" w14:textId="77777777" w:rsidR="001234BD" w:rsidRPr="004E70CE" w:rsidRDefault="001234BD" w:rsidP="00A815DC">
            <w:pPr>
              <w:pStyle w:val="TableHeading"/>
              <w:rPr>
                <w:b w:val="0"/>
                <w:bCs/>
                <w:sz w:val="20"/>
                <w:szCs w:val="20"/>
              </w:rPr>
            </w:pPr>
            <w:r w:rsidRPr="004E70CE">
              <w:rPr>
                <w:b w:val="0"/>
                <w:bCs/>
                <w:sz w:val="20"/>
                <w:szCs w:val="20"/>
              </w:rPr>
              <w:t>(UNFCCC) Conference of Parties</w:t>
            </w:r>
          </w:p>
        </w:tc>
      </w:tr>
      <w:tr w:rsidR="00A815DC" w:rsidRPr="004E70CE" w14:paraId="6C587A93" w14:textId="77777777" w:rsidTr="00BA1598">
        <w:trPr>
          <w:cantSplit/>
          <w:tblHeader/>
        </w:trPr>
        <w:tc>
          <w:tcPr>
            <w:tcW w:w="782" w:type="pct"/>
            <w:tcMar>
              <w:left w:w="108" w:type="dxa"/>
              <w:right w:w="108" w:type="dxa"/>
            </w:tcMar>
          </w:tcPr>
          <w:p w14:paraId="64708FDB" w14:textId="77777777" w:rsidR="00A815DC" w:rsidRPr="004E70CE" w:rsidRDefault="00A815DC" w:rsidP="00A815DC">
            <w:pPr>
              <w:pStyle w:val="TableHeading"/>
              <w:rPr>
                <w:b w:val="0"/>
                <w:bCs/>
                <w:sz w:val="20"/>
                <w:szCs w:val="20"/>
              </w:rPr>
            </w:pPr>
            <w:r w:rsidRPr="004E70CE">
              <w:rPr>
                <w:b w:val="0"/>
                <w:bCs/>
                <w:sz w:val="20"/>
                <w:szCs w:val="20"/>
              </w:rPr>
              <w:t>CCUS</w:t>
            </w:r>
          </w:p>
        </w:tc>
        <w:tc>
          <w:tcPr>
            <w:tcW w:w="4218" w:type="pct"/>
            <w:tcMar>
              <w:left w:w="108" w:type="dxa"/>
              <w:right w:w="108" w:type="dxa"/>
            </w:tcMar>
          </w:tcPr>
          <w:p w14:paraId="4D4BB480" w14:textId="77777777" w:rsidR="00A815DC" w:rsidRPr="004E70CE" w:rsidRDefault="00A815DC" w:rsidP="00A815DC">
            <w:pPr>
              <w:pStyle w:val="TableHeading"/>
              <w:rPr>
                <w:b w:val="0"/>
                <w:bCs/>
                <w:sz w:val="20"/>
                <w:szCs w:val="20"/>
              </w:rPr>
            </w:pPr>
            <w:r w:rsidRPr="004E70CE">
              <w:rPr>
                <w:b w:val="0"/>
                <w:bCs/>
                <w:sz w:val="20"/>
                <w:szCs w:val="20"/>
              </w:rPr>
              <w:t>Carbon capture, utilisation and storage</w:t>
            </w:r>
          </w:p>
        </w:tc>
      </w:tr>
      <w:tr w:rsidR="00B97F62" w:rsidRPr="004E70CE" w14:paraId="5AE3D7D3" w14:textId="77777777" w:rsidTr="00BA1598">
        <w:trPr>
          <w:cantSplit/>
          <w:tblHeader/>
        </w:trPr>
        <w:tc>
          <w:tcPr>
            <w:tcW w:w="782" w:type="pct"/>
            <w:tcMar>
              <w:left w:w="108" w:type="dxa"/>
              <w:right w:w="108" w:type="dxa"/>
            </w:tcMar>
          </w:tcPr>
          <w:p w14:paraId="19633EB5" w14:textId="77777777" w:rsidR="00B97F62" w:rsidRPr="004E70CE" w:rsidRDefault="00B97F62" w:rsidP="00A815DC">
            <w:pPr>
              <w:pStyle w:val="TableHeading"/>
              <w:rPr>
                <w:b w:val="0"/>
                <w:bCs/>
                <w:sz w:val="20"/>
                <w:szCs w:val="20"/>
              </w:rPr>
            </w:pPr>
            <w:r w:rsidRPr="004E70CE">
              <w:rPr>
                <w:b w:val="0"/>
                <w:bCs/>
                <w:sz w:val="20"/>
                <w:szCs w:val="20"/>
              </w:rPr>
              <w:t>CGE</w:t>
            </w:r>
          </w:p>
        </w:tc>
        <w:tc>
          <w:tcPr>
            <w:tcW w:w="4218" w:type="pct"/>
            <w:tcMar>
              <w:left w:w="108" w:type="dxa"/>
              <w:right w:w="108" w:type="dxa"/>
            </w:tcMar>
          </w:tcPr>
          <w:p w14:paraId="0F696F69" w14:textId="77777777" w:rsidR="00B97F62" w:rsidRPr="004E70CE" w:rsidRDefault="00B97F62" w:rsidP="00A815DC">
            <w:pPr>
              <w:pStyle w:val="TableHeading"/>
              <w:rPr>
                <w:b w:val="0"/>
                <w:bCs/>
                <w:sz w:val="20"/>
                <w:szCs w:val="20"/>
              </w:rPr>
            </w:pPr>
            <w:r w:rsidRPr="004E70CE">
              <w:rPr>
                <w:b w:val="0"/>
                <w:bCs/>
                <w:sz w:val="20"/>
                <w:szCs w:val="20"/>
              </w:rPr>
              <w:t>Computational General Equilibrium</w:t>
            </w:r>
          </w:p>
        </w:tc>
      </w:tr>
      <w:tr w:rsidR="00A815DC" w:rsidRPr="004E70CE" w14:paraId="0F15EA18" w14:textId="77777777" w:rsidTr="00BA1598">
        <w:trPr>
          <w:cantSplit/>
          <w:tblHeader/>
        </w:trPr>
        <w:tc>
          <w:tcPr>
            <w:tcW w:w="782" w:type="pct"/>
            <w:tcMar>
              <w:left w:w="108" w:type="dxa"/>
              <w:right w:w="108" w:type="dxa"/>
            </w:tcMar>
          </w:tcPr>
          <w:p w14:paraId="71DB9AD5" w14:textId="77777777" w:rsidR="00A815DC" w:rsidRPr="004E70CE" w:rsidRDefault="00A815DC" w:rsidP="00A815DC">
            <w:pPr>
              <w:pStyle w:val="TableHeading"/>
              <w:rPr>
                <w:b w:val="0"/>
                <w:bCs/>
                <w:sz w:val="20"/>
                <w:szCs w:val="20"/>
              </w:rPr>
            </w:pPr>
            <w:r w:rsidRPr="004E70CE">
              <w:rPr>
                <w:b w:val="0"/>
                <w:bCs/>
                <w:sz w:val="20"/>
                <w:szCs w:val="20"/>
              </w:rPr>
              <w:t>CPI</w:t>
            </w:r>
          </w:p>
        </w:tc>
        <w:tc>
          <w:tcPr>
            <w:tcW w:w="4218" w:type="pct"/>
            <w:tcMar>
              <w:left w:w="108" w:type="dxa"/>
              <w:right w:w="108" w:type="dxa"/>
            </w:tcMar>
          </w:tcPr>
          <w:p w14:paraId="10CFCDC6" w14:textId="77777777" w:rsidR="00A815DC" w:rsidRPr="004E70CE" w:rsidRDefault="00A815DC" w:rsidP="00A815DC">
            <w:pPr>
              <w:pStyle w:val="TableHeading"/>
              <w:rPr>
                <w:b w:val="0"/>
                <w:bCs/>
                <w:sz w:val="20"/>
                <w:szCs w:val="20"/>
              </w:rPr>
            </w:pPr>
            <w:r w:rsidRPr="004E70CE">
              <w:rPr>
                <w:b w:val="0"/>
                <w:bCs/>
                <w:sz w:val="20"/>
                <w:szCs w:val="20"/>
              </w:rPr>
              <w:t>Consumer price index</w:t>
            </w:r>
          </w:p>
        </w:tc>
      </w:tr>
      <w:tr w:rsidR="001234BD" w:rsidRPr="004E70CE" w14:paraId="7ABDA57B" w14:textId="77777777" w:rsidTr="00BA1598">
        <w:trPr>
          <w:cantSplit/>
          <w:tblHeader/>
        </w:trPr>
        <w:tc>
          <w:tcPr>
            <w:tcW w:w="782" w:type="pct"/>
            <w:tcMar>
              <w:left w:w="108" w:type="dxa"/>
              <w:right w:w="108" w:type="dxa"/>
            </w:tcMar>
          </w:tcPr>
          <w:p w14:paraId="56C240EE" w14:textId="77777777" w:rsidR="001234BD" w:rsidRPr="004E70CE" w:rsidRDefault="001234BD" w:rsidP="00A815DC">
            <w:pPr>
              <w:pStyle w:val="TableHeading"/>
              <w:rPr>
                <w:b w:val="0"/>
                <w:bCs/>
                <w:sz w:val="20"/>
                <w:szCs w:val="20"/>
              </w:rPr>
            </w:pPr>
            <w:r w:rsidRPr="004E70CE">
              <w:rPr>
                <w:b w:val="0"/>
                <w:bCs/>
                <w:sz w:val="20"/>
                <w:szCs w:val="20"/>
              </w:rPr>
              <w:t>DFAT</w:t>
            </w:r>
          </w:p>
        </w:tc>
        <w:tc>
          <w:tcPr>
            <w:tcW w:w="4218" w:type="pct"/>
            <w:tcMar>
              <w:left w:w="108" w:type="dxa"/>
              <w:right w:w="108" w:type="dxa"/>
            </w:tcMar>
          </w:tcPr>
          <w:p w14:paraId="7541DCB9" w14:textId="77777777" w:rsidR="001234BD" w:rsidRPr="004E70CE" w:rsidRDefault="001234BD" w:rsidP="00A815DC">
            <w:pPr>
              <w:pStyle w:val="TableHeading"/>
              <w:rPr>
                <w:b w:val="0"/>
                <w:bCs/>
                <w:sz w:val="20"/>
                <w:szCs w:val="20"/>
              </w:rPr>
            </w:pPr>
            <w:r w:rsidRPr="004E70CE">
              <w:rPr>
                <w:b w:val="0"/>
                <w:bCs/>
                <w:sz w:val="20"/>
                <w:szCs w:val="20"/>
              </w:rPr>
              <w:t>Department of Foreign Affairs and Trade</w:t>
            </w:r>
          </w:p>
        </w:tc>
      </w:tr>
      <w:tr w:rsidR="00687A2E" w:rsidRPr="004E70CE" w14:paraId="29F5AEBA" w14:textId="77777777" w:rsidTr="00567509">
        <w:trPr>
          <w:cantSplit/>
          <w:tblHeader/>
        </w:trPr>
        <w:tc>
          <w:tcPr>
            <w:tcW w:w="782" w:type="pct"/>
            <w:tcMar>
              <w:left w:w="108" w:type="dxa"/>
              <w:right w:w="108" w:type="dxa"/>
            </w:tcMar>
          </w:tcPr>
          <w:p w14:paraId="58825EB0" w14:textId="77777777" w:rsidR="00687A2E" w:rsidRPr="004E70CE" w:rsidRDefault="00687A2E" w:rsidP="00567509">
            <w:pPr>
              <w:pStyle w:val="TableHeading"/>
              <w:rPr>
                <w:b w:val="0"/>
                <w:bCs/>
                <w:sz w:val="20"/>
                <w:szCs w:val="20"/>
              </w:rPr>
            </w:pPr>
            <w:r w:rsidRPr="004E70CE">
              <w:rPr>
                <w:b w:val="0"/>
                <w:bCs/>
                <w:sz w:val="20"/>
                <w:szCs w:val="20"/>
              </w:rPr>
              <w:t>ETS</w:t>
            </w:r>
          </w:p>
        </w:tc>
        <w:tc>
          <w:tcPr>
            <w:tcW w:w="4218" w:type="pct"/>
            <w:tcMar>
              <w:left w:w="108" w:type="dxa"/>
              <w:right w:w="108" w:type="dxa"/>
            </w:tcMar>
          </w:tcPr>
          <w:p w14:paraId="1C775B49" w14:textId="77777777" w:rsidR="00687A2E" w:rsidRPr="004E70CE" w:rsidRDefault="00687A2E" w:rsidP="00567509">
            <w:pPr>
              <w:pStyle w:val="TableHeading"/>
              <w:rPr>
                <w:b w:val="0"/>
                <w:bCs/>
                <w:sz w:val="20"/>
                <w:szCs w:val="20"/>
              </w:rPr>
            </w:pPr>
            <w:r w:rsidRPr="004E70CE">
              <w:rPr>
                <w:b w:val="0"/>
                <w:bCs/>
                <w:sz w:val="20"/>
                <w:szCs w:val="20"/>
              </w:rPr>
              <w:t>Emissions trading scheme</w:t>
            </w:r>
          </w:p>
        </w:tc>
      </w:tr>
      <w:tr w:rsidR="00687A2E" w:rsidRPr="004E70CE" w14:paraId="5C001706" w14:textId="77777777" w:rsidTr="00567509">
        <w:trPr>
          <w:cantSplit/>
          <w:tblHeader/>
        </w:trPr>
        <w:tc>
          <w:tcPr>
            <w:tcW w:w="782" w:type="pct"/>
            <w:tcMar>
              <w:left w:w="108" w:type="dxa"/>
              <w:right w:w="108" w:type="dxa"/>
            </w:tcMar>
          </w:tcPr>
          <w:p w14:paraId="513CD9AE" w14:textId="77777777" w:rsidR="00687A2E" w:rsidRPr="004E70CE" w:rsidRDefault="00687A2E" w:rsidP="00567509">
            <w:pPr>
              <w:pStyle w:val="TableHeading"/>
              <w:rPr>
                <w:b w:val="0"/>
                <w:bCs/>
                <w:sz w:val="20"/>
                <w:szCs w:val="20"/>
              </w:rPr>
            </w:pPr>
            <w:r w:rsidRPr="004E70CE">
              <w:rPr>
                <w:b w:val="0"/>
                <w:bCs/>
                <w:sz w:val="20"/>
                <w:szCs w:val="20"/>
              </w:rPr>
              <w:t>EU</w:t>
            </w:r>
          </w:p>
        </w:tc>
        <w:tc>
          <w:tcPr>
            <w:tcW w:w="4218" w:type="pct"/>
            <w:tcMar>
              <w:left w:w="108" w:type="dxa"/>
              <w:right w:w="108" w:type="dxa"/>
            </w:tcMar>
          </w:tcPr>
          <w:p w14:paraId="2677C653" w14:textId="77777777" w:rsidR="00687A2E" w:rsidRPr="004E70CE" w:rsidRDefault="00687A2E" w:rsidP="00567509">
            <w:pPr>
              <w:pStyle w:val="TableHeading"/>
              <w:rPr>
                <w:b w:val="0"/>
                <w:bCs/>
                <w:sz w:val="20"/>
                <w:szCs w:val="20"/>
              </w:rPr>
            </w:pPr>
            <w:r w:rsidRPr="004E70CE">
              <w:rPr>
                <w:b w:val="0"/>
                <w:bCs/>
                <w:sz w:val="20"/>
                <w:szCs w:val="20"/>
              </w:rPr>
              <w:t>European Union</w:t>
            </w:r>
          </w:p>
        </w:tc>
      </w:tr>
      <w:tr w:rsidR="001234BD" w:rsidRPr="004E70CE" w14:paraId="311CEA58" w14:textId="77777777" w:rsidTr="00567509">
        <w:trPr>
          <w:cantSplit/>
          <w:tblHeader/>
        </w:trPr>
        <w:tc>
          <w:tcPr>
            <w:tcW w:w="782" w:type="pct"/>
            <w:tcMar>
              <w:left w:w="108" w:type="dxa"/>
              <w:right w:w="108" w:type="dxa"/>
            </w:tcMar>
          </w:tcPr>
          <w:p w14:paraId="0A8015DA" w14:textId="77777777" w:rsidR="001234BD" w:rsidRPr="004E70CE" w:rsidRDefault="001234BD" w:rsidP="00567509">
            <w:pPr>
              <w:pStyle w:val="TableHeading"/>
              <w:rPr>
                <w:b w:val="0"/>
                <w:bCs/>
                <w:sz w:val="20"/>
                <w:szCs w:val="20"/>
              </w:rPr>
            </w:pPr>
            <w:r w:rsidRPr="004E70CE">
              <w:rPr>
                <w:b w:val="0"/>
                <w:bCs/>
                <w:sz w:val="20"/>
                <w:szCs w:val="20"/>
              </w:rPr>
              <w:t>EV</w:t>
            </w:r>
          </w:p>
        </w:tc>
        <w:tc>
          <w:tcPr>
            <w:tcW w:w="4218" w:type="pct"/>
            <w:tcMar>
              <w:left w:w="108" w:type="dxa"/>
              <w:right w:w="108" w:type="dxa"/>
            </w:tcMar>
          </w:tcPr>
          <w:p w14:paraId="6ED30969" w14:textId="77777777" w:rsidR="001234BD" w:rsidRPr="004E70CE" w:rsidRDefault="001234BD" w:rsidP="00567509">
            <w:pPr>
              <w:pStyle w:val="TableHeading"/>
              <w:rPr>
                <w:b w:val="0"/>
                <w:bCs/>
                <w:sz w:val="20"/>
                <w:szCs w:val="20"/>
              </w:rPr>
            </w:pPr>
            <w:r w:rsidRPr="004E70CE">
              <w:rPr>
                <w:b w:val="0"/>
                <w:bCs/>
                <w:sz w:val="20"/>
                <w:szCs w:val="20"/>
              </w:rPr>
              <w:t>Electric vehicle</w:t>
            </w:r>
          </w:p>
        </w:tc>
      </w:tr>
      <w:tr w:rsidR="001234BD" w:rsidRPr="004E70CE" w14:paraId="48A29C17" w14:textId="77777777" w:rsidTr="00567509">
        <w:trPr>
          <w:cantSplit/>
          <w:tblHeader/>
        </w:trPr>
        <w:tc>
          <w:tcPr>
            <w:tcW w:w="782" w:type="pct"/>
            <w:tcMar>
              <w:left w:w="108" w:type="dxa"/>
              <w:right w:w="108" w:type="dxa"/>
            </w:tcMar>
          </w:tcPr>
          <w:p w14:paraId="3D570CB5" w14:textId="77777777" w:rsidR="001234BD" w:rsidRPr="004E70CE" w:rsidRDefault="001234BD" w:rsidP="00567509">
            <w:pPr>
              <w:pStyle w:val="TableHeading"/>
              <w:rPr>
                <w:b w:val="0"/>
                <w:bCs/>
                <w:sz w:val="20"/>
                <w:szCs w:val="20"/>
              </w:rPr>
            </w:pPr>
            <w:r w:rsidRPr="004E70CE">
              <w:rPr>
                <w:b w:val="0"/>
                <w:bCs/>
                <w:sz w:val="20"/>
                <w:szCs w:val="20"/>
              </w:rPr>
              <w:t>GDP</w:t>
            </w:r>
          </w:p>
        </w:tc>
        <w:tc>
          <w:tcPr>
            <w:tcW w:w="4218" w:type="pct"/>
            <w:tcMar>
              <w:left w:w="108" w:type="dxa"/>
              <w:right w:w="108" w:type="dxa"/>
            </w:tcMar>
          </w:tcPr>
          <w:p w14:paraId="4F8F5452" w14:textId="77777777" w:rsidR="001234BD" w:rsidRPr="004E70CE" w:rsidRDefault="001234BD" w:rsidP="00567509">
            <w:pPr>
              <w:pStyle w:val="TableHeading"/>
              <w:rPr>
                <w:b w:val="0"/>
                <w:bCs/>
                <w:sz w:val="20"/>
                <w:szCs w:val="20"/>
              </w:rPr>
            </w:pPr>
            <w:r w:rsidRPr="004E70CE">
              <w:rPr>
                <w:b w:val="0"/>
                <w:bCs/>
                <w:sz w:val="20"/>
                <w:szCs w:val="20"/>
              </w:rPr>
              <w:t>Gross domestic product</w:t>
            </w:r>
          </w:p>
        </w:tc>
      </w:tr>
      <w:tr w:rsidR="001234BD" w:rsidRPr="004E70CE" w14:paraId="0E1B0A86" w14:textId="77777777" w:rsidTr="00567509">
        <w:trPr>
          <w:cantSplit/>
          <w:tblHeader/>
        </w:trPr>
        <w:tc>
          <w:tcPr>
            <w:tcW w:w="782" w:type="pct"/>
            <w:tcMar>
              <w:left w:w="108" w:type="dxa"/>
              <w:right w:w="108" w:type="dxa"/>
            </w:tcMar>
          </w:tcPr>
          <w:p w14:paraId="214AF114" w14:textId="77777777" w:rsidR="001234BD" w:rsidRPr="004E70CE" w:rsidRDefault="001234BD" w:rsidP="00567509">
            <w:pPr>
              <w:pStyle w:val="TableHeading"/>
              <w:rPr>
                <w:b w:val="0"/>
                <w:bCs/>
                <w:sz w:val="20"/>
                <w:szCs w:val="20"/>
              </w:rPr>
            </w:pPr>
            <w:r w:rsidRPr="004E70CE">
              <w:rPr>
                <w:b w:val="0"/>
                <w:bCs/>
                <w:sz w:val="20"/>
                <w:szCs w:val="20"/>
              </w:rPr>
              <w:t>GTAP</w:t>
            </w:r>
          </w:p>
        </w:tc>
        <w:tc>
          <w:tcPr>
            <w:tcW w:w="4218" w:type="pct"/>
            <w:tcMar>
              <w:left w:w="108" w:type="dxa"/>
              <w:right w:w="108" w:type="dxa"/>
            </w:tcMar>
          </w:tcPr>
          <w:p w14:paraId="530F541F" w14:textId="77777777" w:rsidR="001234BD" w:rsidRPr="004E70CE" w:rsidRDefault="001234BD" w:rsidP="00567509">
            <w:pPr>
              <w:pStyle w:val="TableHeading"/>
              <w:rPr>
                <w:b w:val="0"/>
                <w:bCs/>
                <w:sz w:val="20"/>
                <w:szCs w:val="20"/>
              </w:rPr>
            </w:pPr>
            <w:r w:rsidRPr="004E70CE">
              <w:rPr>
                <w:b w:val="0"/>
                <w:bCs/>
                <w:sz w:val="20"/>
                <w:szCs w:val="20"/>
              </w:rPr>
              <w:t>Global Trade Analysis Project database</w:t>
            </w:r>
          </w:p>
        </w:tc>
      </w:tr>
      <w:tr w:rsidR="00A815DC" w:rsidRPr="004E70CE" w14:paraId="44119F2F" w14:textId="77777777" w:rsidTr="00BA1598">
        <w:trPr>
          <w:cantSplit/>
          <w:tblHeader/>
        </w:trPr>
        <w:tc>
          <w:tcPr>
            <w:tcW w:w="782" w:type="pct"/>
            <w:tcMar>
              <w:left w:w="108" w:type="dxa"/>
              <w:right w:w="108" w:type="dxa"/>
            </w:tcMar>
          </w:tcPr>
          <w:p w14:paraId="3E6F6150" w14:textId="77777777" w:rsidR="00A815DC" w:rsidRPr="004E70CE" w:rsidRDefault="00A815DC" w:rsidP="00A815DC">
            <w:pPr>
              <w:pStyle w:val="TableHeading"/>
              <w:rPr>
                <w:b w:val="0"/>
                <w:bCs/>
                <w:sz w:val="20"/>
                <w:szCs w:val="20"/>
              </w:rPr>
            </w:pPr>
            <w:r w:rsidRPr="004E70CE">
              <w:rPr>
                <w:b w:val="0"/>
                <w:bCs/>
                <w:sz w:val="20"/>
                <w:szCs w:val="20"/>
              </w:rPr>
              <w:t>IEA</w:t>
            </w:r>
          </w:p>
        </w:tc>
        <w:tc>
          <w:tcPr>
            <w:tcW w:w="4218" w:type="pct"/>
            <w:tcMar>
              <w:left w:w="108" w:type="dxa"/>
              <w:right w:w="108" w:type="dxa"/>
            </w:tcMar>
          </w:tcPr>
          <w:p w14:paraId="51F52176" w14:textId="77777777" w:rsidR="00A815DC" w:rsidRPr="004E70CE" w:rsidRDefault="00A815DC" w:rsidP="00A815DC">
            <w:pPr>
              <w:pStyle w:val="TableHeading"/>
              <w:rPr>
                <w:b w:val="0"/>
                <w:bCs/>
                <w:sz w:val="20"/>
                <w:szCs w:val="20"/>
              </w:rPr>
            </w:pPr>
            <w:r w:rsidRPr="004E70CE">
              <w:rPr>
                <w:b w:val="0"/>
                <w:bCs/>
                <w:sz w:val="20"/>
                <w:szCs w:val="20"/>
              </w:rPr>
              <w:t>International Energy Agency</w:t>
            </w:r>
          </w:p>
        </w:tc>
      </w:tr>
      <w:tr w:rsidR="00A815DC" w:rsidRPr="004E70CE" w14:paraId="6C83C526" w14:textId="77777777" w:rsidTr="00BA1598">
        <w:trPr>
          <w:cantSplit/>
          <w:tblHeader/>
        </w:trPr>
        <w:tc>
          <w:tcPr>
            <w:tcW w:w="782" w:type="pct"/>
            <w:tcMar>
              <w:left w:w="108" w:type="dxa"/>
              <w:right w:w="108" w:type="dxa"/>
            </w:tcMar>
          </w:tcPr>
          <w:p w14:paraId="73149674" w14:textId="77777777" w:rsidR="00A815DC" w:rsidRPr="004E70CE" w:rsidRDefault="00A815DC" w:rsidP="00A815DC">
            <w:pPr>
              <w:pStyle w:val="TableHeading"/>
              <w:rPr>
                <w:b w:val="0"/>
                <w:bCs/>
                <w:sz w:val="20"/>
                <w:szCs w:val="20"/>
              </w:rPr>
            </w:pPr>
            <w:r w:rsidRPr="004E70CE">
              <w:rPr>
                <w:b w:val="0"/>
                <w:bCs/>
                <w:sz w:val="20"/>
                <w:szCs w:val="20"/>
              </w:rPr>
              <w:t>IFCMA</w:t>
            </w:r>
          </w:p>
        </w:tc>
        <w:tc>
          <w:tcPr>
            <w:tcW w:w="4218" w:type="pct"/>
            <w:tcMar>
              <w:left w:w="108" w:type="dxa"/>
              <w:right w:w="108" w:type="dxa"/>
            </w:tcMar>
          </w:tcPr>
          <w:p w14:paraId="77DCCBCF" w14:textId="77777777" w:rsidR="00A815DC" w:rsidRPr="004E70CE" w:rsidRDefault="00A815DC" w:rsidP="00A815DC">
            <w:pPr>
              <w:pStyle w:val="TableHeading"/>
              <w:rPr>
                <w:b w:val="0"/>
                <w:bCs/>
                <w:sz w:val="20"/>
                <w:szCs w:val="20"/>
              </w:rPr>
            </w:pPr>
            <w:r w:rsidRPr="004E70CE">
              <w:rPr>
                <w:b w:val="0"/>
                <w:bCs/>
                <w:sz w:val="20"/>
                <w:szCs w:val="20"/>
              </w:rPr>
              <w:t>Inclusive Forum on Carbon Mitigation Approaches</w:t>
            </w:r>
          </w:p>
        </w:tc>
      </w:tr>
      <w:tr w:rsidR="00687A2E" w:rsidRPr="004E70CE" w14:paraId="2A59F567" w14:textId="77777777" w:rsidTr="00BA1598">
        <w:trPr>
          <w:cantSplit/>
          <w:tblHeader/>
        </w:trPr>
        <w:tc>
          <w:tcPr>
            <w:tcW w:w="782" w:type="pct"/>
            <w:tcMar>
              <w:left w:w="108" w:type="dxa"/>
              <w:right w:w="108" w:type="dxa"/>
            </w:tcMar>
          </w:tcPr>
          <w:p w14:paraId="162F33E0" w14:textId="77777777" w:rsidR="00687A2E" w:rsidRPr="004E70CE" w:rsidRDefault="00687A2E" w:rsidP="00A815DC">
            <w:pPr>
              <w:pStyle w:val="TableHeading"/>
              <w:rPr>
                <w:b w:val="0"/>
                <w:bCs/>
                <w:sz w:val="20"/>
                <w:szCs w:val="20"/>
              </w:rPr>
            </w:pPr>
            <w:r w:rsidRPr="004E70CE">
              <w:rPr>
                <w:b w:val="0"/>
                <w:bCs/>
                <w:sz w:val="20"/>
                <w:szCs w:val="20"/>
              </w:rPr>
              <w:t>IMF</w:t>
            </w:r>
          </w:p>
        </w:tc>
        <w:tc>
          <w:tcPr>
            <w:tcW w:w="4218" w:type="pct"/>
            <w:tcMar>
              <w:left w:w="108" w:type="dxa"/>
              <w:right w:w="108" w:type="dxa"/>
            </w:tcMar>
          </w:tcPr>
          <w:p w14:paraId="2BE5CF99" w14:textId="77777777" w:rsidR="00687A2E" w:rsidRPr="004E70CE" w:rsidRDefault="00687A2E" w:rsidP="00A815DC">
            <w:pPr>
              <w:pStyle w:val="TableHeading"/>
              <w:rPr>
                <w:b w:val="0"/>
                <w:bCs/>
                <w:sz w:val="20"/>
                <w:szCs w:val="20"/>
              </w:rPr>
            </w:pPr>
            <w:r w:rsidRPr="004E70CE">
              <w:rPr>
                <w:b w:val="0"/>
                <w:bCs/>
                <w:sz w:val="20"/>
                <w:szCs w:val="20"/>
              </w:rPr>
              <w:t>International Monetary Fund</w:t>
            </w:r>
          </w:p>
        </w:tc>
      </w:tr>
      <w:tr w:rsidR="001234BD" w:rsidRPr="004E70CE" w14:paraId="0F9E8221" w14:textId="77777777" w:rsidTr="00BA1598">
        <w:trPr>
          <w:cantSplit/>
          <w:tblHeader/>
        </w:trPr>
        <w:tc>
          <w:tcPr>
            <w:tcW w:w="782" w:type="pct"/>
            <w:tcMar>
              <w:left w:w="108" w:type="dxa"/>
              <w:right w:w="108" w:type="dxa"/>
            </w:tcMar>
          </w:tcPr>
          <w:p w14:paraId="58283B92" w14:textId="77777777" w:rsidR="001234BD" w:rsidRPr="004E70CE" w:rsidRDefault="001234BD" w:rsidP="00A815DC">
            <w:pPr>
              <w:pStyle w:val="TableHeading"/>
              <w:rPr>
                <w:b w:val="0"/>
                <w:bCs/>
                <w:sz w:val="20"/>
                <w:szCs w:val="20"/>
              </w:rPr>
            </w:pPr>
            <w:r w:rsidRPr="004E70CE">
              <w:rPr>
                <w:b w:val="0"/>
                <w:bCs/>
                <w:sz w:val="20"/>
                <w:szCs w:val="20"/>
              </w:rPr>
              <w:t>IPCC</w:t>
            </w:r>
          </w:p>
        </w:tc>
        <w:tc>
          <w:tcPr>
            <w:tcW w:w="4218" w:type="pct"/>
            <w:tcMar>
              <w:left w:w="108" w:type="dxa"/>
              <w:right w:w="108" w:type="dxa"/>
            </w:tcMar>
          </w:tcPr>
          <w:p w14:paraId="1A823100" w14:textId="77777777" w:rsidR="001234BD" w:rsidRPr="004E70CE" w:rsidRDefault="001234BD" w:rsidP="00A815DC">
            <w:pPr>
              <w:pStyle w:val="TableHeading"/>
              <w:rPr>
                <w:b w:val="0"/>
                <w:bCs/>
                <w:sz w:val="20"/>
                <w:szCs w:val="20"/>
              </w:rPr>
            </w:pPr>
            <w:r w:rsidRPr="004E70CE">
              <w:rPr>
                <w:b w:val="0"/>
                <w:bCs/>
                <w:sz w:val="20"/>
                <w:szCs w:val="20"/>
              </w:rPr>
              <w:t>Intergovernmental Panel on Climate Change</w:t>
            </w:r>
          </w:p>
        </w:tc>
      </w:tr>
      <w:tr w:rsidR="001234BD" w:rsidRPr="004E70CE" w14:paraId="5DC1F271" w14:textId="77777777" w:rsidTr="00BA1598">
        <w:trPr>
          <w:cantSplit/>
          <w:tblHeader/>
        </w:trPr>
        <w:tc>
          <w:tcPr>
            <w:tcW w:w="782" w:type="pct"/>
            <w:tcMar>
              <w:left w:w="108" w:type="dxa"/>
              <w:right w:w="108" w:type="dxa"/>
            </w:tcMar>
          </w:tcPr>
          <w:p w14:paraId="4EF2D725" w14:textId="77777777" w:rsidR="001234BD" w:rsidRPr="004E70CE" w:rsidRDefault="001234BD" w:rsidP="00A815DC">
            <w:pPr>
              <w:pStyle w:val="TableHeading"/>
              <w:rPr>
                <w:b w:val="0"/>
                <w:bCs/>
                <w:sz w:val="20"/>
                <w:szCs w:val="20"/>
              </w:rPr>
            </w:pPr>
            <w:r w:rsidRPr="004E70CE">
              <w:rPr>
                <w:b w:val="0"/>
                <w:bCs/>
                <w:sz w:val="20"/>
                <w:szCs w:val="20"/>
              </w:rPr>
              <w:t>ISO</w:t>
            </w:r>
          </w:p>
        </w:tc>
        <w:tc>
          <w:tcPr>
            <w:tcW w:w="4218" w:type="pct"/>
            <w:tcMar>
              <w:left w:w="108" w:type="dxa"/>
              <w:right w:w="108" w:type="dxa"/>
            </w:tcMar>
          </w:tcPr>
          <w:p w14:paraId="55349842" w14:textId="77777777" w:rsidR="001234BD" w:rsidRPr="004E70CE" w:rsidRDefault="001234BD" w:rsidP="00A815DC">
            <w:pPr>
              <w:pStyle w:val="TableHeading"/>
              <w:rPr>
                <w:b w:val="0"/>
                <w:bCs/>
                <w:sz w:val="20"/>
                <w:szCs w:val="20"/>
              </w:rPr>
            </w:pPr>
            <w:r w:rsidRPr="004E70CE">
              <w:rPr>
                <w:b w:val="0"/>
                <w:bCs/>
                <w:sz w:val="20"/>
                <w:szCs w:val="20"/>
              </w:rPr>
              <w:t>International Organisation for Standardisation</w:t>
            </w:r>
          </w:p>
        </w:tc>
      </w:tr>
      <w:tr w:rsidR="001234BD" w:rsidRPr="004E70CE" w14:paraId="05DB3790" w14:textId="77777777" w:rsidTr="00BA1598">
        <w:trPr>
          <w:cantSplit/>
          <w:tblHeader/>
        </w:trPr>
        <w:tc>
          <w:tcPr>
            <w:tcW w:w="782" w:type="pct"/>
            <w:tcMar>
              <w:left w:w="108" w:type="dxa"/>
              <w:right w:w="108" w:type="dxa"/>
            </w:tcMar>
          </w:tcPr>
          <w:p w14:paraId="747ECA6A" w14:textId="77777777" w:rsidR="001234BD" w:rsidRPr="004E70CE" w:rsidRDefault="001234BD" w:rsidP="00A815DC">
            <w:pPr>
              <w:pStyle w:val="TableHeading"/>
              <w:rPr>
                <w:b w:val="0"/>
                <w:bCs/>
                <w:sz w:val="20"/>
                <w:szCs w:val="20"/>
              </w:rPr>
            </w:pPr>
            <w:r w:rsidRPr="004E70CE">
              <w:rPr>
                <w:b w:val="0"/>
                <w:bCs/>
                <w:sz w:val="20"/>
                <w:szCs w:val="20"/>
              </w:rPr>
              <w:t>LNG</w:t>
            </w:r>
          </w:p>
        </w:tc>
        <w:tc>
          <w:tcPr>
            <w:tcW w:w="4218" w:type="pct"/>
            <w:tcMar>
              <w:left w:w="108" w:type="dxa"/>
              <w:right w:w="108" w:type="dxa"/>
            </w:tcMar>
          </w:tcPr>
          <w:p w14:paraId="3F283DE4" w14:textId="77777777" w:rsidR="001234BD" w:rsidRPr="004E70CE" w:rsidRDefault="001234BD" w:rsidP="00A815DC">
            <w:pPr>
              <w:pStyle w:val="TableHeading"/>
              <w:rPr>
                <w:b w:val="0"/>
                <w:bCs/>
                <w:sz w:val="20"/>
                <w:szCs w:val="20"/>
              </w:rPr>
            </w:pPr>
            <w:r w:rsidRPr="004E70CE">
              <w:rPr>
                <w:b w:val="0"/>
                <w:bCs/>
                <w:sz w:val="20"/>
                <w:szCs w:val="20"/>
              </w:rPr>
              <w:t>Liquified natural gas</w:t>
            </w:r>
          </w:p>
        </w:tc>
      </w:tr>
      <w:tr w:rsidR="00687A2E" w:rsidRPr="004E70CE" w14:paraId="0A6D12B5" w14:textId="77777777" w:rsidTr="00BA1598">
        <w:trPr>
          <w:cantSplit/>
          <w:tblHeader/>
        </w:trPr>
        <w:tc>
          <w:tcPr>
            <w:tcW w:w="782" w:type="pct"/>
            <w:tcMar>
              <w:left w:w="108" w:type="dxa"/>
              <w:right w:w="108" w:type="dxa"/>
            </w:tcMar>
          </w:tcPr>
          <w:p w14:paraId="45EF39B9" w14:textId="77777777" w:rsidR="00687A2E" w:rsidRPr="004E70CE" w:rsidRDefault="00687A2E" w:rsidP="00A815DC">
            <w:pPr>
              <w:pStyle w:val="TableHeading"/>
              <w:rPr>
                <w:b w:val="0"/>
                <w:bCs/>
                <w:sz w:val="20"/>
                <w:szCs w:val="20"/>
              </w:rPr>
            </w:pPr>
            <w:r w:rsidRPr="004E70CE">
              <w:rPr>
                <w:b w:val="0"/>
                <w:bCs/>
                <w:sz w:val="20"/>
                <w:szCs w:val="20"/>
              </w:rPr>
              <w:t>NGER</w:t>
            </w:r>
          </w:p>
        </w:tc>
        <w:tc>
          <w:tcPr>
            <w:tcW w:w="4218" w:type="pct"/>
            <w:tcMar>
              <w:left w:w="108" w:type="dxa"/>
              <w:right w:w="108" w:type="dxa"/>
            </w:tcMar>
          </w:tcPr>
          <w:p w14:paraId="058640B5" w14:textId="77777777" w:rsidR="00687A2E" w:rsidRPr="004E70CE" w:rsidRDefault="00687A2E" w:rsidP="00A815DC">
            <w:pPr>
              <w:pStyle w:val="TableHeading"/>
              <w:rPr>
                <w:b w:val="0"/>
                <w:bCs/>
                <w:sz w:val="20"/>
                <w:szCs w:val="20"/>
              </w:rPr>
            </w:pPr>
            <w:r w:rsidRPr="004E70CE">
              <w:rPr>
                <w:b w:val="0"/>
                <w:bCs/>
                <w:sz w:val="20"/>
                <w:szCs w:val="20"/>
              </w:rPr>
              <w:t>National Greenhouse and Energy Reporting Scheme</w:t>
            </w:r>
          </w:p>
        </w:tc>
      </w:tr>
      <w:tr w:rsidR="00687A2E" w:rsidRPr="004E70CE" w14:paraId="47DF8255" w14:textId="77777777" w:rsidTr="00BA1598">
        <w:trPr>
          <w:cantSplit/>
          <w:tblHeader/>
        </w:trPr>
        <w:tc>
          <w:tcPr>
            <w:tcW w:w="782" w:type="pct"/>
            <w:tcMar>
              <w:left w:w="108" w:type="dxa"/>
              <w:right w:w="108" w:type="dxa"/>
            </w:tcMar>
          </w:tcPr>
          <w:p w14:paraId="15737103" w14:textId="77777777" w:rsidR="00687A2E" w:rsidRPr="004E70CE" w:rsidRDefault="00687A2E" w:rsidP="00A815DC">
            <w:pPr>
              <w:pStyle w:val="TableHeading"/>
              <w:rPr>
                <w:b w:val="0"/>
                <w:bCs/>
                <w:sz w:val="20"/>
                <w:szCs w:val="20"/>
              </w:rPr>
            </w:pPr>
            <w:r w:rsidRPr="004E70CE">
              <w:rPr>
                <w:b w:val="0"/>
                <w:bCs/>
                <w:sz w:val="20"/>
                <w:szCs w:val="20"/>
              </w:rPr>
              <w:t>NGO</w:t>
            </w:r>
          </w:p>
        </w:tc>
        <w:tc>
          <w:tcPr>
            <w:tcW w:w="4218" w:type="pct"/>
            <w:tcMar>
              <w:left w:w="108" w:type="dxa"/>
              <w:right w:w="108" w:type="dxa"/>
            </w:tcMar>
          </w:tcPr>
          <w:p w14:paraId="08C34FF8" w14:textId="77777777" w:rsidR="00687A2E" w:rsidRPr="004E70CE" w:rsidRDefault="00687A2E" w:rsidP="00A815DC">
            <w:pPr>
              <w:pStyle w:val="TableHeading"/>
              <w:rPr>
                <w:b w:val="0"/>
                <w:bCs/>
                <w:sz w:val="20"/>
                <w:szCs w:val="20"/>
              </w:rPr>
            </w:pPr>
            <w:r w:rsidRPr="004E70CE">
              <w:rPr>
                <w:b w:val="0"/>
                <w:bCs/>
                <w:sz w:val="20"/>
                <w:szCs w:val="20"/>
              </w:rPr>
              <w:t>Non-government organisation</w:t>
            </w:r>
          </w:p>
        </w:tc>
      </w:tr>
      <w:tr w:rsidR="00A815DC" w:rsidRPr="004E70CE" w14:paraId="742F97EC" w14:textId="77777777" w:rsidTr="00BA1598">
        <w:trPr>
          <w:cantSplit/>
          <w:tblHeader/>
        </w:trPr>
        <w:tc>
          <w:tcPr>
            <w:tcW w:w="782" w:type="pct"/>
            <w:tcMar>
              <w:left w:w="108" w:type="dxa"/>
              <w:right w:w="108" w:type="dxa"/>
            </w:tcMar>
          </w:tcPr>
          <w:p w14:paraId="6497DB48" w14:textId="77777777" w:rsidR="00A815DC" w:rsidRPr="004E70CE" w:rsidRDefault="00A815DC" w:rsidP="00A815DC">
            <w:pPr>
              <w:pStyle w:val="TableHeading"/>
              <w:rPr>
                <w:b w:val="0"/>
                <w:bCs/>
                <w:sz w:val="20"/>
                <w:szCs w:val="20"/>
              </w:rPr>
            </w:pPr>
            <w:r w:rsidRPr="004E70CE">
              <w:rPr>
                <w:b w:val="0"/>
                <w:bCs/>
                <w:sz w:val="20"/>
                <w:szCs w:val="20"/>
              </w:rPr>
              <w:t>OECD</w:t>
            </w:r>
          </w:p>
        </w:tc>
        <w:tc>
          <w:tcPr>
            <w:tcW w:w="4218" w:type="pct"/>
            <w:tcMar>
              <w:left w:w="108" w:type="dxa"/>
              <w:right w:w="108" w:type="dxa"/>
            </w:tcMar>
          </w:tcPr>
          <w:p w14:paraId="30C44248" w14:textId="77777777" w:rsidR="00A815DC" w:rsidRPr="004E70CE" w:rsidRDefault="00A815DC" w:rsidP="00A815DC">
            <w:pPr>
              <w:pStyle w:val="TableHeading"/>
              <w:rPr>
                <w:b w:val="0"/>
                <w:bCs/>
                <w:sz w:val="20"/>
                <w:szCs w:val="20"/>
              </w:rPr>
            </w:pPr>
            <w:r w:rsidRPr="004E70CE">
              <w:rPr>
                <w:b w:val="0"/>
                <w:bCs/>
                <w:sz w:val="20"/>
                <w:szCs w:val="20"/>
              </w:rPr>
              <w:t>Organisation for Economic Co-operation and Development</w:t>
            </w:r>
          </w:p>
        </w:tc>
      </w:tr>
      <w:tr w:rsidR="00A815DC" w:rsidRPr="004E70CE" w14:paraId="70950906" w14:textId="77777777" w:rsidTr="00BA1598">
        <w:trPr>
          <w:cantSplit/>
          <w:tblHeader/>
        </w:trPr>
        <w:tc>
          <w:tcPr>
            <w:tcW w:w="782" w:type="pct"/>
            <w:tcMar>
              <w:left w:w="108" w:type="dxa"/>
              <w:right w:w="108" w:type="dxa"/>
            </w:tcMar>
          </w:tcPr>
          <w:p w14:paraId="60E43BC8" w14:textId="77777777" w:rsidR="00A815DC" w:rsidRPr="004E70CE" w:rsidRDefault="00A815DC" w:rsidP="00A815DC">
            <w:pPr>
              <w:pStyle w:val="TableHeading"/>
              <w:rPr>
                <w:b w:val="0"/>
                <w:bCs/>
                <w:sz w:val="20"/>
                <w:szCs w:val="20"/>
              </w:rPr>
            </w:pPr>
            <w:r w:rsidRPr="004E70CE">
              <w:rPr>
                <w:b w:val="0"/>
                <w:bCs/>
                <w:sz w:val="20"/>
                <w:szCs w:val="20"/>
              </w:rPr>
              <w:t>PESA</w:t>
            </w:r>
          </w:p>
        </w:tc>
        <w:tc>
          <w:tcPr>
            <w:tcW w:w="4218" w:type="pct"/>
            <w:tcMar>
              <w:left w:w="108" w:type="dxa"/>
              <w:right w:w="108" w:type="dxa"/>
            </w:tcMar>
          </w:tcPr>
          <w:p w14:paraId="2ED65C05" w14:textId="77777777" w:rsidR="00A815DC" w:rsidRPr="004E70CE" w:rsidRDefault="00A815DC" w:rsidP="00A815DC">
            <w:pPr>
              <w:pStyle w:val="TableHeading"/>
              <w:rPr>
                <w:b w:val="0"/>
                <w:bCs/>
                <w:sz w:val="20"/>
                <w:szCs w:val="20"/>
              </w:rPr>
            </w:pPr>
            <w:r w:rsidRPr="004E70CE">
              <w:rPr>
                <w:b w:val="0"/>
                <w:bCs/>
                <w:sz w:val="20"/>
                <w:szCs w:val="20"/>
              </w:rPr>
              <w:t>Product Emissions Standards Act 2017</w:t>
            </w:r>
          </w:p>
        </w:tc>
      </w:tr>
      <w:tr w:rsidR="00A815DC" w:rsidRPr="004E70CE" w14:paraId="136690E1" w14:textId="77777777" w:rsidTr="00BA1598">
        <w:trPr>
          <w:cantSplit/>
          <w:tblHeader/>
        </w:trPr>
        <w:tc>
          <w:tcPr>
            <w:tcW w:w="782" w:type="pct"/>
            <w:tcMar>
              <w:left w:w="108" w:type="dxa"/>
              <w:right w:w="108" w:type="dxa"/>
            </w:tcMar>
          </w:tcPr>
          <w:p w14:paraId="208829E3" w14:textId="77777777" w:rsidR="00A815DC" w:rsidRPr="004E70CE" w:rsidRDefault="00A815DC" w:rsidP="00A815DC">
            <w:pPr>
              <w:pStyle w:val="TableHeading"/>
              <w:rPr>
                <w:b w:val="0"/>
                <w:bCs/>
                <w:sz w:val="20"/>
                <w:szCs w:val="20"/>
              </w:rPr>
            </w:pPr>
            <w:r w:rsidRPr="004E70CE">
              <w:rPr>
                <w:b w:val="0"/>
                <w:bCs/>
                <w:sz w:val="20"/>
                <w:szCs w:val="20"/>
              </w:rPr>
              <w:t>SMC</w:t>
            </w:r>
          </w:p>
        </w:tc>
        <w:tc>
          <w:tcPr>
            <w:tcW w:w="4218" w:type="pct"/>
            <w:tcMar>
              <w:left w:w="108" w:type="dxa"/>
              <w:right w:w="108" w:type="dxa"/>
            </w:tcMar>
          </w:tcPr>
          <w:p w14:paraId="22BBA2F0" w14:textId="77777777" w:rsidR="00A815DC" w:rsidRPr="004E70CE" w:rsidRDefault="00A815DC" w:rsidP="00A815DC">
            <w:pPr>
              <w:pStyle w:val="TableHeading"/>
              <w:rPr>
                <w:b w:val="0"/>
                <w:bCs/>
                <w:sz w:val="20"/>
                <w:szCs w:val="20"/>
              </w:rPr>
            </w:pPr>
            <w:r w:rsidRPr="004E70CE">
              <w:rPr>
                <w:b w:val="0"/>
                <w:bCs/>
                <w:sz w:val="20"/>
                <w:szCs w:val="20"/>
              </w:rPr>
              <w:t>Safeguard Mechanism Credits</w:t>
            </w:r>
          </w:p>
        </w:tc>
      </w:tr>
      <w:tr w:rsidR="00A815DC" w:rsidRPr="004E70CE" w14:paraId="3887B3F9" w14:textId="77777777" w:rsidTr="00BA1598">
        <w:trPr>
          <w:cantSplit/>
          <w:tblHeader/>
        </w:trPr>
        <w:tc>
          <w:tcPr>
            <w:tcW w:w="782" w:type="pct"/>
            <w:tcMar>
              <w:left w:w="108" w:type="dxa"/>
              <w:right w:w="108" w:type="dxa"/>
            </w:tcMar>
          </w:tcPr>
          <w:p w14:paraId="60D0CA59" w14:textId="77777777" w:rsidR="00A815DC" w:rsidRPr="004E70CE" w:rsidRDefault="00A815DC" w:rsidP="00A815DC">
            <w:pPr>
              <w:pStyle w:val="TableHeading"/>
              <w:rPr>
                <w:b w:val="0"/>
                <w:bCs/>
                <w:sz w:val="20"/>
                <w:szCs w:val="20"/>
              </w:rPr>
            </w:pPr>
            <w:r w:rsidRPr="004E70CE">
              <w:rPr>
                <w:b w:val="0"/>
                <w:bCs/>
                <w:sz w:val="20"/>
                <w:szCs w:val="20"/>
              </w:rPr>
              <w:t>TEBA</w:t>
            </w:r>
          </w:p>
        </w:tc>
        <w:tc>
          <w:tcPr>
            <w:tcW w:w="4218" w:type="pct"/>
            <w:tcMar>
              <w:left w:w="108" w:type="dxa"/>
              <w:right w:w="108" w:type="dxa"/>
            </w:tcMar>
          </w:tcPr>
          <w:p w14:paraId="44EFA487" w14:textId="77777777" w:rsidR="00A815DC" w:rsidRPr="004E70CE" w:rsidRDefault="00A815DC" w:rsidP="00A815DC">
            <w:pPr>
              <w:pStyle w:val="TableHeading"/>
              <w:rPr>
                <w:b w:val="0"/>
                <w:bCs/>
                <w:sz w:val="20"/>
                <w:szCs w:val="20"/>
              </w:rPr>
            </w:pPr>
            <w:r w:rsidRPr="004E70CE">
              <w:rPr>
                <w:b w:val="0"/>
                <w:bCs/>
                <w:sz w:val="20"/>
                <w:szCs w:val="20"/>
              </w:rPr>
              <w:t>Trade Exposed Baseline Adjusted</w:t>
            </w:r>
          </w:p>
        </w:tc>
      </w:tr>
      <w:tr w:rsidR="00B97F62" w:rsidRPr="004E70CE" w14:paraId="1F287607" w14:textId="77777777" w:rsidTr="00BA1598">
        <w:trPr>
          <w:cantSplit/>
          <w:tblHeader/>
        </w:trPr>
        <w:tc>
          <w:tcPr>
            <w:tcW w:w="782" w:type="pct"/>
            <w:tcMar>
              <w:left w:w="108" w:type="dxa"/>
              <w:right w:w="108" w:type="dxa"/>
            </w:tcMar>
          </w:tcPr>
          <w:p w14:paraId="491024A2" w14:textId="77777777" w:rsidR="00B97F62" w:rsidRPr="004E70CE" w:rsidRDefault="00B97F62" w:rsidP="00A815DC">
            <w:pPr>
              <w:pStyle w:val="TableHeading"/>
              <w:rPr>
                <w:b w:val="0"/>
                <w:bCs/>
                <w:sz w:val="20"/>
                <w:szCs w:val="20"/>
              </w:rPr>
            </w:pPr>
            <w:r w:rsidRPr="004E70CE">
              <w:rPr>
                <w:b w:val="0"/>
                <w:bCs/>
                <w:sz w:val="20"/>
                <w:szCs w:val="20"/>
              </w:rPr>
              <w:t>UNFCCC</w:t>
            </w:r>
          </w:p>
        </w:tc>
        <w:tc>
          <w:tcPr>
            <w:tcW w:w="4218" w:type="pct"/>
            <w:tcMar>
              <w:left w:w="108" w:type="dxa"/>
              <w:right w:w="108" w:type="dxa"/>
            </w:tcMar>
          </w:tcPr>
          <w:p w14:paraId="0B5A3824" w14:textId="77777777" w:rsidR="00B97F62" w:rsidRPr="004E70CE" w:rsidRDefault="00687A2E" w:rsidP="00A815DC">
            <w:pPr>
              <w:pStyle w:val="TableHeading"/>
              <w:rPr>
                <w:b w:val="0"/>
                <w:bCs/>
                <w:sz w:val="20"/>
                <w:szCs w:val="20"/>
              </w:rPr>
            </w:pPr>
            <w:r w:rsidRPr="004E70CE">
              <w:rPr>
                <w:b w:val="0"/>
                <w:bCs/>
                <w:sz w:val="20"/>
                <w:szCs w:val="20"/>
              </w:rPr>
              <w:t>United Nations Framework Convention on Climate Change</w:t>
            </w:r>
          </w:p>
        </w:tc>
      </w:tr>
      <w:tr w:rsidR="00A815DC" w:rsidRPr="00BA1598" w14:paraId="67B33D53" w14:textId="77777777" w:rsidTr="00BA1598">
        <w:trPr>
          <w:cantSplit/>
          <w:tblHeader/>
        </w:trPr>
        <w:tc>
          <w:tcPr>
            <w:tcW w:w="782" w:type="pct"/>
            <w:tcMar>
              <w:left w:w="108" w:type="dxa"/>
              <w:right w:w="108" w:type="dxa"/>
            </w:tcMar>
          </w:tcPr>
          <w:p w14:paraId="6E449FD1" w14:textId="77777777" w:rsidR="00A815DC" w:rsidRPr="004E70CE" w:rsidRDefault="00A815DC" w:rsidP="00A815DC">
            <w:pPr>
              <w:pStyle w:val="TableHeading"/>
              <w:rPr>
                <w:b w:val="0"/>
                <w:bCs/>
                <w:sz w:val="20"/>
                <w:szCs w:val="20"/>
              </w:rPr>
            </w:pPr>
            <w:r w:rsidRPr="004E70CE">
              <w:rPr>
                <w:b w:val="0"/>
                <w:bCs/>
                <w:sz w:val="20"/>
                <w:szCs w:val="20"/>
              </w:rPr>
              <w:t>WTO</w:t>
            </w:r>
          </w:p>
        </w:tc>
        <w:tc>
          <w:tcPr>
            <w:tcW w:w="4218" w:type="pct"/>
            <w:tcMar>
              <w:left w:w="108" w:type="dxa"/>
              <w:right w:w="108" w:type="dxa"/>
            </w:tcMar>
          </w:tcPr>
          <w:p w14:paraId="59B3F462" w14:textId="77777777" w:rsidR="00A815DC" w:rsidRPr="00BA1598" w:rsidRDefault="00A815DC" w:rsidP="00A815DC">
            <w:pPr>
              <w:pStyle w:val="TableHeading"/>
              <w:rPr>
                <w:b w:val="0"/>
                <w:bCs/>
                <w:sz w:val="20"/>
                <w:szCs w:val="20"/>
              </w:rPr>
            </w:pPr>
            <w:r w:rsidRPr="004E70CE">
              <w:rPr>
                <w:b w:val="0"/>
                <w:bCs/>
                <w:sz w:val="20"/>
                <w:szCs w:val="20"/>
              </w:rPr>
              <w:t>World Trade Organi</w:t>
            </w:r>
            <w:r w:rsidR="00127A34" w:rsidRPr="004E70CE">
              <w:rPr>
                <w:b w:val="0"/>
                <w:bCs/>
                <w:sz w:val="20"/>
                <w:szCs w:val="20"/>
              </w:rPr>
              <w:t>s</w:t>
            </w:r>
            <w:r w:rsidRPr="004E70CE">
              <w:rPr>
                <w:b w:val="0"/>
                <w:bCs/>
                <w:sz w:val="20"/>
                <w:szCs w:val="20"/>
              </w:rPr>
              <w:t>ation</w:t>
            </w:r>
          </w:p>
        </w:tc>
      </w:tr>
      <w:bookmarkEnd w:id="48"/>
    </w:tbl>
    <w:p w14:paraId="62447E4E" w14:textId="77777777" w:rsidR="004E1A24" w:rsidRDefault="004E1A24" w:rsidP="00284D14"/>
    <w:p w14:paraId="78AE586A" w14:textId="29A90E02" w:rsidR="00855528" w:rsidRDefault="00855528">
      <w:pPr>
        <w:spacing w:after="0" w:line="240" w:lineRule="auto"/>
      </w:pPr>
      <w:r>
        <w:br w:type="page"/>
      </w:r>
    </w:p>
    <w:p w14:paraId="5ED1C374" w14:textId="0012D908" w:rsidR="00853A56" w:rsidRDefault="00DD3FC7" w:rsidP="004B480A">
      <w:pPr>
        <w:pStyle w:val="Heading2"/>
        <w:numPr>
          <w:ilvl w:val="0"/>
          <w:numId w:val="0"/>
        </w:numPr>
      </w:pPr>
      <w:bookmarkStart w:id="50" w:name="_Toc173997681"/>
      <w:r>
        <w:lastRenderedPageBreak/>
        <w:t>Appendix: Design considerations for a border carbon adjustment</w:t>
      </w:r>
      <w:bookmarkEnd w:id="50"/>
      <w:r>
        <w:t xml:space="preserve"> </w:t>
      </w:r>
    </w:p>
    <w:p w14:paraId="4302A608" w14:textId="5D4EB92C" w:rsidR="00853A56" w:rsidRPr="00893E50" w:rsidRDefault="00853A56" w:rsidP="004B480A">
      <w:pPr>
        <w:pStyle w:val="BodyText"/>
        <w:spacing w:before="360" w:after="360"/>
        <w:rPr>
          <w:sz w:val="22"/>
        </w:rPr>
      </w:pPr>
      <w:r w:rsidRPr="00893E50">
        <w:rPr>
          <w:sz w:val="22"/>
        </w:rPr>
        <w:t>This appendix provides further consideration of detailed design issues related to any Australian border carbon adjustment, including calculation of the adjustment and key administrative aspects.</w:t>
      </w:r>
    </w:p>
    <w:p w14:paraId="558B3585" w14:textId="339DE3BC" w:rsidR="0068460E" w:rsidRPr="00853A56" w:rsidRDefault="00DE2C7B" w:rsidP="00537479">
      <w:pPr>
        <w:spacing w:after="0" w:line="240" w:lineRule="auto"/>
        <w:rPr>
          <w:b/>
          <w:sz w:val="32"/>
          <w:szCs w:val="20"/>
        </w:rPr>
      </w:pPr>
      <w:r w:rsidRPr="00853A56">
        <w:rPr>
          <w:b/>
          <w:sz w:val="32"/>
          <w:szCs w:val="20"/>
        </w:rPr>
        <w:t>Calculation of a border carbon adjustment</w:t>
      </w:r>
    </w:p>
    <w:p w14:paraId="6200BAF4" w14:textId="77777777" w:rsidR="00DE2C7B" w:rsidRDefault="00DE2C7B" w:rsidP="00537479">
      <w:pPr>
        <w:spacing w:after="0" w:line="240" w:lineRule="auto"/>
      </w:pPr>
    </w:p>
    <w:p w14:paraId="2AF5B214" w14:textId="77777777" w:rsidR="00DD3FC7" w:rsidRPr="004E70CE" w:rsidRDefault="00DD3FC7" w:rsidP="00DD3FC7">
      <w:pPr>
        <w:rPr>
          <w:rFonts w:ascii="Calibri" w:eastAsia="Calibri" w:hAnsi="Calibri" w:cs="Calibri"/>
        </w:rPr>
      </w:pPr>
      <w:r w:rsidRPr="004E70CE">
        <w:rPr>
          <w:rFonts w:ascii="Calibri" w:eastAsia="Calibri" w:hAnsi="Calibri" w:cs="Calibri"/>
        </w:rPr>
        <w:t>Calculation of a border carbon liability that approximates Safeguard Mechanism provisions can be described as comprising the following three steps.</w:t>
      </w:r>
    </w:p>
    <w:p w14:paraId="19508EFB" w14:textId="5A239098" w:rsidR="00DD3FC7" w:rsidRPr="004E70CE" w:rsidRDefault="00DD3FC7" w:rsidP="00DD3FC7">
      <w:r w:rsidRPr="004E70CE">
        <w:rPr>
          <w:rFonts w:ascii="Calibri" w:eastAsia="Calibri" w:hAnsi="Calibri" w:cs="Calibri"/>
          <w:b/>
        </w:rPr>
        <w:t>Step 1:</w:t>
      </w:r>
      <w:r w:rsidRPr="004E70CE">
        <w:rPr>
          <w:rFonts w:ascii="Calibri" w:eastAsia="Calibri" w:hAnsi="Calibri" w:cs="Calibri"/>
        </w:rPr>
        <w:t xml:space="preserve"> Assess whether and by how much the imported commodity’s emissions intensity exceeds the relevant Safeguard baseline (’Assessed excess emissions intensity’). </w:t>
      </w:r>
      <w:r w:rsidRPr="004E70CE">
        <w:rPr>
          <w:noProof/>
        </w:rPr>
        <w:drawing>
          <wp:inline distT="0" distB="0" distL="0" distR="0" wp14:anchorId="3567E170" wp14:editId="315D2256">
            <wp:extent cx="4554149" cy="1645920"/>
            <wp:effectExtent l="0" t="0" r="0" b="0"/>
            <wp:docPr id="5" name="Picture 1" descr="A diagram of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44577" name="Picture 1" descr="A diagram of a factory&#10;&#10;Description automatically generated"/>
                    <pic:cNvPicPr/>
                  </pic:nvPicPr>
                  <pic:blipFill>
                    <a:blip r:embed="rId31"/>
                    <a:stretch>
                      <a:fillRect/>
                    </a:stretch>
                  </pic:blipFill>
                  <pic:spPr>
                    <a:xfrm>
                      <a:off x="0" y="0"/>
                      <a:ext cx="4626154" cy="1671943"/>
                    </a:xfrm>
                    <a:prstGeom prst="rect">
                      <a:avLst/>
                    </a:prstGeom>
                  </pic:spPr>
                </pic:pic>
              </a:graphicData>
            </a:graphic>
          </wp:inline>
        </w:drawing>
      </w:r>
      <w:r w:rsidR="007C5D27">
        <w:rPr>
          <w:rFonts w:ascii="Calibri" w:eastAsia="Calibri" w:hAnsi="Calibri" w:cs="Calibri"/>
        </w:rPr>
        <w:br/>
      </w:r>
      <w:r w:rsidRPr="004E70CE">
        <w:rPr>
          <w:rFonts w:ascii="Calibri" w:eastAsia="Calibri" w:hAnsi="Calibri" w:cs="Calibri"/>
          <w:b/>
          <w:bCs/>
        </w:rPr>
        <w:t>Step 2:</w:t>
      </w:r>
      <w:r w:rsidRPr="004E70CE">
        <w:rPr>
          <w:rFonts w:ascii="Calibri" w:eastAsia="Calibri" w:hAnsi="Calibri" w:cs="Calibri"/>
        </w:rPr>
        <w:t xml:space="preserve"> Determine the ’equivalent carbon cost’ that applies per tonne of imported products. This is the assessed excess emissions intensity multiplied by the relevant Australian unit price (credit price).  </w:t>
      </w:r>
      <w:r w:rsidRPr="004E70CE">
        <w:rPr>
          <w:noProof/>
        </w:rPr>
        <w:drawing>
          <wp:inline distT="0" distB="0" distL="0" distR="0" wp14:anchorId="56141874" wp14:editId="5F765F93">
            <wp:extent cx="4553585" cy="1639191"/>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11765" name=""/>
                    <pic:cNvPicPr/>
                  </pic:nvPicPr>
                  <pic:blipFill>
                    <a:blip r:embed="rId32"/>
                    <a:stretch>
                      <a:fillRect/>
                    </a:stretch>
                  </pic:blipFill>
                  <pic:spPr>
                    <a:xfrm>
                      <a:off x="0" y="0"/>
                      <a:ext cx="4625790" cy="1665183"/>
                    </a:xfrm>
                    <a:prstGeom prst="rect">
                      <a:avLst/>
                    </a:prstGeom>
                  </pic:spPr>
                </pic:pic>
              </a:graphicData>
            </a:graphic>
          </wp:inline>
        </w:drawing>
      </w:r>
      <w:r w:rsidR="007C5D27">
        <w:rPr>
          <w:rFonts w:ascii="Calibri" w:eastAsia="Calibri" w:hAnsi="Calibri" w:cs="Calibri"/>
        </w:rPr>
        <w:br/>
      </w:r>
      <w:r w:rsidRPr="004E70CE">
        <w:rPr>
          <w:rFonts w:ascii="Calibri" w:eastAsia="Calibri" w:hAnsi="Calibri" w:cs="Calibri"/>
          <w:b/>
        </w:rPr>
        <w:t xml:space="preserve">Step 3: </w:t>
      </w:r>
      <w:r w:rsidRPr="004E70CE">
        <w:rPr>
          <w:rFonts w:ascii="Calibri" w:eastAsia="Calibri" w:hAnsi="Calibri" w:cs="Calibri"/>
        </w:rPr>
        <w:t>Any carbon costs incurred in the producing jurisdiction or in transit to Australia are then deducted, to result in the border carbon liability.</w:t>
      </w:r>
      <w:r w:rsidRPr="004E70CE">
        <w:rPr>
          <w:noProof/>
        </w:rPr>
        <w:drawing>
          <wp:inline distT="0" distB="0" distL="0" distR="0" wp14:anchorId="4471C13C" wp14:editId="0C1337D9">
            <wp:extent cx="4591389" cy="1630018"/>
            <wp:effectExtent l="0" t="0" r="0" b="889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95592" name=""/>
                    <pic:cNvPicPr/>
                  </pic:nvPicPr>
                  <pic:blipFill>
                    <a:blip r:embed="rId33"/>
                    <a:stretch>
                      <a:fillRect/>
                    </a:stretch>
                  </pic:blipFill>
                  <pic:spPr>
                    <a:xfrm>
                      <a:off x="0" y="0"/>
                      <a:ext cx="4600189" cy="1633142"/>
                    </a:xfrm>
                    <a:prstGeom prst="rect">
                      <a:avLst/>
                    </a:prstGeom>
                  </pic:spPr>
                </pic:pic>
              </a:graphicData>
            </a:graphic>
          </wp:inline>
        </w:drawing>
      </w:r>
    </w:p>
    <w:p w14:paraId="428A0528" w14:textId="77777777" w:rsidR="00DD3FC7" w:rsidRPr="004E70CE" w:rsidRDefault="00DD3FC7" w:rsidP="00DD3FC7">
      <w:r w:rsidRPr="004E70CE">
        <w:lastRenderedPageBreak/>
        <w:t>A liability arises only if there is a positive assessed excess emissions intensity, and if the carbon cost already incurred is lower than the equivalent emissions obligation.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410"/>
        <w:gridCol w:w="3044"/>
        <w:gridCol w:w="3044"/>
      </w:tblGrid>
      <w:tr w:rsidR="00DD3FC7" w:rsidRPr="004E70CE" w14:paraId="26B1476E" w14:textId="77777777" w:rsidTr="00DE2C7B">
        <w:trPr>
          <w:trHeight w:val="545"/>
        </w:trPr>
        <w:tc>
          <w:tcPr>
            <w:tcW w:w="562" w:type="dxa"/>
            <w:vMerge w:val="restart"/>
            <w:textDirection w:val="btLr"/>
          </w:tcPr>
          <w:p w14:paraId="43F49E6E" w14:textId="77777777" w:rsidR="00DD3FC7" w:rsidRPr="004E70CE" w:rsidRDefault="00DD3FC7" w:rsidP="00DE2C7B">
            <w:pPr>
              <w:spacing w:before="0" w:after="0"/>
              <w:ind w:left="113" w:right="113"/>
              <w:rPr>
                <w:b/>
              </w:rPr>
            </w:pPr>
            <w:r w:rsidRPr="004E70CE">
              <w:rPr>
                <w:b/>
              </w:rPr>
              <w:t xml:space="preserve">Step </w:t>
            </w:r>
            <w:r w:rsidRPr="004E70CE">
              <w:rPr>
                <w:b/>
                <w:bCs/>
              </w:rPr>
              <w:t>1</w:t>
            </w:r>
            <w:r w:rsidRPr="004E70CE">
              <w:rPr>
                <w:b/>
              </w:rPr>
              <w:t>: Emissions intensity of import</w:t>
            </w:r>
            <w:r>
              <w:rPr>
                <w:b/>
              </w:rPr>
              <w:t>s</w:t>
            </w:r>
          </w:p>
        </w:tc>
        <w:tc>
          <w:tcPr>
            <w:tcW w:w="8498" w:type="dxa"/>
            <w:gridSpan w:val="3"/>
          </w:tcPr>
          <w:p w14:paraId="1A6EC611" w14:textId="77777777" w:rsidR="00DD3FC7" w:rsidRPr="004E70CE" w:rsidRDefault="00DD3FC7" w:rsidP="00DE2C7B">
            <w:pPr>
              <w:spacing w:before="0"/>
              <w:ind w:left="2880"/>
              <w:rPr>
                <w:b/>
              </w:rPr>
            </w:pPr>
            <w:r w:rsidRPr="004E70CE">
              <w:rPr>
                <w:b/>
              </w:rPr>
              <w:t xml:space="preserve">Step </w:t>
            </w:r>
            <w:r w:rsidRPr="004E70CE">
              <w:rPr>
                <w:b/>
                <w:bCs/>
              </w:rPr>
              <w:t>2</w:t>
            </w:r>
            <w:r w:rsidRPr="004E70CE">
              <w:rPr>
                <w:b/>
              </w:rPr>
              <w:t xml:space="preserve"> and </w:t>
            </w:r>
            <w:r w:rsidRPr="004E70CE">
              <w:rPr>
                <w:b/>
                <w:bCs/>
              </w:rPr>
              <w:t>3</w:t>
            </w:r>
            <w:r w:rsidRPr="004E70CE">
              <w:rPr>
                <w:b/>
              </w:rPr>
              <w:t>: Foreign jurisdiction carbon cost compared to Australian equivalent carbon cost</w:t>
            </w:r>
          </w:p>
        </w:tc>
      </w:tr>
      <w:tr w:rsidR="00DD3FC7" w:rsidRPr="004E70CE" w14:paraId="731C2E50" w14:textId="77777777" w:rsidTr="00DE2C7B">
        <w:tc>
          <w:tcPr>
            <w:tcW w:w="562" w:type="dxa"/>
            <w:vMerge/>
          </w:tcPr>
          <w:p w14:paraId="7A0E04D9" w14:textId="77777777" w:rsidR="00DD3FC7" w:rsidRPr="004E70CE" w:rsidRDefault="00DD3FC7" w:rsidP="00DE2C7B">
            <w:pPr>
              <w:spacing w:before="0" w:after="0"/>
            </w:pPr>
          </w:p>
        </w:tc>
        <w:tc>
          <w:tcPr>
            <w:tcW w:w="2410" w:type="dxa"/>
            <w:vAlign w:val="center"/>
          </w:tcPr>
          <w:p w14:paraId="06DCFA63" w14:textId="77777777" w:rsidR="00DD3FC7" w:rsidRPr="004E70CE" w:rsidRDefault="00DD3FC7" w:rsidP="00DE2C7B">
            <w:pPr>
              <w:spacing w:before="0" w:after="0"/>
              <w:jc w:val="center"/>
            </w:pPr>
          </w:p>
        </w:tc>
        <w:tc>
          <w:tcPr>
            <w:tcW w:w="3044" w:type="dxa"/>
            <w:tcBorders>
              <w:right w:val="single" w:sz="18" w:space="0" w:color="000000"/>
            </w:tcBorders>
            <w:vAlign w:val="center"/>
          </w:tcPr>
          <w:p w14:paraId="667E5DB0" w14:textId="77777777" w:rsidR="00DD3FC7" w:rsidRPr="004E70CE" w:rsidRDefault="00DD3FC7" w:rsidP="00DE2C7B">
            <w:pPr>
              <w:spacing w:before="0" w:after="0"/>
              <w:jc w:val="center"/>
            </w:pPr>
            <w:r w:rsidRPr="004E70CE">
              <w:t>Lower than Australia</w:t>
            </w:r>
          </w:p>
        </w:tc>
        <w:tc>
          <w:tcPr>
            <w:tcW w:w="3044" w:type="dxa"/>
            <w:tcBorders>
              <w:left w:val="single" w:sz="18" w:space="0" w:color="000000"/>
            </w:tcBorders>
            <w:vAlign w:val="center"/>
          </w:tcPr>
          <w:p w14:paraId="18DD0BD8" w14:textId="77777777" w:rsidR="00DD3FC7" w:rsidRPr="004E70CE" w:rsidRDefault="00DD3FC7" w:rsidP="00DE2C7B">
            <w:pPr>
              <w:spacing w:before="0" w:after="0"/>
              <w:jc w:val="center"/>
            </w:pPr>
            <w:r w:rsidRPr="004E70CE">
              <w:t>Equal or higher than Australia</w:t>
            </w:r>
          </w:p>
        </w:tc>
      </w:tr>
      <w:tr w:rsidR="00DD3FC7" w:rsidRPr="004E70CE" w14:paraId="647470C6" w14:textId="77777777" w:rsidTr="00DE2C7B">
        <w:trPr>
          <w:trHeight w:val="1361"/>
        </w:trPr>
        <w:tc>
          <w:tcPr>
            <w:tcW w:w="562" w:type="dxa"/>
            <w:vMerge/>
          </w:tcPr>
          <w:p w14:paraId="1B29B2E5" w14:textId="77777777" w:rsidR="00DD3FC7" w:rsidRPr="004E70CE" w:rsidRDefault="00DD3FC7" w:rsidP="00DE2C7B">
            <w:pPr>
              <w:spacing w:before="0" w:after="0"/>
            </w:pPr>
          </w:p>
        </w:tc>
        <w:tc>
          <w:tcPr>
            <w:tcW w:w="2410" w:type="dxa"/>
            <w:tcBorders>
              <w:bottom w:val="single" w:sz="18" w:space="0" w:color="000000"/>
            </w:tcBorders>
            <w:vAlign w:val="center"/>
          </w:tcPr>
          <w:p w14:paraId="29C0AA2C" w14:textId="77777777" w:rsidR="00DD3FC7" w:rsidRPr="004E70CE" w:rsidRDefault="00DD3FC7" w:rsidP="00DE2C7B">
            <w:pPr>
              <w:spacing w:before="0" w:after="0"/>
              <w:jc w:val="center"/>
            </w:pPr>
            <w:r w:rsidRPr="004E70CE">
              <w:t>Higher than Safeguard benchmark</w:t>
            </w:r>
          </w:p>
        </w:tc>
        <w:tc>
          <w:tcPr>
            <w:tcW w:w="3044" w:type="dxa"/>
            <w:tcBorders>
              <w:bottom w:val="single" w:sz="18" w:space="0" w:color="000000"/>
              <w:right w:val="single" w:sz="18" w:space="0" w:color="000000"/>
            </w:tcBorders>
            <w:shd w:val="clear" w:color="auto" w:fill="C3F2F3" w:themeFill="accent1" w:themeFillTint="33"/>
            <w:vAlign w:val="center"/>
          </w:tcPr>
          <w:p w14:paraId="5F4D2F8D" w14:textId="77777777" w:rsidR="00DD3FC7" w:rsidRPr="004E70CE" w:rsidRDefault="00DD3FC7" w:rsidP="00DE2C7B">
            <w:pPr>
              <w:spacing w:before="0" w:after="0"/>
              <w:jc w:val="center"/>
            </w:pPr>
            <w:r w:rsidRPr="004E70CE">
              <w:t>Liability applies</w:t>
            </w:r>
          </w:p>
        </w:tc>
        <w:tc>
          <w:tcPr>
            <w:tcW w:w="3044" w:type="dxa"/>
            <w:tcBorders>
              <w:left w:val="single" w:sz="18" w:space="0" w:color="000000"/>
              <w:bottom w:val="single" w:sz="18" w:space="0" w:color="000000"/>
            </w:tcBorders>
            <w:shd w:val="clear" w:color="auto" w:fill="D6EDBD"/>
            <w:vAlign w:val="center"/>
          </w:tcPr>
          <w:p w14:paraId="2F261EB2" w14:textId="77777777" w:rsidR="00DD3FC7" w:rsidRPr="004E70CE" w:rsidRDefault="00DD3FC7" w:rsidP="00DE2C7B">
            <w:pPr>
              <w:spacing w:before="0" w:after="0"/>
              <w:jc w:val="center"/>
            </w:pPr>
            <w:r w:rsidRPr="004E70CE">
              <w:t>No liability</w:t>
            </w:r>
          </w:p>
        </w:tc>
      </w:tr>
      <w:tr w:rsidR="00DD3FC7" w:rsidRPr="004E70CE" w14:paraId="7C460A18" w14:textId="77777777" w:rsidTr="00DE2C7B">
        <w:trPr>
          <w:trHeight w:val="1361"/>
        </w:trPr>
        <w:tc>
          <w:tcPr>
            <w:tcW w:w="562" w:type="dxa"/>
            <w:vMerge/>
          </w:tcPr>
          <w:p w14:paraId="62173B29" w14:textId="77777777" w:rsidR="00DD3FC7" w:rsidRPr="004E70CE" w:rsidRDefault="00DD3FC7" w:rsidP="00DE2C7B">
            <w:pPr>
              <w:spacing w:before="0" w:after="0"/>
            </w:pPr>
          </w:p>
        </w:tc>
        <w:tc>
          <w:tcPr>
            <w:tcW w:w="2410" w:type="dxa"/>
            <w:tcBorders>
              <w:top w:val="single" w:sz="18" w:space="0" w:color="000000"/>
            </w:tcBorders>
            <w:vAlign w:val="center"/>
          </w:tcPr>
          <w:p w14:paraId="30458EEE" w14:textId="77777777" w:rsidR="00DD3FC7" w:rsidRPr="004E70CE" w:rsidRDefault="00DD3FC7" w:rsidP="00DE2C7B">
            <w:pPr>
              <w:spacing w:before="0" w:after="0"/>
              <w:jc w:val="center"/>
            </w:pPr>
            <w:r w:rsidRPr="004E70CE">
              <w:t>Lower than Safeguard benchmark</w:t>
            </w:r>
          </w:p>
        </w:tc>
        <w:tc>
          <w:tcPr>
            <w:tcW w:w="3044" w:type="dxa"/>
            <w:tcBorders>
              <w:top w:val="single" w:sz="18" w:space="0" w:color="000000"/>
              <w:right w:val="single" w:sz="18" w:space="0" w:color="000000"/>
            </w:tcBorders>
            <w:shd w:val="clear" w:color="auto" w:fill="D6EDBD"/>
            <w:vAlign w:val="center"/>
          </w:tcPr>
          <w:p w14:paraId="7788FDAD" w14:textId="77777777" w:rsidR="00DD3FC7" w:rsidRPr="004E70CE" w:rsidRDefault="00DD3FC7" w:rsidP="00DE2C7B">
            <w:pPr>
              <w:spacing w:before="0" w:after="0"/>
              <w:jc w:val="center"/>
            </w:pPr>
            <w:r w:rsidRPr="004E70CE">
              <w:t>No liability</w:t>
            </w:r>
          </w:p>
        </w:tc>
        <w:tc>
          <w:tcPr>
            <w:tcW w:w="3044" w:type="dxa"/>
            <w:tcBorders>
              <w:top w:val="single" w:sz="18" w:space="0" w:color="000000"/>
              <w:left w:val="single" w:sz="18" w:space="0" w:color="000000"/>
            </w:tcBorders>
            <w:shd w:val="clear" w:color="auto" w:fill="D6EDBD"/>
            <w:vAlign w:val="center"/>
          </w:tcPr>
          <w:p w14:paraId="5D78BF0C" w14:textId="77777777" w:rsidR="00DD3FC7" w:rsidRPr="004E70CE" w:rsidRDefault="00DD3FC7" w:rsidP="00DE2C7B">
            <w:pPr>
              <w:spacing w:before="0" w:after="0"/>
              <w:jc w:val="center"/>
            </w:pPr>
            <w:r w:rsidRPr="004E70CE">
              <w:t>No liability</w:t>
            </w:r>
          </w:p>
        </w:tc>
      </w:tr>
    </w:tbl>
    <w:p w14:paraId="25FE39A6" w14:textId="5EB42F7D" w:rsidR="00DD3FC7" w:rsidRDefault="00DD3FC7" w:rsidP="00DD3FC7">
      <w:pPr>
        <w:spacing w:after="0" w:line="240" w:lineRule="auto"/>
        <w:rPr>
          <w:b/>
          <w:bCs/>
        </w:rPr>
      </w:pPr>
      <w:r w:rsidRPr="004E70CE">
        <w:rPr>
          <w:b/>
        </w:rPr>
        <w:t xml:space="preserve">Figure </w:t>
      </w:r>
      <w:r w:rsidR="00502E21">
        <w:rPr>
          <w:b/>
          <w:bCs/>
        </w:rPr>
        <w:t>7</w:t>
      </w:r>
      <w:r w:rsidRPr="004E70CE">
        <w:rPr>
          <w:b/>
        </w:rPr>
        <w:t>:</w:t>
      </w:r>
      <w:r w:rsidRPr="004E70CE">
        <w:rPr>
          <w:b/>
          <w:bCs/>
        </w:rPr>
        <w:t xml:space="preserve"> Illustration of when a border carbon adjustment liability applies.</w:t>
      </w:r>
    </w:p>
    <w:p w14:paraId="1C5488D5" w14:textId="77777777" w:rsidR="007C5D27" w:rsidRPr="004E70CE" w:rsidRDefault="007C5D27" w:rsidP="00DD3FC7">
      <w:pPr>
        <w:spacing w:after="0" w:line="240" w:lineRule="auto"/>
      </w:pPr>
    </w:p>
    <w:p w14:paraId="24F663C2" w14:textId="74FFC847" w:rsidR="00DD3FC7" w:rsidRPr="004E70CE" w:rsidRDefault="00DD3FC7" w:rsidP="00DD3FC7">
      <w:pPr>
        <w:pStyle w:val="Calloutbox"/>
        <w:shd w:val="clear" w:color="auto" w:fill="D7F5FA" w:themeFill="background2" w:themeFillTint="1A"/>
        <w:spacing w:after="200" w:line="276" w:lineRule="auto"/>
        <w:rPr>
          <w:b/>
        </w:rPr>
      </w:pPr>
      <w:r w:rsidRPr="004E70CE">
        <w:rPr>
          <w:b/>
        </w:rPr>
        <w:t xml:space="preserve">Box </w:t>
      </w:r>
      <w:r w:rsidR="00474A2D">
        <w:rPr>
          <w:b/>
        </w:rPr>
        <w:t>6</w:t>
      </w:r>
      <w:r w:rsidRPr="004E70CE">
        <w:rPr>
          <w:b/>
        </w:rPr>
        <w:t xml:space="preserve"> – Examples of the </w:t>
      </w:r>
      <w:r w:rsidR="00893E50">
        <w:rPr>
          <w:b/>
        </w:rPr>
        <w:t>potential</w:t>
      </w:r>
      <w:r w:rsidRPr="004E70CE">
        <w:rPr>
          <w:b/>
        </w:rPr>
        <w:t xml:space="preserve"> border carbon adjustment calculation</w:t>
      </w:r>
    </w:p>
    <w:p w14:paraId="1B5DC3C6" w14:textId="77777777" w:rsidR="00DD3FC7" w:rsidRPr="004E70CE" w:rsidRDefault="00DD3FC7" w:rsidP="00DD3FC7">
      <w:pPr>
        <w:pStyle w:val="Calloutbox"/>
        <w:shd w:val="clear" w:color="auto" w:fill="D7F5FA" w:themeFill="background2" w:themeFillTint="1A"/>
        <w:spacing w:after="200" w:line="276" w:lineRule="auto"/>
        <w:rPr>
          <w:b/>
        </w:rPr>
      </w:pPr>
      <w:r w:rsidRPr="004E70CE">
        <w:rPr>
          <w:b/>
        </w:rPr>
        <w:t xml:space="preserve">Example 1: A commodity with an emissions intensity higher than the baseline and some carbon costs already incurred in the production jurisdiction. </w:t>
      </w:r>
    </w:p>
    <w:p w14:paraId="772C428A" w14:textId="77777777" w:rsidR="00DD3FC7" w:rsidRPr="004E70CE" w:rsidRDefault="00DD3FC7" w:rsidP="00DD3FC7">
      <w:pPr>
        <w:pStyle w:val="Calloutbox"/>
        <w:shd w:val="clear" w:color="auto" w:fill="D7F5FA" w:themeFill="background2" w:themeFillTint="1A"/>
        <w:spacing w:after="200" w:line="276" w:lineRule="auto"/>
      </w:pPr>
      <w:r w:rsidRPr="004E70CE">
        <w:t>A company produces a commodity with an emissions intensity of 1.1 tCO</w:t>
      </w:r>
      <w:r w:rsidRPr="004E70CE">
        <w:rPr>
          <w:vertAlign w:val="subscript"/>
        </w:rPr>
        <w:t>2</w:t>
      </w:r>
      <w:r w:rsidRPr="004E70CE">
        <w:t>-e/t. They have incurred a carbon cost of $2/tCO</w:t>
      </w:r>
      <w:r w:rsidRPr="004E70CE">
        <w:rPr>
          <w:vertAlign w:val="subscript"/>
        </w:rPr>
        <w:t>2</w:t>
      </w:r>
      <w:r w:rsidRPr="004E70CE">
        <w:t>-e on all scope 1 emissions associated with production, so $2.20/t of commodity.</w:t>
      </w:r>
    </w:p>
    <w:p w14:paraId="7801B080" w14:textId="77777777" w:rsidR="00DD3FC7" w:rsidRPr="004E70CE" w:rsidRDefault="00DD3FC7" w:rsidP="00DD3FC7">
      <w:pPr>
        <w:pStyle w:val="Calloutbox"/>
        <w:shd w:val="clear" w:color="auto" w:fill="D7F5FA" w:themeFill="background2" w:themeFillTint="1A"/>
        <w:spacing w:after="200" w:line="276" w:lineRule="auto"/>
      </w:pPr>
      <w:r w:rsidRPr="004E70CE">
        <w:t>The relevant Australian unit price at time of importation is $50/tCO</w:t>
      </w:r>
      <w:r w:rsidRPr="004E70CE">
        <w:rPr>
          <w:vertAlign w:val="subscript"/>
        </w:rPr>
        <w:t>2</w:t>
      </w:r>
      <w:r w:rsidRPr="004E70CE">
        <w:t>-e and the baseline emissions intensity for the commodity is 1.0 tCO</w:t>
      </w:r>
      <w:r w:rsidRPr="004E70CE">
        <w:rPr>
          <w:vertAlign w:val="subscript"/>
        </w:rPr>
        <w:t>2</w:t>
      </w:r>
      <w:r w:rsidRPr="004E70CE">
        <w:t>-e/t.</w:t>
      </w:r>
    </w:p>
    <w:p w14:paraId="73DD0ED1" w14:textId="77777777" w:rsidR="00DD3FC7" w:rsidRPr="004E70CE" w:rsidRDefault="00DD3FC7" w:rsidP="00DD3FC7">
      <w:pPr>
        <w:pStyle w:val="Calloutbox"/>
        <w:shd w:val="clear" w:color="auto" w:fill="D7F5FA" w:themeFill="background2" w:themeFillTint="1A"/>
        <w:spacing w:after="200" w:line="276" w:lineRule="auto"/>
        <w:rPr>
          <w:b/>
        </w:rPr>
      </w:pPr>
      <w:r w:rsidRPr="004E70CE">
        <w:rPr>
          <w:b/>
        </w:rPr>
        <w:t>Step 1: Calculate the assessed excess emissions intensity</w:t>
      </w:r>
    </w:p>
    <w:p w14:paraId="028E4C8F" w14:textId="77777777" w:rsidR="00DD3FC7" w:rsidRPr="004E70CE" w:rsidRDefault="00DD3FC7" w:rsidP="00DD3FC7">
      <w:pPr>
        <w:pStyle w:val="Calloutbox"/>
        <w:shd w:val="clear" w:color="auto" w:fill="D7F5FA" w:themeFill="background2" w:themeFillTint="1A"/>
        <w:spacing w:after="200" w:line="276" w:lineRule="auto"/>
        <w:rPr>
          <w:lang w:val="de-DE"/>
        </w:rPr>
      </w:pPr>
      <w:r w:rsidRPr="004E70CE">
        <w:rPr>
          <w:lang w:val="de-DE"/>
        </w:rPr>
        <w:t>1.1 tCO</w:t>
      </w:r>
      <w:r w:rsidRPr="004E70CE">
        <w:rPr>
          <w:vertAlign w:val="subscript"/>
          <w:lang w:val="de-DE"/>
        </w:rPr>
        <w:t>2</w:t>
      </w:r>
      <w:r w:rsidRPr="004E70CE">
        <w:rPr>
          <w:lang w:val="de-DE"/>
        </w:rPr>
        <w:t>-e/t – 1.0 tCO</w:t>
      </w:r>
      <w:r w:rsidRPr="004E70CE">
        <w:rPr>
          <w:vertAlign w:val="subscript"/>
          <w:lang w:val="de-DE"/>
        </w:rPr>
        <w:t>2</w:t>
      </w:r>
      <w:r w:rsidRPr="004E70CE">
        <w:rPr>
          <w:lang w:val="de-DE"/>
        </w:rPr>
        <w:t>-e/t = 0.10 tCO</w:t>
      </w:r>
      <w:r w:rsidRPr="004E70CE">
        <w:rPr>
          <w:vertAlign w:val="subscript"/>
          <w:lang w:val="de-DE"/>
        </w:rPr>
        <w:t>2</w:t>
      </w:r>
      <w:r w:rsidRPr="004E70CE">
        <w:rPr>
          <w:lang w:val="de-DE"/>
        </w:rPr>
        <w:t>-e/t</w:t>
      </w:r>
    </w:p>
    <w:p w14:paraId="281BBB54" w14:textId="77777777" w:rsidR="00DD3FC7" w:rsidRPr="004E70CE" w:rsidRDefault="00DD3FC7" w:rsidP="00DD3FC7">
      <w:pPr>
        <w:pStyle w:val="Calloutbox"/>
        <w:shd w:val="clear" w:color="auto" w:fill="D7F5FA" w:themeFill="background2" w:themeFillTint="1A"/>
        <w:spacing w:after="200" w:line="276" w:lineRule="auto"/>
        <w:rPr>
          <w:b/>
        </w:rPr>
      </w:pPr>
      <w:r w:rsidRPr="004E70CE">
        <w:rPr>
          <w:b/>
        </w:rPr>
        <w:t>Step 2: Calculate the Australian equivalent carbon cost</w:t>
      </w:r>
    </w:p>
    <w:p w14:paraId="4AEE53E5" w14:textId="77777777" w:rsidR="00DD3FC7" w:rsidRPr="004E70CE" w:rsidRDefault="00DD3FC7" w:rsidP="00DD3FC7">
      <w:pPr>
        <w:pStyle w:val="Calloutbox"/>
        <w:shd w:val="clear" w:color="auto" w:fill="D7F5FA" w:themeFill="background2" w:themeFillTint="1A"/>
        <w:spacing w:after="200" w:line="276" w:lineRule="auto"/>
        <w:rPr>
          <w:lang w:val="de-DE"/>
        </w:rPr>
      </w:pPr>
      <w:r w:rsidRPr="004E70CE">
        <w:rPr>
          <w:lang w:val="de-DE"/>
        </w:rPr>
        <w:t>0.10 tCO</w:t>
      </w:r>
      <w:r w:rsidRPr="004E70CE">
        <w:rPr>
          <w:vertAlign w:val="subscript"/>
          <w:lang w:val="de-DE"/>
        </w:rPr>
        <w:t>2</w:t>
      </w:r>
      <w:r w:rsidRPr="004E70CE">
        <w:rPr>
          <w:lang w:val="de-DE"/>
        </w:rPr>
        <w:t>-e/t x $50/tCO</w:t>
      </w:r>
      <w:r w:rsidRPr="004E70CE">
        <w:rPr>
          <w:vertAlign w:val="subscript"/>
          <w:lang w:val="de-DE"/>
        </w:rPr>
        <w:t>2</w:t>
      </w:r>
      <w:r w:rsidRPr="004E70CE">
        <w:rPr>
          <w:lang w:val="de-DE"/>
        </w:rPr>
        <w:t>-e = $5/t</w:t>
      </w:r>
    </w:p>
    <w:p w14:paraId="34154285" w14:textId="77777777" w:rsidR="00DD3FC7" w:rsidRPr="004E70CE" w:rsidRDefault="00DD3FC7" w:rsidP="00DD3FC7">
      <w:pPr>
        <w:pStyle w:val="Calloutbox"/>
        <w:shd w:val="clear" w:color="auto" w:fill="D7F5FA" w:themeFill="background2" w:themeFillTint="1A"/>
        <w:spacing w:after="200" w:line="276" w:lineRule="auto"/>
        <w:rPr>
          <w:b/>
        </w:rPr>
      </w:pPr>
      <w:r w:rsidRPr="004E70CE">
        <w:rPr>
          <w:b/>
        </w:rPr>
        <w:t>Step 3: Calculate the border carbon adjustment liability</w:t>
      </w:r>
    </w:p>
    <w:p w14:paraId="2EA5C95A" w14:textId="77777777" w:rsidR="00DD3FC7" w:rsidRPr="004E70CE" w:rsidRDefault="00DD3FC7" w:rsidP="00DD3FC7">
      <w:pPr>
        <w:pStyle w:val="Calloutbox"/>
        <w:shd w:val="clear" w:color="auto" w:fill="D7F5FA" w:themeFill="background2" w:themeFillTint="1A"/>
        <w:spacing w:after="200" w:line="276" w:lineRule="auto"/>
      </w:pPr>
      <w:r w:rsidRPr="004E70CE">
        <w:t>$5/t - $2.20/t = $2.80/t</w:t>
      </w:r>
    </w:p>
    <w:p w14:paraId="292A3DCA" w14:textId="77777777" w:rsidR="00DD3FC7" w:rsidRPr="004E70CE" w:rsidRDefault="00DD3FC7" w:rsidP="00DD3FC7">
      <w:pPr>
        <w:pStyle w:val="Calloutbox"/>
        <w:shd w:val="clear" w:color="auto" w:fill="D7F5FA" w:themeFill="background2" w:themeFillTint="1A"/>
        <w:spacing w:after="200" w:line="276" w:lineRule="auto"/>
      </w:pPr>
      <w:r w:rsidRPr="004E70CE">
        <w:rPr>
          <w:rFonts w:ascii="Calibri" w:eastAsia="Calibri" w:hAnsi="Calibri" w:cs="Calibri"/>
          <w:color w:val="000000" w:themeColor="text1"/>
        </w:rPr>
        <w:t>The importer incurs a border carbon adjustment liability of $2.80 per tonne of commodity.</w:t>
      </w:r>
    </w:p>
    <w:p w14:paraId="54913BC8" w14:textId="77777777" w:rsidR="00DD3FC7" w:rsidRPr="004E70CE" w:rsidRDefault="00DD3FC7" w:rsidP="00DD3FC7">
      <w:pPr>
        <w:pStyle w:val="Calloutbox"/>
        <w:shd w:val="clear" w:color="auto" w:fill="D7F5FA" w:themeFill="background2" w:themeFillTint="1A"/>
        <w:spacing w:after="200" w:line="276" w:lineRule="auto"/>
        <w:rPr>
          <w:b/>
        </w:rPr>
      </w:pPr>
      <w:r w:rsidRPr="004E70CE">
        <w:rPr>
          <w:b/>
        </w:rPr>
        <w:t>Example 2: A commodity with an emissions intensity higher than the Australian baseline and higher carbon costs in the production jurisdiction.</w:t>
      </w:r>
    </w:p>
    <w:p w14:paraId="62AF59D8" w14:textId="77777777" w:rsidR="00DD3FC7" w:rsidRPr="004E70CE" w:rsidRDefault="00DD3FC7" w:rsidP="00DD3FC7">
      <w:pPr>
        <w:pStyle w:val="Calloutbox"/>
        <w:shd w:val="clear" w:color="auto" w:fill="D7F5FA" w:themeFill="background2" w:themeFillTint="1A"/>
        <w:spacing w:after="200" w:line="276" w:lineRule="auto"/>
      </w:pPr>
      <w:r w:rsidRPr="004E70CE">
        <w:t>A company produces a commodity with an emissions intensity of 1.0 tCO</w:t>
      </w:r>
      <w:r w:rsidRPr="004E70CE">
        <w:rPr>
          <w:vertAlign w:val="subscript"/>
        </w:rPr>
        <w:t>2</w:t>
      </w:r>
      <w:r w:rsidRPr="004E70CE">
        <w:t>-e/t of commodity. They have a domestic carbon price of $100/tCO</w:t>
      </w:r>
      <w:r w:rsidRPr="004E70CE">
        <w:rPr>
          <w:vertAlign w:val="subscript"/>
        </w:rPr>
        <w:t>2</w:t>
      </w:r>
      <w:r w:rsidRPr="004E70CE">
        <w:t>-e with 75% free allocations on a production basis, equating to an effective carbon cost of $25/t of commodity.</w:t>
      </w:r>
    </w:p>
    <w:p w14:paraId="7C16ACC6" w14:textId="77777777" w:rsidR="00DD3FC7" w:rsidRPr="004E70CE" w:rsidRDefault="00DD3FC7" w:rsidP="00DD3FC7">
      <w:pPr>
        <w:pStyle w:val="Calloutbox"/>
        <w:shd w:val="clear" w:color="auto" w:fill="D7F5FA" w:themeFill="background2" w:themeFillTint="1A"/>
        <w:spacing w:after="200" w:line="276" w:lineRule="auto"/>
      </w:pPr>
      <w:r w:rsidRPr="004E70CE">
        <w:lastRenderedPageBreak/>
        <w:t>The relevant Australian unit price at time of importation is $50/tCO</w:t>
      </w:r>
      <w:r w:rsidRPr="004E70CE">
        <w:rPr>
          <w:vertAlign w:val="subscript"/>
        </w:rPr>
        <w:t>2</w:t>
      </w:r>
      <w:r w:rsidRPr="004E70CE">
        <w:t>-e and the baseline emissions intensity for the commodity is 0.90 tCO</w:t>
      </w:r>
      <w:r w:rsidRPr="004E70CE">
        <w:rPr>
          <w:vertAlign w:val="subscript"/>
        </w:rPr>
        <w:t>2</w:t>
      </w:r>
      <w:r w:rsidRPr="004E70CE">
        <w:t>-e/t.</w:t>
      </w:r>
    </w:p>
    <w:p w14:paraId="0CEF2B0F" w14:textId="77777777" w:rsidR="00DD3FC7" w:rsidRPr="004E70CE" w:rsidRDefault="00DD3FC7" w:rsidP="00DD3FC7">
      <w:pPr>
        <w:pStyle w:val="Calloutbox"/>
        <w:shd w:val="clear" w:color="auto" w:fill="D7F5FA" w:themeFill="background2" w:themeFillTint="1A"/>
        <w:spacing w:after="200" w:line="276" w:lineRule="auto"/>
        <w:rPr>
          <w:b/>
        </w:rPr>
      </w:pPr>
      <w:r w:rsidRPr="004E70CE">
        <w:rPr>
          <w:b/>
        </w:rPr>
        <w:t>Step 1: Calculate the assessed excess emissions intensity</w:t>
      </w:r>
    </w:p>
    <w:p w14:paraId="4E538D21" w14:textId="77777777" w:rsidR="00DD3FC7" w:rsidRPr="004E70CE" w:rsidRDefault="00DD3FC7" w:rsidP="00DD3FC7">
      <w:pPr>
        <w:pStyle w:val="Calloutbox"/>
        <w:shd w:val="clear" w:color="auto" w:fill="D7F5FA" w:themeFill="background2" w:themeFillTint="1A"/>
        <w:spacing w:after="200" w:line="276" w:lineRule="auto"/>
        <w:rPr>
          <w:rFonts w:ascii="Calibri" w:eastAsia="Calibri" w:hAnsi="Calibri" w:cs="Calibri"/>
          <w:color w:val="000000" w:themeColor="text1"/>
          <w:lang w:val="de-DE"/>
        </w:rPr>
      </w:pPr>
      <w:r w:rsidRPr="004E70CE">
        <w:rPr>
          <w:rFonts w:ascii="Calibri" w:eastAsia="Calibri" w:hAnsi="Calibri" w:cs="Calibri"/>
          <w:color w:val="000000" w:themeColor="text1"/>
          <w:lang w:val="de-DE"/>
        </w:rPr>
        <w:t>1.0 tCO</w:t>
      </w:r>
      <w:r w:rsidRPr="004E70CE">
        <w:rPr>
          <w:rFonts w:ascii="Calibri" w:eastAsia="Calibri" w:hAnsi="Calibri" w:cs="Calibri"/>
          <w:color w:val="000000" w:themeColor="text1"/>
          <w:vertAlign w:val="subscript"/>
          <w:lang w:val="de-DE"/>
        </w:rPr>
        <w:t>2</w:t>
      </w:r>
      <w:r w:rsidRPr="004E70CE">
        <w:rPr>
          <w:rFonts w:ascii="Calibri" w:eastAsia="Calibri" w:hAnsi="Calibri" w:cs="Calibri"/>
          <w:color w:val="000000" w:themeColor="text1"/>
          <w:lang w:val="de-DE"/>
        </w:rPr>
        <w:t>-e/t – 0.90 tCO</w:t>
      </w:r>
      <w:r w:rsidRPr="004E70CE">
        <w:rPr>
          <w:rFonts w:ascii="Calibri" w:eastAsia="Calibri" w:hAnsi="Calibri" w:cs="Calibri"/>
          <w:color w:val="000000" w:themeColor="text1"/>
          <w:vertAlign w:val="subscript"/>
          <w:lang w:val="de-DE"/>
        </w:rPr>
        <w:t>2</w:t>
      </w:r>
      <w:r w:rsidRPr="004E70CE">
        <w:rPr>
          <w:rFonts w:ascii="Calibri" w:eastAsia="Calibri" w:hAnsi="Calibri" w:cs="Calibri"/>
          <w:color w:val="000000" w:themeColor="text1"/>
          <w:lang w:val="de-DE"/>
        </w:rPr>
        <w:t>-e /t = 0.10 tCO</w:t>
      </w:r>
      <w:r w:rsidRPr="004E70CE">
        <w:rPr>
          <w:rFonts w:ascii="Calibri" w:eastAsia="Calibri" w:hAnsi="Calibri" w:cs="Calibri"/>
          <w:color w:val="000000" w:themeColor="text1"/>
          <w:vertAlign w:val="subscript"/>
          <w:lang w:val="de-DE"/>
        </w:rPr>
        <w:t>2</w:t>
      </w:r>
      <w:r w:rsidRPr="004E70CE">
        <w:rPr>
          <w:rFonts w:ascii="Calibri" w:eastAsia="Calibri" w:hAnsi="Calibri" w:cs="Calibri"/>
          <w:color w:val="000000" w:themeColor="text1"/>
          <w:lang w:val="de-DE"/>
        </w:rPr>
        <w:t>-e/t</w:t>
      </w:r>
    </w:p>
    <w:p w14:paraId="765A0B0B" w14:textId="77777777" w:rsidR="00DD3FC7" w:rsidRPr="004E70CE" w:rsidRDefault="00DD3FC7" w:rsidP="00DD3FC7">
      <w:pPr>
        <w:pStyle w:val="Calloutbox"/>
        <w:shd w:val="clear" w:color="auto" w:fill="D7F5FA" w:themeFill="background2" w:themeFillTint="1A"/>
        <w:spacing w:after="200" w:line="276" w:lineRule="auto"/>
        <w:rPr>
          <w:b/>
        </w:rPr>
      </w:pPr>
      <w:r w:rsidRPr="004E70CE">
        <w:rPr>
          <w:b/>
        </w:rPr>
        <w:t>Step 2: Calculate the Australian equivalent carbon cost</w:t>
      </w:r>
    </w:p>
    <w:p w14:paraId="77669FF3" w14:textId="77777777" w:rsidR="00DD3FC7" w:rsidRPr="004E70CE" w:rsidRDefault="00DD3FC7" w:rsidP="00DD3FC7">
      <w:pPr>
        <w:pStyle w:val="Calloutbox"/>
        <w:shd w:val="clear" w:color="auto" w:fill="D7F5FA" w:themeFill="background2" w:themeFillTint="1A"/>
        <w:spacing w:after="200" w:line="276" w:lineRule="auto"/>
        <w:rPr>
          <w:rFonts w:ascii="Calibri" w:eastAsia="Calibri" w:hAnsi="Calibri" w:cs="Calibri"/>
          <w:color w:val="A4262C"/>
          <w:lang w:val="de-DE"/>
        </w:rPr>
      </w:pPr>
      <w:r w:rsidRPr="004E70CE">
        <w:rPr>
          <w:rFonts w:ascii="Calibri" w:eastAsia="Calibri" w:hAnsi="Calibri" w:cs="Calibri"/>
          <w:color w:val="000000" w:themeColor="text1"/>
          <w:lang w:val="de-DE"/>
        </w:rPr>
        <w:t>0.10 tCO</w:t>
      </w:r>
      <w:r w:rsidRPr="004E70CE">
        <w:rPr>
          <w:rFonts w:ascii="Calibri" w:eastAsia="Calibri" w:hAnsi="Calibri" w:cs="Calibri"/>
          <w:color w:val="000000" w:themeColor="text1"/>
          <w:vertAlign w:val="subscript"/>
          <w:lang w:val="de-DE"/>
        </w:rPr>
        <w:t>2</w:t>
      </w:r>
      <w:r w:rsidRPr="004E70CE">
        <w:rPr>
          <w:rFonts w:ascii="Calibri" w:eastAsia="Calibri" w:hAnsi="Calibri" w:cs="Calibri"/>
          <w:color w:val="000000" w:themeColor="text1"/>
          <w:lang w:val="de-DE"/>
        </w:rPr>
        <w:t>-e/t x $50/tCO</w:t>
      </w:r>
      <w:r w:rsidRPr="004E70CE">
        <w:rPr>
          <w:rFonts w:ascii="Calibri" w:eastAsia="Calibri" w:hAnsi="Calibri" w:cs="Calibri"/>
          <w:color w:val="000000" w:themeColor="text1"/>
          <w:vertAlign w:val="subscript"/>
          <w:lang w:val="de-DE"/>
        </w:rPr>
        <w:t>2</w:t>
      </w:r>
      <w:r w:rsidRPr="004E70CE">
        <w:rPr>
          <w:rFonts w:ascii="Calibri" w:eastAsia="Calibri" w:hAnsi="Calibri" w:cs="Calibri"/>
          <w:color w:val="000000" w:themeColor="text1"/>
          <w:lang w:val="de-DE"/>
        </w:rPr>
        <w:t>-e = $5/t</w:t>
      </w:r>
    </w:p>
    <w:p w14:paraId="37133054" w14:textId="77777777" w:rsidR="00DD3FC7" w:rsidRPr="004E70CE" w:rsidRDefault="00DD3FC7" w:rsidP="00DD3FC7">
      <w:pPr>
        <w:pStyle w:val="Calloutbox"/>
        <w:shd w:val="clear" w:color="auto" w:fill="D7F5FA" w:themeFill="background2" w:themeFillTint="1A"/>
        <w:spacing w:after="200" w:line="276" w:lineRule="auto"/>
        <w:rPr>
          <w:b/>
        </w:rPr>
      </w:pPr>
      <w:r w:rsidRPr="004E70CE">
        <w:rPr>
          <w:b/>
        </w:rPr>
        <w:t>Step 3: Calculate the border carbon adjustment liability</w:t>
      </w:r>
    </w:p>
    <w:p w14:paraId="7631D483" w14:textId="77777777" w:rsidR="00DD3FC7" w:rsidRPr="004E70CE" w:rsidRDefault="00DD3FC7" w:rsidP="00DD3FC7">
      <w:pPr>
        <w:pStyle w:val="Calloutbox"/>
        <w:shd w:val="clear" w:color="auto" w:fill="D7F5FA" w:themeFill="background2" w:themeFillTint="1A"/>
        <w:spacing w:after="200" w:line="276" w:lineRule="auto"/>
        <w:rPr>
          <w:rFonts w:ascii="Calibri" w:eastAsia="Calibri" w:hAnsi="Calibri" w:cs="Calibri"/>
          <w:color w:val="000000" w:themeColor="text1"/>
        </w:rPr>
      </w:pPr>
      <w:r w:rsidRPr="004E70CE">
        <w:rPr>
          <w:rFonts w:ascii="Calibri" w:eastAsia="Calibri" w:hAnsi="Calibri" w:cs="Calibri"/>
          <w:color w:val="000000" w:themeColor="text1"/>
        </w:rPr>
        <w:t>1.0 tCO</w:t>
      </w:r>
      <w:r w:rsidRPr="004E70CE">
        <w:rPr>
          <w:rFonts w:ascii="Calibri" w:eastAsia="Calibri" w:hAnsi="Calibri" w:cs="Calibri"/>
          <w:color w:val="000000" w:themeColor="text1"/>
          <w:vertAlign w:val="subscript"/>
        </w:rPr>
        <w:t>2</w:t>
      </w:r>
      <w:r w:rsidRPr="004E70CE">
        <w:rPr>
          <w:rFonts w:ascii="Calibri" w:eastAsia="Calibri" w:hAnsi="Calibri" w:cs="Calibri"/>
          <w:color w:val="000000" w:themeColor="text1"/>
        </w:rPr>
        <w:t>-e/t x $100/tCO</w:t>
      </w:r>
      <w:r w:rsidRPr="004E70CE">
        <w:rPr>
          <w:rFonts w:ascii="Calibri" w:eastAsia="Calibri" w:hAnsi="Calibri" w:cs="Calibri"/>
          <w:color w:val="000000" w:themeColor="text1"/>
          <w:vertAlign w:val="subscript"/>
        </w:rPr>
        <w:t>2</w:t>
      </w:r>
      <w:r w:rsidRPr="004E70CE">
        <w:rPr>
          <w:rFonts w:ascii="Calibri" w:eastAsia="Calibri" w:hAnsi="Calibri" w:cs="Calibri"/>
          <w:color w:val="000000" w:themeColor="text1"/>
        </w:rPr>
        <w:t>-e x 25% (free allocations) = $25/t paid in production jurisdiction.</w:t>
      </w:r>
    </w:p>
    <w:p w14:paraId="70B2A929" w14:textId="77777777" w:rsidR="00DD3FC7" w:rsidRPr="004E70CE" w:rsidRDefault="00DD3FC7" w:rsidP="00DD3FC7">
      <w:pPr>
        <w:pStyle w:val="Calloutbox"/>
        <w:shd w:val="clear" w:color="auto" w:fill="D7F5FA" w:themeFill="background2" w:themeFillTint="1A"/>
        <w:spacing w:after="200" w:line="276" w:lineRule="auto"/>
        <w:rPr>
          <w:rFonts w:ascii="Calibri" w:eastAsia="Calibri" w:hAnsi="Calibri" w:cs="Calibri"/>
          <w:color w:val="000000" w:themeColor="text1"/>
        </w:rPr>
      </w:pPr>
      <w:r w:rsidRPr="004E70CE">
        <w:rPr>
          <w:rFonts w:ascii="Calibri" w:eastAsia="Calibri" w:hAnsi="Calibri" w:cs="Calibri"/>
          <w:color w:val="000000" w:themeColor="text1"/>
        </w:rPr>
        <w:t>$5/t - $25/t = -$20</w:t>
      </w:r>
    </w:p>
    <w:p w14:paraId="1110889A" w14:textId="77777777" w:rsidR="00DD3FC7" w:rsidRPr="004E70CE" w:rsidRDefault="00DD3FC7" w:rsidP="00DD3FC7">
      <w:pPr>
        <w:pStyle w:val="Calloutbox"/>
        <w:shd w:val="clear" w:color="auto" w:fill="D7F5FA" w:themeFill="background2" w:themeFillTint="1A"/>
        <w:spacing w:after="200" w:line="276" w:lineRule="auto"/>
        <w:rPr>
          <w:rFonts w:ascii="Calibri" w:eastAsia="Calibri" w:hAnsi="Calibri" w:cs="Calibri"/>
          <w:color w:val="000000" w:themeColor="text1"/>
        </w:rPr>
      </w:pPr>
      <w:r w:rsidRPr="004E70CE">
        <w:rPr>
          <w:rFonts w:ascii="Calibri" w:eastAsia="Calibri" w:hAnsi="Calibri" w:cs="Calibri"/>
          <w:color w:val="000000" w:themeColor="text1"/>
        </w:rPr>
        <w:t>Because the carbon cost already incurred exceeds the Australian equivalent carbon cost, the importer will not incur a border carbon adjustment liability.</w:t>
      </w:r>
    </w:p>
    <w:p w14:paraId="4255356A" w14:textId="77777777" w:rsidR="00DD3FC7" w:rsidRPr="004E70CE" w:rsidRDefault="00DD3FC7" w:rsidP="00DD3FC7">
      <w:pPr>
        <w:pStyle w:val="Calloutbox"/>
        <w:shd w:val="clear" w:color="auto" w:fill="D7F5FA" w:themeFill="background2" w:themeFillTint="1A"/>
        <w:spacing w:after="200" w:line="276" w:lineRule="auto"/>
        <w:rPr>
          <w:b/>
        </w:rPr>
      </w:pPr>
      <w:r w:rsidRPr="004E70CE">
        <w:rPr>
          <w:b/>
        </w:rPr>
        <w:t>Example 3: A commodity with a lower emissions intensity than the Australian baseline and no carbon costs already incurred in the production jurisdiction.</w:t>
      </w:r>
    </w:p>
    <w:p w14:paraId="59EF098F" w14:textId="77777777" w:rsidR="00DD3FC7" w:rsidRPr="004E70CE" w:rsidRDefault="00DD3FC7" w:rsidP="00DD3FC7">
      <w:pPr>
        <w:pStyle w:val="Calloutbox"/>
        <w:shd w:val="clear" w:color="auto" w:fill="D7F5FA" w:themeFill="background2" w:themeFillTint="1A"/>
        <w:spacing w:after="200" w:line="276" w:lineRule="auto"/>
      </w:pPr>
      <w:r w:rsidRPr="004E70CE">
        <w:t>A company produces a commodity with an emissions intensity of 0.85 tCO</w:t>
      </w:r>
      <w:r w:rsidRPr="004E70CE">
        <w:rPr>
          <w:vertAlign w:val="subscript"/>
        </w:rPr>
        <w:t>2</w:t>
      </w:r>
      <w:r w:rsidRPr="004E70CE">
        <w:t>-e/t of commodity. They have incurred no carbon costs prior to importation.</w:t>
      </w:r>
    </w:p>
    <w:p w14:paraId="424E9BED" w14:textId="77777777" w:rsidR="00DD3FC7" w:rsidRPr="004E70CE" w:rsidRDefault="00DD3FC7" w:rsidP="00DD3FC7">
      <w:pPr>
        <w:pStyle w:val="Calloutbox"/>
        <w:shd w:val="clear" w:color="auto" w:fill="D7F5FA" w:themeFill="background2" w:themeFillTint="1A"/>
        <w:spacing w:after="200" w:line="276" w:lineRule="auto"/>
      </w:pPr>
      <w:r w:rsidRPr="004E70CE">
        <w:t>The relevant Australian unit price at time of importation is $50/tCO</w:t>
      </w:r>
      <w:r w:rsidRPr="004E70CE">
        <w:rPr>
          <w:vertAlign w:val="subscript"/>
        </w:rPr>
        <w:t>2</w:t>
      </w:r>
      <w:r w:rsidRPr="004E70CE">
        <w:t>-e and the baseline emissions intensity for the commodity is 0.90 tCO</w:t>
      </w:r>
      <w:r w:rsidRPr="004E70CE">
        <w:rPr>
          <w:vertAlign w:val="subscript"/>
        </w:rPr>
        <w:t>2</w:t>
      </w:r>
      <w:r w:rsidRPr="004E70CE">
        <w:t>-e/t.</w:t>
      </w:r>
    </w:p>
    <w:p w14:paraId="5CC098EE" w14:textId="77777777" w:rsidR="00DD3FC7" w:rsidRPr="004E70CE" w:rsidRDefault="00DD3FC7" w:rsidP="00DD3FC7">
      <w:pPr>
        <w:pStyle w:val="Calloutbox"/>
        <w:shd w:val="clear" w:color="auto" w:fill="D7F5FA" w:themeFill="background2" w:themeFillTint="1A"/>
        <w:spacing w:after="200" w:line="276" w:lineRule="auto"/>
        <w:rPr>
          <w:b/>
        </w:rPr>
      </w:pPr>
      <w:r w:rsidRPr="004E70CE">
        <w:rPr>
          <w:b/>
        </w:rPr>
        <w:t>Step 1: Calculate the assessed excess emissions intensity</w:t>
      </w:r>
    </w:p>
    <w:p w14:paraId="63B7C763" w14:textId="77777777" w:rsidR="00DD3FC7" w:rsidRPr="004E70CE" w:rsidRDefault="00DD3FC7" w:rsidP="00DD3FC7">
      <w:pPr>
        <w:pStyle w:val="Calloutbox"/>
        <w:shd w:val="clear" w:color="auto" w:fill="D7F5FA" w:themeFill="background2" w:themeFillTint="1A"/>
        <w:spacing w:after="200" w:line="276" w:lineRule="auto"/>
        <w:rPr>
          <w:lang w:val="de-DE"/>
        </w:rPr>
      </w:pPr>
      <w:r w:rsidRPr="004E70CE">
        <w:rPr>
          <w:lang w:val="de-DE"/>
        </w:rPr>
        <w:t>0.85 tCO</w:t>
      </w:r>
      <w:r w:rsidRPr="004E70CE">
        <w:rPr>
          <w:vertAlign w:val="subscript"/>
          <w:lang w:val="de-DE"/>
        </w:rPr>
        <w:t>2</w:t>
      </w:r>
      <w:r w:rsidRPr="004E70CE">
        <w:rPr>
          <w:lang w:val="de-DE"/>
        </w:rPr>
        <w:t>-e/t – 0.90 tCO</w:t>
      </w:r>
      <w:r w:rsidRPr="004E70CE">
        <w:rPr>
          <w:vertAlign w:val="subscript"/>
          <w:lang w:val="de-DE"/>
        </w:rPr>
        <w:t>2</w:t>
      </w:r>
      <w:r w:rsidRPr="004E70CE">
        <w:rPr>
          <w:lang w:val="de-DE"/>
        </w:rPr>
        <w:t>-e/t = -0.05 tCO</w:t>
      </w:r>
      <w:r w:rsidRPr="004E70CE">
        <w:rPr>
          <w:vertAlign w:val="subscript"/>
          <w:lang w:val="de-DE"/>
        </w:rPr>
        <w:t>2</w:t>
      </w:r>
      <w:r w:rsidRPr="004E70CE">
        <w:rPr>
          <w:lang w:val="de-DE"/>
        </w:rPr>
        <w:t>-e/t</w:t>
      </w:r>
    </w:p>
    <w:p w14:paraId="1C691482" w14:textId="77777777" w:rsidR="00DD3FC7" w:rsidRPr="004E70CE" w:rsidRDefault="00DD3FC7" w:rsidP="00DD3FC7">
      <w:pPr>
        <w:pStyle w:val="Calloutbox"/>
        <w:shd w:val="clear" w:color="auto" w:fill="D7F5FA" w:themeFill="background2" w:themeFillTint="1A"/>
        <w:spacing w:after="200" w:line="276" w:lineRule="auto"/>
      </w:pPr>
      <w:r w:rsidRPr="004E70CE">
        <w:t>Because the emissions intensity of the imported commodity is less than the Australian baseline, the importer will not incur a border carbon adjustment liability.</w:t>
      </w:r>
    </w:p>
    <w:p w14:paraId="06447627" w14:textId="77777777" w:rsidR="00DD3FC7" w:rsidRPr="004E70CE" w:rsidRDefault="00DD3FC7" w:rsidP="00DD3FC7">
      <w:pPr>
        <w:rPr>
          <w:i/>
          <w:iCs/>
        </w:rPr>
      </w:pPr>
      <w:r w:rsidRPr="004E70CE">
        <w:rPr>
          <w:i/>
          <w:iCs/>
        </w:rPr>
        <w:t>Step 1 – Emissions intensity calculation</w:t>
      </w:r>
    </w:p>
    <w:p w14:paraId="0B756F1E" w14:textId="77777777" w:rsidR="00DD3FC7" w:rsidRPr="004E70CE" w:rsidRDefault="00DD3FC7" w:rsidP="00DD3FC7">
      <w:r w:rsidRPr="004E70CE">
        <w:t>For the border carbon adjustment liability to be calculated, importers will need to account, report and be able to verify their emissions in a manner suitable to Australian frameworks.</w:t>
      </w:r>
    </w:p>
    <w:p w14:paraId="3334872C" w14:textId="77777777" w:rsidR="00DD3FC7" w:rsidRPr="004E70CE" w:rsidRDefault="00DD3FC7" w:rsidP="00DD3FC7">
      <w:r w:rsidRPr="004E70CE">
        <w:t>In principle, Australia would be confident in emissions accounting that follows international rules and standards, uses approaches developed in the context of other countries’ border carbon adjustments (e.g., reporting for the EU and UK CBAMs), and is measured in line with IPCC methodological guidelines.</w:t>
      </w:r>
    </w:p>
    <w:p w14:paraId="01328272" w14:textId="13B345A1" w:rsidR="00DD3FC7" w:rsidRPr="004E70CE" w:rsidRDefault="00DD3FC7" w:rsidP="00DD3FC7">
      <w:r w:rsidRPr="004E70CE">
        <w:t xml:space="preserve">Further discussion of emissions reporting, verification and the importance of default values is included in </w:t>
      </w:r>
      <w:r w:rsidR="00207576">
        <w:t xml:space="preserve">the </w:t>
      </w:r>
      <w:r w:rsidR="00207576">
        <w:rPr>
          <w:b/>
          <w:bCs/>
        </w:rPr>
        <w:t>Administrative considerations</w:t>
      </w:r>
      <w:r w:rsidRPr="004E70CE">
        <w:t xml:space="preserve"> </w:t>
      </w:r>
      <w:r w:rsidR="00207576" w:rsidRPr="00787849">
        <w:rPr>
          <w:b/>
        </w:rPr>
        <w:t>section</w:t>
      </w:r>
      <w:r w:rsidR="00207576">
        <w:t xml:space="preserve"> </w:t>
      </w:r>
      <w:r w:rsidRPr="004E70CE">
        <w:t xml:space="preserve">below. </w:t>
      </w:r>
    </w:p>
    <w:p w14:paraId="3BD1D8C6" w14:textId="77777777" w:rsidR="0099611A" w:rsidRDefault="0099611A">
      <w:pPr>
        <w:spacing w:after="0" w:line="240" w:lineRule="auto"/>
        <w:rPr>
          <w:i/>
          <w:iCs/>
        </w:rPr>
      </w:pPr>
      <w:r>
        <w:rPr>
          <w:i/>
          <w:iCs/>
        </w:rPr>
        <w:br w:type="page"/>
      </w:r>
    </w:p>
    <w:p w14:paraId="09C312A1" w14:textId="63292087" w:rsidR="00DD3FC7" w:rsidRPr="004E70CE" w:rsidRDefault="00DD3FC7" w:rsidP="00DD3FC7">
      <w:pPr>
        <w:rPr>
          <w:i/>
          <w:iCs/>
        </w:rPr>
      </w:pPr>
      <w:r w:rsidRPr="004E70CE">
        <w:rPr>
          <w:i/>
          <w:iCs/>
        </w:rPr>
        <w:lastRenderedPageBreak/>
        <w:t>Step 2 – Relevant Australian unit price</w:t>
      </w:r>
    </w:p>
    <w:p w14:paraId="1BAE5B58" w14:textId="77777777" w:rsidR="00DD3FC7" w:rsidRPr="004E70CE" w:rsidRDefault="00DD3FC7" w:rsidP="00DD3FC7">
      <w:r w:rsidRPr="004E70CE">
        <w:t>Specific provisions for determining relevant Australian unit price levels would be left for a detailed design process.</w:t>
      </w:r>
    </w:p>
    <w:p w14:paraId="0AF30E6F" w14:textId="3D9C1220" w:rsidR="00DD3FC7" w:rsidRPr="004E70CE" w:rsidRDefault="00DD3FC7" w:rsidP="00DD3FC7">
      <w:r w:rsidRPr="004E70CE">
        <w:t xml:space="preserve">Discussion of the administrative considerations in setting a relevant Australian unit price are included in </w:t>
      </w:r>
      <w:r w:rsidR="00787849">
        <w:rPr>
          <w:bCs/>
        </w:rPr>
        <w:t xml:space="preserve">next section </w:t>
      </w:r>
      <w:r w:rsidRPr="004E70CE">
        <w:t>below.</w:t>
      </w:r>
    </w:p>
    <w:p w14:paraId="297D70C9" w14:textId="77777777" w:rsidR="00DD3FC7" w:rsidRPr="004E70CE" w:rsidRDefault="00DD3FC7" w:rsidP="00DD3FC7">
      <w:pPr>
        <w:rPr>
          <w:i/>
          <w:iCs/>
        </w:rPr>
      </w:pPr>
      <w:r w:rsidRPr="004E70CE">
        <w:rPr>
          <w:i/>
          <w:iCs/>
        </w:rPr>
        <w:t>Step 3 – Recognising carbon costs paid</w:t>
      </w:r>
    </w:p>
    <w:p w14:paraId="4C5C908B" w14:textId="77777777" w:rsidR="00DD3FC7" w:rsidRPr="004E70CE" w:rsidRDefault="00DD3FC7" w:rsidP="00DD3FC7">
      <w:r w:rsidRPr="004E70CE">
        <w:t>Carbon costs paid in the country of production or in transit would need to be recognised and subtracted from any border carbon adjustment in Australia.</w:t>
      </w:r>
    </w:p>
    <w:p w14:paraId="16220B90" w14:textId="77777777" w:rsidR="00DD3FC7" w:rsidRPr="004E70CE" w:rsidRDefault="00DD3FC7" w:rsidP="00DD3FC7">
      <w:r w:rsidRPr="004E70CE">
        <w:t>Foreign carbon costs could be assessed by a relevant authority according to established methods, and ultimately could be drawn from international standard measures, for example if developed in the future under a body such as the Inclusive Forum on Carbon Mitigation Approaches.</w:t>
      </w:r>
    </w:p>
    <w:p w14:paraId="3322540D" w14:textId="77777777" w:rsidR="00DD3FC7" w:rsidRPr="004E70CE" w:rsidRDefault="00DD3FC7" w:rsidP="00DD3FC7">
      <w:r w:rsidRPr="004E70CE">
        <w:t>The proposed border carbon adjustment would be based on the effective price paid.</w:t>
      </w:r>
      <w:r w:rsidRPr="004E70CE">
        <w:rPr>
          <w:rStyle w:val="FootnoteReference"/>
        </w:rPr>
        <w:footnoteReference w:id="123"/>
      </w:r>
      <w:r w:rsidRPr="004E70CE">
        <w:t xml:space="preserve"> This would recognise price-based instruments, such as taxes or emissions trading schemes. </w:t>
      </w:r>
    </w:p>
    <w:p w14:paraId="46FF4E2A" w14:textId="77777777" w:rsidR="00DD3FC7" w:rsidRPr="004E70CE" w:rsidRDefault="00DD3FC7" w:rsidP="00DD3FC7">
      <w:r w:rsidRPr="004E70CE">
        <w:t>It is not proposed that implicit carbon costs (encompassing non-price-based policies, rebates, subsidies, or other compensations) would be considered until such a time as there are internationally agreed methods to price non-pricing-based policies.</w:t>
      </w:r>
      <w:r w:rsidRPr="004E70CE">
        <w:rPr>
          <w:rStyle w:val="FootnoteReference"/>
        </w:rPr>
        <w:footnoteReference w:id="124"/>
      </w:r>
    </w:p>
    <w:p w14:paraId="4B667A1F" w14:textId="77777777" w:rsidR="00DD3FC7" w:rsidRPr="004E70CE" w:rsidRDefault="00DD3FC7" w:rsidP="00DD3FC7">
      <w:r w:rsidRPr="004E70CE">
        <w:t xml:space="preserve">However, under the proposed approach it would not be necessary for other jurisdictions to have in place explicit carbon pricing. If the emissions intensity of imports is lower as a result of policies that impact producers’ emissions, the importer would have that lower emission intensity accounted for in Step 1. </w:t>
      </w:r>
    </w:p>
    <w:p w14:paraId="54648DF2" w14:textId="77777777" w:rsidR="0099611A" w:rsidRDefault="0099611A">
      <w:pPr>
        <w:spacing w:after="0" w:line="240" w:lineRule="auto"/>
        <w:rPr>
          <w:b/>
          <w:sz w:val="32"/>
          <w:szCs w:val="32"/>
          <w:lang w:val="en-US"/>
        </w:rPr>
      </w:pPr>
      <w:r>
        <w:rPr>
          <w:b/>
          <w:sz w:val="32"/>
          <w:szCs w:val="32"/>
        </w:rPr>
        <w:br w:type="page"/>
      </w:r>
    </w:p>
    <w:p w14:paraId="6471B68A" w14:textId="7C75F5D3" w:rsidR="00DD3FC7" w:rsidRPr="001530D4" w:rsidRDefault="00DD3FC7" w:rsidP="001530D4">
      <w:pPr>
        <w:pStyle w:val="BodyText"/>
        <w:rPr>
          <w:b/>
          <w:sz w:val="32"/>
          <w:szCs w:val="32"/>
        </w:rPr>
      </w:pPr>
      <w:r w:rsidRPr="001530D4">
        <w:rPr>
          <w:b/>
          <w:sz w:val="32"/>
          <w:szCs w:val="32"/>
        </w:rPr>
        <w:lastRenderedPageBreak/>
        <w:t>Administrative considerations</w:t>
      </w:r>
    </w:p>
    <w:p w14:paraId="0F0E4D96" w14:textId="65DAC4D3" w:rsidR="00DD3FC7" w:rsidRPr="004E70CE" w:rsidRDefault="00DD3FC7" w:rsidP="00DD3FC7">
      <w:pPr>
        <w:rPr>
          <w:b/>
          <w:bCs/>
        </w:rPr>
      </w:pPr>
      <w:r w:rsidRPr="004E70CE">
        <w:rPr>
          <w:b/>
          <w:bCs/>
        </w:rPr>
        <w:t xml:space="preserve">Emissions accounting, reporting, and verification </w:t>
      </w:r>
    </w:p>
    <w:p w14:paraId="32C334E8" w14:textId="77777777" w:rsidR="00DD3FC7" w:rsidRPr="004E70CE" w:rsidRDefault="00DD3FC7" w:rsidP="00DD3FC7">
      <w:r w:rsidRPr="004E70CE">
        <w:rPr>
          <w:i/>
          <w:iCs/>
        </w:rPr>
        <w:t>Reporting and verification</w:t>
      </w:r>
    </w:p>
    <w:p w14:paraId="05D171B7" w14:textId="77777777" w:rsidR="00DD3FC7" w:rsidRPr="004E70CE" w:rsidRDefault="00DD3FC7" w:rsidP="00DD3FC7">
      <w:r w:rsidRPr="004E70CE">
        <w:t>Should a border carbon adjustment be pursued, emissions reporting requirements</w:t>
      </w:r>
      <w:r w:rsidRPr="004E70CE" w:rsidDel="00461535">
        <w:t xml:space="preserve"> </w:t>
      </w:r>
      <w:r w:rsidRPr="004E70CE">
        <w:t>would need to balance the needs of regulators to administer a border carbon adjustment and any producer confidentiality issues. Reporting directly to government may ease confidentiality concerns. The administrative burden of reporting</w:t>
      </w:r>
      <w:r w:rsidRPr="004E70CE" w:rsidDel="00915A38">
        <w:t xml:space="preserve"> </w:t>
      </w:r>
      <w:r w:rsidRPr="004E70CE">
        <w:t>is a key consideration, particularly for micro and small to medium-sized enterprises. Detailed design of a border carbon adjustment would need to carefully consider these matters in close consultation with both domestic stakeholders and trading partner countries. The design should minimise administrative burden as far as possible and ensure that procedures are non-discriminatory and do not constitute an obstacle to trade consistent with international trade laws and obligations.</w:t>
      </w:r>
    </w:p>
    <w:p w14:paraId="4F042D41" w14:textId="77777777" w:rsidR="00DD3FC7" w:rsidRPr="004E70CE" w:rsidRDefault="00DD3FC7" w:rsidP="00DD3FC7">
      <w:r w:rsidRPr="004E70CE">
        <w:t>Independent verification will be required to validate production emissions. Independent verification by internationally recognised accrediting bodies could be desirable, whether via international organisation</w:t>
      </w:r>
      <w:r>
        <w:t>s</w:t>
      </w:r>
      <w:r w:rsidRPr="004E70CE">
        <w:t xml:space="preserve"> such as the International Accreditation Forum, or in a network of intergovernmental arrangements.   </w:t>
      </w:r>
    </w:p>
    <w:p w14:paraId="6E490428" w14:textId="77777777" w:rsidR="00DD3FC7" w:rsidRPr="004E70CE" w:rsidRDefault="00DD3FC7" w:rsidP="00DD3FC7">
      <w:r w:rsidRPr="004E70CE">
        <w:t>National inventory data is produced in line with Intergovernmental Panel on Climate Change (IPCC) Guidelines. The minimum (Tier 1) standards estimate energy and process emissions through the IPCC default emissions factors. This approach is lower cost than direct measurement (Tier 3) of emissions at the facility-level.</w:t>
      </w:r>
      <w:r w:rsidRPr="004E70CE">
        <w:rPr>
          <w:rStyle w:val="FootnoteReference"/>
        </w:rPr>
        <w:footnoteReference w:id="125"/>
      </w:r>
      <w:r w:rsidRPr="004E70CE">
        <w:t xml:space="preserve"> For countries that do not have extensive measurement and reporting, obtaining accurate facility or process-level emissions data may be challenging for some industries or incur significant costs to producers. </w:t>
      </w:r>
    </w:p>
    <w:p w14:paraId="023161CE" w14:textId="77777777" w:rsidR="00DD3FC7" w:rsidRPr="004E70CE" w:rsidRDefault="00DD3FC7" w:rsidP="00DD3FC7">
      <w:pPr>
        <w:ind w:left="720"/>
        <w:rPr>
          <w:rFonts w:cstheme="minorHAnsi"/>
          <w:i/>
          <w:lang w:eastAsia="ja-JP"/>
        </w:rPr>
      </w:pPr>
      <w:r w:rsidRPr="004E70CE">
        <w:rPr>
          <w:rStyle w:val="cf01"/>
          <w:rFonts w:asciiTheme="minorHAnsi" w:hAnsiTheme="minorHAnsi" w:cstheme="minorHAnsi"/>
          <w:i/>
          <w:sz w:val="22"/>
          <w:szCs w:val="22"/>
        </w:rPr>
        <w:t>It is important that agreements that are struck between trade partners that have carbon border adjustment policies, and those that are considering them, streamline the process for trade of emissions intensive and emissions free products. Customers must have confidence in the integrity of the product they are purchasing through the use of government programs like the Australian Guarantee of Origin product scheme. The interoperability of these schemes across jurisdictions is key to maintaining consumer confidence and accurate emissions accounting across the life cycle of a product. –</w:t>
      </w:r>
      <w:r w:rsidRPr="004E70CE">
        <w:rPr>
          <w:rStyle w:val="cf01"/>
          <w:rFonts w:asciiTheme="minorHAnsi" w:hAnsiTheme="minorHAnsi" w:cstheme="minorHAnsi"/>
          <w:b/>
          <w:i/>
          <w:sz w:val="22"/>
          <w:szCs w:val="22"/>
        </w:rPr>
        <w:t xml:space="preserve"> Fortescue</w:t>
      </w:r>
    </w:p>
    <w:p w14:paraId="3B81C546" w14:textId="77777777" w:rsidR="00DD3FC7" w:rsidRPr="004E70CE" w:rsidRDefault="00DD3FC7" w:rsidP="00DD3FC7">
      <w:r w:rsidRPr="004E70CE">
        <w:rPr>
          <w:i/>
        </w:rPr>
        <w:t xml:space="preserve">Emissions intensity default values </w:t>
      </w:r>
      <w:r w:rsidRPr="004E70CE">
        <w:rPr>
          <w:b/>
          <w:bCs/>
        </w:rPr>
        <w:t xml:space="preserve"> </w:t>
      </w:r>
    </w:p>
    <w:p w14:paraId="7C79D310" w14:textId="77777777" w:rsidR="00DD3FC7" w:rsidRPr="004E70CE" w:rsidRDefault="00DD3FC7" w:rsidP="00DD3FC7">
      <w:r w:rsidRPr="004E70CE">
        <w:t xml:space="preserve">Allowing importers to rely on appropriate default values reduces compliance and transaction costs where importers do not have accurate data, or where it is too costly to produce and verify.  Default values can also assist importing businesses by providing a certain reference point for emissions intensity. A default standard that is also accepted in other contexts removes the need to comply with multiple standards further reducing compliance and transaction costs. </w:t>
      </w:r>
    </w:p>
    <w:p w14:paraId="68A30C57" w14:textId="77777777" w:rsidR="00DD3FC7" w:rsidRPr="004E70CE" w:rsidRDefault="00DD3FC7" w:rsidP="00DD3FC7">
      <w:r w:rsidRPr="004E70CE">
        <w:lastRenderedPageBreak/>
        <w:t>Default values can be developed on a by-country basis or by-production pathway basis or using global weighted averages. The EU CBAM is proposing to set both by-country and by-product default values and the proposed UK CBAM will determine by</w:t>
      </w:r>
      <w:r>
        <w:t>-</w:t>
      </w:r>
      <w:r w:rsidRPr="004E70CE">
        <w:t>product default values using global average embodied emissions weighted by production volumes of key UK trading partners.</w:t>
      </w:r>
    </w:p>
    <w:p w14:paraId="521D4570" w14:textId="77777777" w:rsidR="00DD3FC7" w:rsidRPr="004E70CE" w:rsidRDefault="00DD3FC7" w:rsidP="00DD3FC7">
      <w:r w:rsidRPr="004E70CE">
        <w:t xml:space="preserve">Default values could be set to incentivise emissions monitoring and reporting by setting generally high default emissions intensity values for a particular product. Such an approach tends to penalise low emissions producers that are unable to meet emissions measurement requirements or face particularly high costs for emissions measurement. Alternatively, default emissions intensity values could be set to approximately reflect actual emissions, for example by setting default values based on specific production circumstances on a by-country basis. If default values tend to be very close to, or below, actual emissions, this reduces the incentive to report actual emissions. Conversely, default values that tend to be well above actual emissions intensities will tend to strongly incentivise reporting actual emissions, even if this is costly. </w:t>
      </w:r>
    </w:p>
    <w:p w14:paraId="47FDBFBD" w14:textId="77777777" w:rsidR="00DD3FC7" w:rsidRPr="004E70CE" w:rsidRDefault="00DD3FC7" w:rsidP="00DD3FC7">
      <w:r w:rsidRPr="004E70CE">
        <w:t>Setting default values appropriately therefore means to avoid underestimating emissions intensities whilst maintaining an incentive to report emissions where reporting is not overly costly. A system that allowed reporting of actual emissions and the use of default values that approximate actual emissions intensity would be desirable.</w:t>
      </w:r>
    </w:p>
    <w:p w14:paraId="6CB19EA2" w14:textId="14BDBF60" w:rsidR="00DD3FC7" w:rsidRPr="004E70CE" w:rsidRDefault="00DD3FC7" w:rsidP="00DD3FC7">
      <w:pPr>
        <w:pStyle w:val="Calloutbox"/>
        <w:shd w:val="clear" w:color="auto" w:fill="D7F5FA" w:themeFill="background2" w:themeFillTint="1A"/>
        <w:spacing w:after="200" w:line="276" w:lineRule="auto"/>
        <w:rPr>
          <w:b/>
        </w:rPr>
      </w:pPr>
      <w:r w:rsidRPr="004E70CE">
        <w:rPr>
          <w:b/>
        </w:rPr>
        <w:t xml:space="preserve">Box </w:t>
      </w:r>
      <w:r w:rsidR="00474A2D">
        <w:rPr>
          <w:b/>
        </w:rPr>
        <w:t>7</w:t>
      </w:r>
      <w:r w:rsidRPr="004E70CE">
        <w:rPr>
          <w:b/>
        </w:rPr>
        <w:t xml:space="preserve"> - Role of the OECD Inclusive Forum on Carbon Mitigation Approaches and the Climate Club</w:t>
      </w:r>
    </w:p>
    <w:p w14:paraId="751F990C" w14:textId="77777777" w:rsidR="00DD3FC7" w:rsidRPr="004E70CE" w:rsidRDefault="00DD3FC7" w:rsidP="00DD3FC7">
      <w:pPr>
        <w:pStyle w:val="Calloutbox"/>
        <w:shd w:val="clear" w:color="auto" w:fill="D7F5FA" w:themeFill="background2" w:themeFillTint="1A"/>
        <w:spacing w:after="200" w:line="276" w:lineRule="auto"/>
      </w:pPr>
      <w:r w:rsidRPr="004E70CE">
        <w:t>Work is underway at the Inclusive Forum on Carbon Mitigation Approaches (IFCMA) related to the calculation of sector- and product-level emissions intensities, including the move to interoperable and harmonised methodologies. This could lead to a commonly accepted set of default emissions intensity values, which could be used in the calculation of any border carbon adjustment charge. Such a standard would avoid the need to make specific determinations for an Australian border carbon adjustment, could reduce transaction and compliance costs, and could promote interoperability between border carbon adjustments in different countries.</w:t>
      </w:r>
    </w:p>
    <w:p w14:paraId="583F4649" w14:textId="77777777" w:rsidR="00DD3FC7" w:rsidRPr="004E70CE" w:rsidRDefault="00DD3FC7" w:rsidP="00DD3FC7">
      <w:pPr>
        <w:pStyle w:val="Calloutbox"/>
        <w:shd w:val="clear" w:color="auto" w:fill="D7F5FA" w:themeFill="background2" w:themeFillTint="1A"/>
        <w:spacing w:after="200" w:line="276" w:lineRule="auto"/>
      </w:pPr>
      <w:r w:rsidRPr="004E70CE">
        <w:t>Similar efforts underway in the Climate Club to investigate approaches to address carbon leakage and to build a common understanding of comparable and interoperable emissions computation standards with a focus on the cement and steel sectors could help create international standards for the measurement of emissions intensity. Such an approach would avoid unnecessary costs associated with divergent compliance and separate verification requirements.</w:t>
      </w:r>
    </w:p>
    <w:p w14:paraId="0E785223" w14:textId="77777777" w:rsidR="00DD3FC7" w:rsidRPr="004E70CE" w:rsidRDefault="00DD3FC7" w:rsidP="00DD3FC7">
      <w:pPr>
        <w:pStyle w:val="Calloutbox"/>
        <w:shd w:val="clear" w:color="auto" w:fill="D7F5FA" w:themeFill="background2" w:themeFillTint="1A"/>
        <w:spacing w:after="200" w:line="276" w:lineRule="auto"/>
      </w:pPr>
      <w:r w:rsidRPr="004E70CE">
        <w:t xml:space="preserve">The IFCMA’s work to build transparency and a deeper understanding of different jurisdictions’ approaches to carbon pricing policy also has potential for arriving at agreed methods for assessing effective carbon pricing that applies to traded commodities produced in specific countries. Relying on an international or plurilaterally agreed assessment of the domestic policy efforts would reduce compliance costs and enhance predictability, and improve overall acceptability of border carbon adjustments. </w:t>
      </w:r>
    </w:p>
    <w:p w14:paraId="38F3C69B" w14:textId="77777777" w:rsidR="00DD3FC7" w:rsidRPr="004E70CE" w:rsidRDefault="00DD3FC7" w:rsidP="00DD3FC7">
      <w:pPr>
        <w:spacing w:after="0" w:line="240" w:lineRule="auto"/>
        <w:rPr>
          <w:b/>
          <w:bCs/>
        </w:rPr>
      </w:pPr>
      <w:r w:rsidRPr="004E70CE">
        <w:rPr>
          <w:b/>
          <w:bCs/>
        </w:rPr>
        <w:br w:type="page"/>
      </w:r>
    </w:p>
    <w:p w14:paraId="7B17037E" w14:textId="4E638EDB" w:rsidR="00DD3FC7" w:rsidRPr="004E70CE" w:rsidRDefault="00DD3FC7" w:rsidP="00DD3FC7">
      <w:pPr>
        <w:rPr>
          <w:b/>
          <w:bCs/>
        </w:rPr>
      </w:pPr>
      <w:r w:rsidRPr="004E70CE">
        <w:rPr>
          <w:b/>
          <w:bCs/>
        </w:rPr>
        <w:lastRenderedPageBreak/>
        <w:t>Setting Australian reference unit price</w:t>
      </w:r>
    </w:p>
    <w:p w14:paraId="3CEDFB26" w14:textId="3F9CFD29" w:rsidR="00DD3FC7" w:rsidRPr="004E70CE" w:rsidRDefault="00DD3FC7" w:rsidP="00DD3FC7">
      <w:r w:rsidRPr="004E70CE">
        <w:t xml:space="preserve">If a border carbon adjustment is implemented through a fee-based system (see below), then it will be necessary to set a reference price that represents the Australian relevant unit price. This price could be drawn from recent averages of the headline ACCU price, for example using the Safeguard Mechanism’s Default Prescribed Unit Price which is to be published in June of each financial year. Alternatively, a shorter-term rolling average of market prices could be applied. </w:t>
      </w:r>
    </w:p>
    <w:p w14:paraId="10C8BCBF" w14:textId="77777777" w:rsidR="00DD3FC7" w:rsidRPr="004E70CE" w:rsidRDefault="00DD3FC7" w:rsidP="00DD3FC7">
      <w:r w:rsidRPr="004E70CE">
        <w:t xml:space="preserve">Consideration could be given to acquitting obligations on an aggregate basis across shipments from facilities within the same corporate group, over some period of time (for example quarterly). This would allow shipments with emissions intensity below the baseline to offset emissions intensity obligations from shipments above baselines, within defined temporal and ownership boundaries. </w:t>
      </w:r>
    </w:p>
    <w:p w14:paraId="7FFD99FD" w14:textId="77777777" w:rsidR="00DD3FC7" w:rsidRPr="004E70CE" w:rsidRDefault="00DD3FC7" w:rsidP="00DD3FC7">
      <w:r w:rsidRPr="004E70CE">
        <w:t>Importers would not receive SMCs for emissions intensities below the Safeguard baseline. SMCs are generated within a regulated emissions limit which restricts the overall emissions of all Safeguard facilities. This ensures SMCs have integrity under the Safeguard Mechanism as a tradeable credit, facilitating abatement wherever it is most cost-effective to do so. These policy objectives and settings could not be mirrored in a border carbon adjustment.</w:t>
      </w:r>
    </w:p>
    <w:p w14:paraId="3F097E5D" w14:textId="04A8D48E" w:rsidR="00DD3FC7" w:rsidRPr="004E70CE" w:rsidRDefault="00DD3FC7" w:rsidP="00DD3FC7">
      <w:pPr>
        <w:rPr>
          <w:b/>
          <w:bCs/>
        </w:rPr>
      </w:pPr>
      <w:r w:rsidRPr="004E70CE">
        <w:rPr>
          <w:b/>
          <w:bCs/>
        </w:rPr>
        <w:t xml:space="preserve">Paying for border carbon adjustment liability </w:t>
      </w:r>
    </w:p>
    <w:p w14:paraId="6A418E93" w14:textId="77777777" w:rsidR="00DD3FC7" w:rsidRPr="004E70CE" w:rsidRDefault="00DD3FC7" w:rsidP="00DD3FC7">
      <w:r w:rsidRPr="004E70CE">
        <w:t xml:space="preserve">Paying the border carbon adjustment liability could involve either: </w:t>
      </w:r>
    </w:p>
    <w:p w14:paraId="7007809B" w14:textId="77777777" w:rsidR="00DD3FC7" w:rsidRPr="004E70CE" w:rsidRDefault="00DD3FC7" w:rsidP="00DD3FC7">
      <w:pPr>
        <w:pStyle w:val="ListParagraph"/>
        <w:numPr>
          <w:ilvl w:val="0"/>
          <w:numId w:val="13"/>
        </w:numPr>
        <w:spacing w:after="200" w:line="276" w:lineRule="auto"/>
        <w:contextualSpacing/>
      </w:pPr>
      <w:r w:rsidRPr="004E70CE">
        <w:t>paying a fee calculated by reference to the relevant Australian unit price, either at the border or reconciled later, and/or</w:t>
      </w:r>
    </w:p>
    <w:p w14:paraId="6ADDA707" w14:textId="77777777" w:rsidR="00DD3FC7" w:rsidRPr="004E70CE" w:rsidRDefault="00DD3FC7" w:rsidP="00DD3FC7">
      <w:pPr>
        <w:pStyle w:val="ListParagraph"/>
        <w:numPr>
          <w:ilvl w:val="0"/>
          <w:numId w:val="13"/>
        </w:numPr>
        <w:spacing w:after="200" w:line="276" w:lineRule="auto"/>
        <w:contextualSpacing/>
      </w:pPr>
      <w:r w:rsidRPr="004E70CE">
        <w:t>purchasing and surrendering ACCUs.</w:t>
      </w:r>
    </w:p>
    <w:p w14:paraId="545DA6F6" w14:textId="77777777" w:rsidR="00DD3FC7" w:rsidRPr="004E70CE" w:rsidRDefault="00DD3FC7" w:rsidP="00DD3FC7">
      <w:r w:rsidRPr="004E70CE">
        <w:t xml:space="preserve">Payment of a fee would be administratively simpler and provide greater predictability of liabilities as the fee would be set for a defined period of time and published, providing certainty to importers. </w:t>
      </w:r>
    </w:p>
    <w:p w14:paraId="27DB091B" w14:textId="77777777" w:rsidR="00DD3FC7" w:rsidRPr="004E70CE" w:rsidRDefault="00DD3FC7" w:rsidP="00DD3FC7">
      <w:r w:rsidRPr="004E70CE">
        <w:t>Surrendering ACCUs would more closely reflect domestic requirements, but trading in ACCUs has legislative requirements that would have to be met by importers which would require careful consideration. It is possible that ACCUs could be wholly secured and surrendered domestically by the importer, but importers need to consider the administrative or practical burden this option may impose. The ACCU purchase option would create additional demand in the Australian credit market, raising the prices prevailing in emissions credit markets. The abatement associated with any ACCUs surrendered would contribute to the achievement of Australia’s emissions reduction targets.</w:t>
      </w:r>
    </w:p>
    <w:p w14:paraId="18F90D34" w14:textId="77777777" w:rsidR="00DD3FC7" w:rsidRPr="004E70CE" w:rsidRDefault="00DD3FC7" w:rsidP="00DD3FC7">
      <w:r w:rsidRPr="004E70CE">
        <w:t xml:space="preserve">In principle, importers could acquit the liability by paying a fee or surrendering ACCUs. On balance, the Review’s </w:t>
      </w:r>
      <w:r>
        <w:t>preliminary finding</w:t>
      </w:r>
      <w:r w:rsidRPr="004E70CE">
        <w:t xml:space="preserve"> suggests that payment of a fee on imports may be the preferable option. It would also be theoretically possible to provide importers the choice of either a fee or surrendering ACCUs.</w:t>
      </w:r>
    </w:p>
    <w:p w14:paraId="257C46CE" w14:textId="5BEF0A13" w:rsidR="00DD3FC7" w:rsidRPr="004E70CE" w:rsidRDefault="00DD3FC7" w:rsidP="00DD3FC7">
      <w:pPr>
        <w:rPr>
          <w:lang w:val="en-GB"/>
        </w:rPr>
      </w:pPr>
      <w:r w:rsidRPr="004E70CE">
        <w:rPr>
          <w:b/>
          <w:bCs/>
          <w:lang w:val="en-GB"/>
        </w:rPr>
        <w:t>Customs administration and costs of the border carbon adjustment</w:t>
      </w:r>
    </w:p>
    <w:p w14:paraId="2BB5082E" w14:textId="77777777" w:rsidR="00DD3FC7" w:rsidRPr="004E70CE" w:rsidRDefault="00DD3FC7" w:rsidP="00DD3FC7">
      <w:r w:rsidRPr="004E70CE">
        <w:t>A border carbon adjustment would have administrative costs to government and compliance costs to business. The level of cost would depend on design and could include:</w:t>
      </w:r>
    </w:p>
    <w:p w14:paraId="5B07A127" w14:textId="77777777" w:rsidR="00DD3FC7" w:rsidRPr="004E70CE" w:rsidRDefault="00DD3FC7" w:rsidP="00DD3FC7">
      <w:pPr>
        <w:numPr>
          <w:ilvl w:val="0"/>
          <w:numId w:val="14"/>
        </w:numPr>
      </w:pPr>
      <w:r w:rsidRPr="004E70CE">
        <w:rPr>
          <w:i/>
        </w:rPr>
        <w:lastRenderedPageBreak/>
        <w:t>Government administrative costs:</w:t>
      </w:r>
      <w:r w:rsidRPr="004E70CE">
        <w:t xml:space="preserve"> including checking and verifying declarations of emissions, calculating and collecting border carbon adjustment liability, compliance checks, record keeping and reporting.</w:t>
      </w:r>
    </w:p>
    <w:p w14:paraId="4EBE4A35" w14:textId="77777777" w:rsidR="00DD3FC7" w:rsidRPr="004E70CE" w:rsidRDefault="00DD3FC7" w:rsidP="00DD3FC7">
      <w:pPr>
        <w:numPr>
          <w:ilvl w:val="0"/>
          <w:numId w:val="14"/>
        </w:numPr>
      </w:pPr>
      <w:r w:rsidRPr="004E70CE">
        <w:rPr>
          <w:i/>
        </w:rPr>
        <w:t>Compliance costs to business:</w:t>
      </w:r>
      <w:r w:rsidRPr="004E70CE">
        <w:t xml:space="preserve"> including meeting emissions verification requirements, engaging with government to report emissions and any carbon price already paid, and training and hiring employees to comply with border carbon adjustment requirements, or the cost of engaging professional services to do so. Australian producers already face these compliance costs through NGER scheme and the Safeguard Mechanism.</w:t>
      </w:r>
    </w:p>
    <w:p w14:paraId="7531A273" w14:textId="77777777" w:rsidR="00DD3FC7" w:rsidRPr="004E70CE" w:rsidRDefault="00DD3FC7" w:rsidP="00DD3FC7">
      <w:pPr>
        <w:rPr>
          <w:i/>
        </w:rPr>
      </w:pPr>
      <w:r w:rsidRPr="004E70CE">
        <w:rPr>
          <w:i/>
        </w:rPr>
        <w:t>Government administrative costs</w:t>
      </w:r>
    </w:p>
    <w:p w14:paraId="0C3215C2" w14:textId="77777777" w:rsidR="00DD3FC7" w:rsidRPr="004E70CE" w:rsidRDefault="00DD3FC7" w:rsidP="00DD3FC7">
      <w:r w:rsidRPr="004E70CE">
        <w:t xml:space="preserve">Should a border carbon adjustment be pursued, the government would face both establishment and ongoing costs. Establishment costs would include personnel and ICT system costs. </w:t>
      </w:r>
    </w:p>
    <w:p w14:paraId="7879703E" w14:textId="77777777" w:rsidR="00DD3FC7" w:rsidRPr="004E70CE" w:rsidRDefault="00DD3FC7" w:rsidP="00DD3FC7">
      <w:r w:rsidRPr="004E70CE">
        <w:t>The main ongoing government administrative cost would be staffing. Staffing costs would be higher during the design and implementation stage of applying a border carbon adjustment to a commodity and would then reduce during the monitoring and compliance stage. Final staffing costs would depend on design decisions and the extent to which processes can be automated and streamlined. Ongoing arrangements could be cost recovered.</w:t>
      </w:r>
    </w:p>
    <w:p w14:paraId="65D3E046" w14:textId="77777777" w:rsidR="00DD3FC7" w:rsidRPr="004E70CE" w:rsidRDefault="00DD3FC7" w:rsidP="00DD3FC7">
      <w:pPr>
        <w:rPr>
          <w:i/>
          <w:iCs/>
        </w:rPr>
      </w:pPr>
      <w:r w:rsidRPr="004E70CE">
        <w:rPr>
          <w:i/>
          <w:iCs/>
        </w:rPr>
        <w:t>Compliance costs</w:t>
      </w:r>
    </w:p>
    <w:p w14:paraId="0C4FD10C" w14:textId="77777777" w:rsidR="00DD3FC7" w:rsidRPr="004E70CE" w:rsidRDefault="00DD3FC7" w:rsidP="00DD3FC7">
      <w:r w:rsidRPr="004E70CE">
        <w:t>The costs associated with any border carbon adjustment would be directly related with the complexity of the compliance process. Any border carbon adjustment mechanism should be designed to minimise administrative burden and costs arising to businesses from processes to comply.</w:t>
      </w:r>
    </w:p>
    <w:p w14:paraId="6D13773F" w14:textId="77777777" w:rsidR="00DD3FC7" w:rsidRPr="004E70CE" w:rsidRDefault="00DD3FC7" w:rsidP="00DD3FC7">
      <w:r w:rsidRPr="004E70CE">
        <w:t>To ensure that compliance costs are commensurate with the value of the import, it is likely that a minimum annual threshold would be set before an importer would become liable for a border carbon adjustment liability. This would align with the proposed UK CBAM approach.</w:t>
      </w:r>
      <w:r w:rsidRPr="004E70CE">
        <w:rPr>
          <w:rStyle w:val="FootnoteReference"/>
        </w:rPr>
        <w:footnoteReference w:id="126"/>
      </w:r>
    </w:p>
    <w:p w14:paraId="1ED2AD71" w14:textId="77777777" w:rsidR="00DD3FC7" w:rsidRPr="004E70CE" w:rsidRDefault="00DD3FC7" w:rsidP="00DD3FC7">
      <w:pPr>
        <w:rPr>
          <w:lang w:val="en-GB"/>
        </w:rPr>
      </w:pPr>
      <w:r w:rsidRPr="004E70CE">
        <w:rPr>
          <w:lang w:val="en-GB"/>
        </w:rPr>
        <w:t>Several stakeholders expressed the need for any border carbon adjustment mechanism to minimise compliance cost for business.</w:t>
      </w:r>
    </w:p>
    <w:p w14:paraId="13547DC7" w14:textId="77777777" w:rsidR="00DD3FC7" w:rsidRPr="004E70CE" w:rsidRDefault="00DD3FC7" w:rsidP="00DD3FC7">
      <w:pPr>
        <w:ind w:left="720"/>
        <w:rPr>
          <w:rFonts w:cstheme="minorHAnsi"/>
          <w:lang w:eastAsia="ja-JP"/>
        </w:rPr>
      </w:pPr>
      <w:r w:rsidRPr="004E70CE">
        <w:rPr>
          <w:rStyle w:val="cf01"/>
          <w:rFonts w:asciiTheme="minorHAnsi" w:hAnsiTheme="minorHAnsi" w:cstheme="minorHAnsi"/>
          <w:i/>
          <w:iCs/>
          <w:sz w:val="22"/>
          <w:szCs w:val="22"/>
        </w:rPr>
        <w:t xml:space="preserve">The design of a CBAM should aim to minimise the costs of emissions accounting and compliance, recognising the complexity of accounting for emissions across what may be complex supply chains. – </w:t>
      </w:r>
      <w:r w:rsidRPr="004E70CE">
        <w:rPr>
          <w:rStyle w:val="cf01"/>
          <w:rFonts w:asciiTheme="minorHAnsi" w:hAnsiTheme="minorHAnsi" w:cstheme="minorHAnsi"/>
          <w:b/>
          <w:i/>
          <w:sz w:val="22"/>
          <w:szCs w:val="22"/>
        </w:rPr>
        <w:t>Business Council of Australia</w:t>
      </w:r>
    </w:p>
    <w:p w14:paraId="2B69F7D6" w14:textId="77777777" w:rsidR="00DD3FC7" w:rsidRPr="004E70CE" w:rsidRDefault="00DD3FC7" w:rsidP="00DD3FC7">
      <w:pPr>
        <w:ind w:left="720"/>
        <w:rPr>
          <w:rStyle w:val="cf01"/>
          <w:rFonts w:asciiTheme="minorHAnsi" w:hAnsiTheme="minorHAnsi" w:cstheme="minorHAnsi"/>
          <w:b/>
          <w:i/>
          <w:sz w:val="22"/>
          <w:szCs w:val="22"/>
        </w:rPr>
      </w:pPr>
      <w:r w:rsidRPr="004E70CE">
        <w:rPr>
          <w:rStyle w:val="cf01"/>
          <w:rFonts w:asciiTheme="minorHAnsi" w:hAnsiTheme="minorHAnsi" w:cstheme="minorHAnsi"/>
          <w:i/>
          <w:iCs/>
          <w:sz w:val="22"/>
          <w:szCs w:val="22"/>
        </w:rPr>
        <w:t>While addressing any unique Australian circumstances is important, ideally Australia will apply common international approaches in order to minimise compliance costs and ease trade. –</w:t>
      </w:r>
      <w:r w:rsidRPr="004E70CE">
        <w:rPr>
          <w:rStyle w:val="cf01"/>
          <w:rFonts w:asciiTheme="minorHAnsi" w:hAnsiTheme="minorHAnsi" w:cstheme="minorHAnsi"/>
          <w:b/>
          <w:i/>
          <w:sz w:val="22"/>
          <w:szCs w:val="22"/>
        </w:rPr>
        <w:t xml:space="preserve"> Ai Group</w:t>
      </w:r>
    </w:p>
    <w:p w14:paraId="699F9A77" w14:textId="77777777" w:rsidR="00DD3FC7" w:rsidRDefault="00DD3FC7" w:rsidP="00537479">
      <w:pPr>
        <w:spacing w:after="0" w:line="240" w:lineRule="auto"/>
      </w:pPr>
    </w:p>
    <w:sectPr w:rsidR="00DD3FC7">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F9AE3E" w14:textId="77777777" w:rsidR="00422B4C" w:rsidRDefault="00422B4C">
      <w:r>
        <w:separator/>
      </w:r>
    </w:p>
    <w:p w14:paraId="199E45D6" w14:textId="77777777" w:rsidR="00422B4C" w:rsidRDefault="00422B4C"/>
    <w:p w14:paraId="67E9D6E4" w14:textId="77777777" w:rsidR="00422B4C" w:rsidRDefault="00422B4C"/>
  </w:endnote>
  <w:endnote w:type="continuationSeparator" w:id="0">
    <w:p w14:paraId="5BD6CFDB" w14:textId="77777777" w:rsidR="00422B4C" w:rsidRDefault="00422B4C">
      <w:r>
        <w:continuationSeparator/>
      </w:r>
    </w:p>
    <w:p w14:paraId="5AF0FC84" w14:textId="77777777" w:rsidR="00422B4C" w:rsidRDefault="00422B4C"/>
    <w:p w14:paraId="6A144CBC" w14:textId="77777777" w:rsidR="00422B4C" w:rsidRDefault="00422B4C"/>
  </w:endnote>
  <w:endnote w:type="continuationNotice" w:id="1">
    <w:p w14:paraId="0E89351C" w14:textId="77777777" w:rsidR="00422B4C" w:rsidRDefault="00422B4C">
      <w:pPr>
        <w:pStyle w:val="Footer"/>
      </w:pPr>
    </w:p>
    <w:p w14:paraId="40C71C4F" w14:textId="77777777" w:rsidR="00422B4C" w:rsidRDefault="00422B4C"/>
    <w:p w14:paraId="3195D1D3" w14:textId="77777777" w:rsidR="00422B4C" w:rsidRDefault="00422B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IDFont+F4">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EFCBA" w14:textId="6113E4C3" w:rsidR="00DE2C7B" w:rsidRDefault="00241BBC">
    <w:pPr>
      <w:pStyle w:val="Footer"/>
    </w:pPr>
    <w:r>
      <w:rPr>
        <w:noProof/>
      </w:rPr>
      <mc:AlternateContent>
        <mc:Choice Requires="wps">
          <w:drawing>
            <wp:anchor distT="0" distB="0" distL="0" distR="0" simplePos="0" relativeHeight="251658246" behindDoc="0" locked="0" layoutInCell="1" allowOverlap="1" wp14:anchorId="533BE435" wp14:editId="27DD9914">
              <wp:simplePos x="635" y="635"/>
              <wp:positionH relativeFrom="page">
                <wp:align>center</wp:align>
              </wp:positionH>
              <wp:positionV relativeFrom="page">
                <wp:align>bottom</wp:align>
              </wp:positionV>
              <wp:extent cx="551815" cy="404495"/>
              <wp:effectExtent l="0" t="0" r="635" b="0"/>
              <wp:wrapNone/>
              <wp:docPr id="204569161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F24564F" w14:textId="500FE193" w:rsidR="00241BBC" w:rsidRPr="00241BBC" w:rsidRDefault="00241BBC" w:rsidP="00241BBC">
                          <w:pPr>
                            <w:spacing w:after="0"/>
                            <w:rPr>
                              <w:rFonts w:ascii="Calibri" w:eastAsia="Calibri" w:hAnsi="Calibri" w:cs="Calibri"/>
                              <w:noProof/>
                              <w:color w:val="FF0000"/>
                              <w:sz w:val="24"/>
                              <w:szCs w:val="24"/>
                            </w:rPr>
                          </w:pPr>
                          <w:r w:rsidRPr="00241BB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3BE435"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1F24564F" w14:textId="500FE193" w:rsidR="00241BBC" w:rsidRPr="00241BBC" w:rsidRDefault="00241BBC" w:rsidP="00241BBC">
                    <w:pPr>
                      <w:spacing w:after="0"/>
                      <w:rPr>
                        <w:rFonts w:ascii="Calibri" w:eastAsia="Calibri" w:hAnsi="Calibri" w:cs="Calibri"/>
                        <w:noProof/>
                        <w:color w:val="FF0000"/>
                        <w:sz w:val="24"/>
                        <w:szCs w:val="24"/>
                      </w:rPr>
                    </w:pPr>
                    <w:r w:rsidRPr="00241BBC">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7CE86" w14:textId="54D037F3" w:rsidR="00DE2C7B" w:rsidRDefault="00241BBC" w:rsidP="009E14EF">
    <w:pPr>
      <w:pStyle w:val="Footer"/>
    </w:pPr>
    <w:r>
      <w:rPr>
        <w:noProof/>
      </w:rPr>
      <mc:AlternateContent>
        <mc:Choice Requires="wps">
          <w:drawing>
            <wp:anchor distT="0" distB="0" distL="0" distR="0" simplePos="0" relativeHeight="251658247" behindDoc="0" locked="0" layoutInCell="1" allowOverlap="1" wp14:anchorId="52FF49E8" wp14:editId="28EFD008">
              <wp:simplePos x="904875" y="10125075"/>
              <wp:positionH relativeFrom="page">
                <wp:align>center</wp:align>
              </wp:positionH>
              <wp:positionV relativeFrom="page">
                <wp:align>bottom</wp:align>
              </wp:positionV>
              <wp:extent cx="551815" cy="404495"/>
              <wp:effectExtent l="0" t="0" r="635" b="0"/>
              <wp:wrapNone/>
              <wp:docPr id="146493298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7200463" w14:textId="603DAFE3" w:rsidR="00241BBC" w:rsidRPr="00241BBC" w:rsidRDefault="00241BBC" w:rsidP="00241BBC">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FF49E8"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31.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27200463" w14:textId="603DAFE3" w:rsidR="00241BBC" w:rsidRPr="00241BBC" w:rsidRDefault="00241BBC" w:rsidP="00241BBC">
                    <w:pPr>
                      <w:spacing w:after="0"/>
                      <w:rPr>
                        <w:rFonts w:ascii="Calibri" w:eastAsia="Calibri" w:hAnsi="Calibri" w:cs="Calibri"/>
                        <w:noProof/>
                        <w:color w:val="FF0000"/>
                        <w:sz w:val="24"/>
                        <w:szCs w:val="24"/>
                      </w:rPr>
                    </w:pPr>
                  </w:p>
                </w:txbxContent>
              </v:textbox>
              <w10:wrap anchorx="page" anchory="page"/>
            </v:shape>
          </w:pict>
        </mc:Fallback>
      </mc:AlternateContent>
    </w:r>
    <w:r w:rsidR="00136104" w:rsidRPr="00136104">
      <w:t xml:space="preserve">Department of Climate Change, Energy, the Environment and Water </w:t>
    </w:r>
    <w:r w:rsidR="009E14EF">
      <w:br/>
    </w:r>
    <w:sdt>
      <w:sdtPr>
        <w:id w:val="-1397659321"/>
        <w:docPartObj>
          <w:docPartGallery w:val="Page Numbers (Bottom of Page)"/>
          <w:docPartUnique/>
        </w:docPartObj>
      </w:sdtPr>
      <w:sdtEndPr/>
      <w:sdtContent>
        <w:r w:rsidR="00DE2C7B">
          <w:fldChar w:fldCharType="begin"/>
        </w:r>
        <w:r w:rsidR="00DE2C7B">
          <w:instrText xml:space="preserve"> PAGE   \* MERGEFORMAT </w:instrText>
        </w:r>
        <w:r w:rsidR="00DE2C7B">
          <w:fldChar w:fldCharType="separate"/>
        </w:r>
        <w:r w:rsidR="00DE2C7B">
          <w:rPr>
            <w:noProof/>
          </w:rPr>
          <w:t>28</w:t>
        </w:r>
        <w:r w:rsidR="00DE2C7B">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2416C" w14:textId="5E22D5F5" w:rsidR="00DE2C7B" w:rsidRDefault="00241BBC">
    <w:pPr>
      <w:pStyle w:val="Footer"/>
    </w:pPr>
    <w:r>
      <w:rPr>
        <w:noProof/>
      </w:rPr>
      <mc:AlternateContent>
        <mc:Choice Requires="wps">
          <w:drawing>
            <wp:anchor distT="0" distB="0" distL="0" distR="0" simplePos="0" relativeHeight="251658245" behindDoc="0" locked="0" layoutInCell="1" allowOverlap="1" wp14:anchorId="797702D9" wp14:editId="712156C5">
              <wp:simplePos x="904875" y="10277475"/>
              <wp:positionH relativeFrom="page">
                <wp:align>center</wp:align>
              </wp:positionH>
              <wp:positionV relativeFrom="page">
                <wp:align>bottom</wp:align>
              </wp:positionV>
              <wp:extent cx="551815" cy="404495"/>
              <wp:effectExtent l="0" t="0" r="635" b="0"/>
              <wp:wrapNone/>
              <wp:docPr id="1997355138"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426B2B9" w14:textId="5BA30AB1" w:rsidR="00241BBC" w:rsidRPr="00241BBC" w:rsidRDefault="00241BBC" w:rsidP="00241BBC">
                          <w:pPr>
                            <w:spacing w:after="0"/>
                            <w:rPr>
                              <w:rFonts w:ascii="Calibri" w:eastAsia="Calibri" w:hAnsi="Calibri" w:cs="Calibri"/>
                              <w:noProof/>
                              <w:color w:val="FF0000"/>
                              <w:sz w:val="24"/>
                              <w:szCs w:val="24"/>
                            </w:rPr>
                          </w:pPr>
                          <w:r w:rsidRPr="00241BB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7702D9"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31.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0426B2B9" w14:textId="5BA30AB1" w:rsidR="00241BBC" w:rsidRPr="00241BBC" w:rsidRDefault="00241BBC" w:rsidP="00241BBC">
                    <w:pPr>
                      <w:spacing w:after="0"/>
                      <w:rPr>
                        <w:rFonts w:ascii="Calibri" w:eastAsia="Calibri" w:hAnsi="Calibri" w:cs="Calibri"/>
                        <w:noProof/>
                        <w:color w:val="FF0000"/>
                        <w:sz w:val="24"/>
                        <w:szCs w:val="24"/>
                      </w:rPr>
                    </w:pPr>
                    <w:r w:rsidRPr="00241BBC">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5AD903" w14:textId="77777777" w:rsidR="00422B4C" w:rsidRDefault="00422B4C" w:rsidP="00890287">
      <w:pPr>
        <w:spacing w:after="0"/>
      </w:pPr>
      <w:r>
        <w:separator/>
      </w:r>
    </w:p>
  </w:footnote>
  <w:footnote w:type="continuationSeparator" w:id="0">
    <w:p w14:paraId="7B0219B8" w14:textId="77777777" w:rsidR="00422B4C" w:rsidRDefault="00422B4C">
      <w:r>
        <w:continuationSeparator/>
      </w:r>
    </w:p>
    <w:p w14:paraId="1AA1AA4C" w14:textId="77777777" w:rsidR="00422B4C" w:rsidRDefault="00422B4C"/>
    <w:p w14:paraId="470EE23A" w14:textId="77777777" w:rsidR="00422B4C" w:rsidRDefault="00422B4C"/>
  </w:footnote>
  <w:footnote w:type="continuationNotice" w:id="1">
    <w:p w14:paraId="09BAB3D0" w14:textId="77777777" w:rsidR="00422B4C" w:rsidRDefault="00422B4C">
      <w:pPr>
        <w:pStyle w:val="Footer"/>
      </w:pPr>
    </w:p>
    <w:p w14:paraId="5A90E1C4" w14:textId="77777777" w:rsidR="00422B4C" w:rsidRDefault="00422B4C"/>
    <w:p w14:paraId="033206AE" w14:textId="77777777" w:rsidR="00422B4C" w:rsidRDefault="00422B4C"/>
  </w:footnote>
  <w:footnote w:id="2">
    <w:p w14:paraId="1832E0EC" w14:textId="77777777" w:rsidR="00D94C79" w:rsidRDefault="00D94C79" w:rsidP="00D94C79">
      <w:pPr>
        <w:pStyle w:val="FootnoteText"/>
      </w:pPr>
      <w:r w:rsidRPr="054D2312">
        <w:rPr>
          <w:rStyle w:val="FootnoteReference"/>
        </w:rPr>
        <w:footnoteRef/>
      </w:r>
      <w:r>
        <w:t xml:space="preserve"> Climate Change Authority 2024: Targets, Pathways and Progress. 2024 Issues Paper, available </w:t>
      </w:r>
      <w:hyperlink r:id="rId1" w:history="1">
        <w:r w:rsidRPr="007778FE">
          <w:rPr>
            <w:rStyle w:val="Hyperlink"/>
          </w:rPr>
          <w:t>here</w:t>
        </w:r>
      </w:hyperlink>
      <w:r>
        <w:rPr>
          <w:rStyle w:val="Hyperlink"/>
        </w:rPr>
        <w:t>.</w:t>
      </w:r>
    </w:p>
  </w:footnote>
  <w:footnote w:id="3">
    <w:p w14:paraId="22673CE9" w14:textId="5DA03AD5" w:rsidR="00DE2C7B" w:rsidRDefault="00DE2C7B" w:rsidP="0075056F">
      <w:pPr>
        <w:pStyle w:val="FootnoteText"/>
      </w:pPr>
      <w:r w:rsidRPr="054D2312">
        <w:rPr>
          <w:rStyle w:val="FootnoteReference"/>
        </w:rPr>
        <w:footnoteRef/>
      </w:r>
      <w:r>
        <w:t xml:space="preserve"> Consultations include: </w:t>
      </w:r>
      <w:hyperlink r:id="rId2" w:history="1">
        <w:r w:rsidRPr="007778FE">
          <w:rPr>
            <w:rStyle w:val="Hyperlink"/>
          </w:rPr>
          <w:t>Agriculture and Lan</w:t>
        </w:r>
        <w:r>
          <w:rPr>
            <w:rStyle w:val="Hyperlink"/>
          </w:rPr>
          <w:t>d Sector</w:t>
        </w:r>
      </w:hyperlink>
      <w:r>
        <w:t xml:space="preserve">, </w:t>
      </w:r>
      <w:hyperlink r:id="rId3" w:history="1">
        <w:r w:rsidRPr="007778FE">
          <w:rPr>
            <w:rStyle w:val="Hyperlink"/>
          </w:rPr>
          <w:t>Electricity and Energy Sector</w:t>
        </w:r>
      </w:hyperlink>
      <w:r>
        <w:t xml:space="preserve">, </w:t>
      </w:r>
      <w:hyperlink r:id="rId4" w:history="1">
        <w:r w:rsidRPr="007778FE">
          <w:rPr>
            <w:rStyle w:val="Hyperlink"/>
          </w:rPr>
          <w:t>Transport and Infrastructure Sector</w:t>
        </w:r>
      </w:hyperlink>
      <w:r>
        <w:t>.</w:t>
      </w:r>
    </w:p>
  </w:footnote>
  <w:footnote w:id="4">
    <w:p w14:paraId="6D987967" w14:textId="77891300" w:rsidR="00DE2C7B" w:rsidRPr="0000689E" w:rsidRDefault="00DE2C7B" w:rsidP="0000689E">
      <w:pPr>
        <w:pStyle w:val="FootnoteText"/>
        <w:spacing w:after="0"/>
        <w:rPr>
          <w:szCs w:val="18"/>
        </w:rPr>
      </w:pPr>
      <w:r w:rsidRPr="0000689E">
        <w:rPr>
          <w:rStyle w:val="FootnoteReference"/>
          <w:szCs w:val="18"/>
        </w:rPr>
        <w:footnoteRef/>
      </w:r>
      <w:r w:rsidRPr="0000689E">
        <w:rPr>
          <w:szCs w:val="18"/>
        </w:rPr>
        <w:t xml:space="preserve"> Annual Climate Change Statement, 30 November 2023</w:t>
      </w:r>
      <w:r>
        <w:rPr>
          <w:szCs w:val="18"/>
        </w:rPr>
        <w:t xml:space="preserve">, available </w:t>
      </w:r>
      <w:hyperlink r:id="rId5" w:history="1">
        <w:r w:rsidRPr="007778FE">
          <w:rPr>
            <w:rStyle w:val="Hyperlink"/>
            <w:szCs w:val="18"/>
          </w:rPr>
          <w:t>here</w:t>
        </w:r>
      </w:hyperlink>
      <w:r>
        <w:rPr>
          <w:szCs w:val="18"/>
        </w:rPr>
        <w:t>.</w:t>
      </w:r>
    </w:p>
  </w:footnote>
  <w:footnote w:id="5">
    <w:p w14:paraId="0D765E8E" w14:textId="391D6E2E" w:rsidR="00DE2C7B" w:rsidRDefault="00DE2C7B" w:rsidP="054D2312">
      <w:pPr>
        <w:pStyle w:val="FootnoteText"/>
        <w:spacing w:after="0"/>
      </w:pPr>
      <w:r w:rsidRPr="054D2312">
        <w:rPr>
          <w:rStyle w:val="FootnoteReference"/>
        </w:rPr>
        <w:footnoteRef/>
      </w:r>
      <w:r>
        <w:t xml:space="preserve"> </w:t>
      </w:r>
      <w:r w:rsidR="00C764D5">
        <w:t xml:space="preserve">UN Net Zero Coalition, available </w:t>
      </w:r>
      <w:hyperlink r:id="rId6" w:history="1">
        <w:r w:rsidR="00C764D5" w:rsidRPr="00C764D5">
          <w:rPr>
            <w:rStyle w:val="Hyperlink"/>
          </w:rPr>
          <w:t>here</w:t>
        </w:r>
      </w:hyperlink>
      <w:r w:rsidR="00C764D5">
        <w:t xml:space="preserve">. </w:t>
      </w:r>
    </w:p>
  </w:footnote>
  <w:footnote w:id="6">
    <w:p w14:paraId="11162410" w14:textId="65469F7F" w:rsidR="00DE2C7B" w:rsidRDefault="00DE2C7B" w:rsidP="054D2312">
      <w:pPr>
        <w:pStyle w:val="FootnoteText"/>
        <w:spacing w:after="0"/>
      </w:pPr>
      <w:r w:rsidRPr="054D2312">
        <w:rPr>
          <w:rStyle w:val="FootnoteReference"/>
        </w:rPr>
        <w:footnoteRef/>
      </w:r>
      <w:r>
        <w:t xml:space="preserve"> DCCEEW, Annual Climate Change Statement 2023, November 2023, available </w:t>
      </w:r>
      <w:hyperlink r:id="rId7" w:history="1">
        <w:r w:rsidRPr="0097748B">
          <w:rPr>
            <w:rStyle w:val="Hyperlink"/>
          </w:rPr>
          <w:t>here</w:t>
        </w:r>
      </w:hyperlink>
      <w:r>
        <w:t xml:space="preserve">.  </w:t>
      </w:r>
    </w:p>
  </w:footnote>
  <w:footnote w:id="7">
    <w:p w14:paraId="19722F50" w14:textId="77777777" w:rsidR="00DE2C7B" w:rsidRDefault="00DE2C7B" w:rsidP="0075056F">
      <w:pPr>
        <w:pStyle w:val="FootnoteText"/>
      </w:pPr>
      <w:r w:rsidRPr="054D2312">
        <w:rPr>
          <w:rStyle w:val="FootnoteReference"/>
        </w:rPr>
        <w:footnoteRef/>
      </w:r>
      <w:r>
        <w:t xml:space="preserve"> Intergovernmental Panel on Climate Change 2023: Synthesis Report for the 6</w:t>
      </w:r>
      <w:r w:rsidRPr="054D2312">
        <w:rPr>
          <w:vertAlign w:val="superscript"/>
        </w:rPr>
        <w:t>th</w:t>
      </w:r>
      <w:r>
        <w:t xml:space="preserve"> Assessment Report. </w:t>
      </w:r>
    </w:p>
  </w:footnote>
  <w:footnote w:id="8">
    <w:p w14:paraId="4C8DDE10" w14:textId="2372CE4A" w:rsidR="00DE2C7B" w:rsidRDefault="00DE2C7B" w:rsidP="0075056F">
      <w:pPr>
        <w:pStyle w:val="FootnoteText"/>
      </w:pPr>
      <w:r w:rsidRPr="054D2312">
        <w:rPr>
          <w:rStyle w:val="FootnoteReference"/>
        </w:rPr>
        <w:footnoteRef/>
      </w:r>
      <w:r>
        <w:t xml:space="preserve"> World Bank 2024: State and Trends of Carbon Pricing 2024, available </w:t>
      </w:r>
      <w:hyperlink r:id="rId8" w:history="1">
        <w:r w:rsidRPr="0097748B">
          <w:rPr>
            <w:rStyle w:val="Hyperlink"/>
          </w:rPr>
          <w:t>here</w:t>
        </w:r>
      </w:hyperlink>
      <w:r>
        <w:t>.</w:t>
      </w:r>
    </w:p>
  </w:footnote>
  <w:footnote w:id="9">
    <w:p w14:paraId="798CE905" w14:textId="7929F6C2" w:rsidR="00DE2C7B" w:rsidRPr="00852198" w:rsidRDefault="00DE2C7B" w:rsidP="00475275">
      <w:pPr>
        <w:pStyle w:val="FootnoteText"/>
        <w:rPr>
          <w:szCs w:val="18"/>
        </w:rPr>
      </w:pPr>
      <w:r w:rsidRPr="00EF3DF2">
        <w:rPr>
          <w:rStyle w:val="FootnoteReference"/>
          <w:szCs w:val="18"/>
        </w:rPr>
        <w:footnoteRef/>
      </w:r>
      <w:r w:rsidRPr="00EF3DF2">
        <w:rPr>
          <w:szCs w:val="18"/>
        </w:rPr>
        <w:t xml:space="preserve"> </w:t>
      </w:r>
      <w:r>
        <w:rPr>
          <w:szCs w:val="18"/>
        </w:rPr>
        <w:t>Media release,</w:t>
      </w:r>
      <w:r w:rsidRPr="00EF3DF2">
        <w:rPr>
          <w:szCs w:val="18"/>
        </w:rPr>
        <w:t xml:space="preserve"> March 2023, </w:t>
      </w:r>
      <w:r>
        <w:rPr>
          <w:szCs w:val="18"/>
        </w:rPr>
        <w:t xml:space="preserve">available </w:t>
      </w:r>
      <w:hyperlink r:id="rId9" w:history="1">
        <w:r w:rsidRPr="001362E5">
          <w:rPr>
            <w:rStyle w:val="Hyperlink"/>
            <w:szCs w:val="18"/>
          </w:rPr>
          <w:t>here</w:t>
        </w:r>
      </w:hyperlink>
      <w:r>
        <w:rPr>
          <w:szCs w:val="18"/>
        </w:rPr>
        <w:t>.</w:t>
      </w:r>
    </w:p>
  </w:footnote>
  <w:footnote w:id="10">
    <w:p w14:paraId="2DD46386" w14:textId="0B7C2CDC" w:rsidR="00DE2C7B" w:rsidRDefault="00DE2C7B">
      <w:pPr>
        <w:pStyle w:val="FootnoteText"/>
      </w:pPr>
      <w:r>
        <w:rPr>
          <w:rStyle w:val="FootnoteReference"/>
        </w:rPr>
        <w:footnoteRef/>
      </w:r>
      <w:r>
        <w:t xml:space="preserve"> Information on the Review including the previous consultation paper and Terms of Reference is available </w:t>
      </w:r>
      <w:hyperlink r:id="rId10" w:history="1">
        <w:r w:rsidRPr="001362E5">
          <w:rPr>
            <w:rStyle w:val="Hyperlink"/>
          </w:rPr>
          <w:t>here</w:t>
        </w:r>
      </w:hyperlink>
      <w:r>
        <w:t>.</w:t>
      </w:r>
    </w:p>
  </w:footnote>
  <w:footnote w:id="11">
    <w:p w14:paraId="47FAC526" w14:textId="6380FE3B" w:rsidR="00DE2C7B" w:rsidRDefault="00DE2C7B">
      <w:pPr>
        <w:pStyle w:val="FootnoteText"/>
      </w:pPr>
      <w:r>
        <w:rPr>
          <w:rStyle w:val="FootnoteReference"/>
        </w:rPr>
        <w:footnoteRef/>
      </w:r>
      <w:r>
        <w:t xml:space="preserve"> Public submissions have been </w:t>
      </w:r>
      <w:hyperlink r:id="rId11" w:history="1">
        <w:r w:rsidRPr="001362E5">
          <w:rPr>
            <w:rStyle w:val="Hyperlink"/>
          </w:rPr>
          <w:t>published on the Consultation Hub</w:t>
        </w:r>
      </w:hyperlink>
      <w:r>
        <w:t>.</w:t>
      </w:r>
    </w:p>
  </w:footnote>
  <w:footnote w:id="12">
    <w:p w14:paraId="7A6A28DB" w14:textId="5FDD1D48" w:rsidR="00DE2C7B" w:rsidRPr="00441AE0" w:rsidRDefault="00DE2C7B" w:rsidP="006556B1">
      <w:pPr>
        <w:spacing w:after="0" w:line="240" w:lineRule="auto"/>
        <w:rPr>
          <w:sz w:val="18"/>
          <w:szCs w:val="18"/>
        </w:rPr>
      </w:pPr>
      <w:r w:rsidRPr="00441AE0">
        <w:rPr>
          <w:rStyle w:val="FootnoteReference"/>
          <w:sz w:val="18"/>
          <w:szCs w:val="18"/>
        </w:rPr>
        <w:footnoteRef/>
      </w:r>
      <w:r w:rsidRPr="00441AE0">
        <w:rPr>
          <w:sz w:val="18"/>
          <w:szCs w:val="18"/>
        </w:rPr>
        <w:t xml:space="preserve"> Speech, 11 April 2024, available </w:t>
      </w:r>
      <w:hyperlink r:id="rId12" w:history="1">
        <w:r w:rsidR="00D0699F" w:rsidRPr="00D0699F">
          <w:rPr>
            <w:rStyle w:val="Hyperlink"/>
            <w:sz w:val="18"/>
            <w:szCs w:val="18"/>
          </w:rPr>
          <w:t>here</w:t>
        </w:r>
      </w:hyperlink>
      <w:r w:rsidR="00D0699F">
        <w:rPr>
          <w:sz w:val="18"/>
          <w:szCs w:val="18"/>
        </w:rPr>
        <w:t>.</w:t>
      </w:r>
      <w:r w:rsidRPr="00441AE0">
        <w:rPr>
          <w:sz w:val="18"/>
          <w:szCs w:val="18"/>
        </w:rPr>
        <w:t xml:space="preserve"> </w:t>
      </w:r>
    </w:p>
  </w:footnote>
  <w:footnote w:id="13">
    <w:p w14:paraId="55AE4288" w14:textId="32034055" w:rsidR="00DE2C7B" w:rsidRDefault="00DE2C7B" w:rsidP="00A91A06">
      <w:pPr>
        <w:pStyle w:val="FootnoteText"/>
      </w:pPr>
      <w:r>
        <w:rPr>
          <w:rStyle w:val="FootnoteReference"/>
        </w:rPr>
        <w:footnoteRef/>
      </w:r>
      <w:r>
        <w:t xml:space="preserve"> Future Made in Australia - National Interest Framework, Treasury, May 2024, available </w:t>
      </w:r>
      <w:hyperlink r:id="rId13" w:history="1">
        <w:r w:rsidRPr="00A67BC2">
          <w:rPr>
            <w:rStyle w:val="Hyperlink"/>
          </w:rPr>
          <w:t>here</w:t>
        </w:r>
      </w:hyperlink>
      <w:r>
        <w:t>.</w:t>
      </w:r>
    </w:p>
  </w:footnote>
  <w:footnote w:id="14">
    <w:p w14:paraId="1239A3BF" w14:textId="0C0D6BC2" w:rsidR="00DE2C7B" w:rsidRDefault="00DE2C7B" w:rsidP="004C7B22">
      <w:pPr>
        <w:pStyle w:val="FootnoteText"/>
      </w:pPr>
      <w:r>
        <w:rPr>
          <w:rStyle w:val="FootnoteReference"/>
        </w:rPr>
        <w:footnoteRef/>
      </w:r>
      <w:r>
        <w:t xml:space="preserve"> Budget Measures Budget Paper No.2, The Commonwealth of Australia, May 2024, available </w:t>
      </w:r>
      <w:hyperlink r:id="rId14" w:history="1">
        <w:r w:rsidRPr="00A67BC2">
          <w:rPr>
            <w:rStyle w:val="Hyperlink"/>
          </w:rPr>
          <w:t>here</w:t>
        </w:r>
      </w:hyperlink>
      <w:r>
        <w:t xml:space="preserve">. Media Release, May 2024, available </w:t>
      </w:r>
      <w:hyperlink r:id="rId15" w:history="1">
        <w:r w:rsidRPr="00266C57">
          <w:rPr>
            <w:rStyle w:val="Hyperlink"/>
          </w:rPr>
          <w:t>here</w:t>
        </w:r>
      </w:hyperlink>
      <w:r>
        <w:t>.</w:t>
      </w:r>
    </w:p>
  </w:footnote>
  <w:footnote w:id="15">
    <w:p w14:paraId="1A0614E8" w14:textId="772C5AFD" w:rsidR="00DE2C7B" w:rsidRDefault="00DE2C7B" w:rsidP="006C4C5C">
      <w:pPr>
        <w:pStyle w:val="FootnoteText"/>
      </w:pPr>
      <w:r w:rsidRPr="00D54212">
        <w:rPr>
          <w:rStyle w:val="FootnoteReference"/>
          <w:szCs w:val="18"/>
        </w:rPr>
        <w:footnoteRef/>
      </w:r>
      <w:r w:rsidRPr="00D54212">
        <w:rPr>
          <w:szCs w:val="18"/>
        </w:rPr>
        <w:t xml:space="preserve"> </w:t>
      </w:r>
      <w:r>
        <w:rPr>
          <w:szCs w:val="18"/>
        </w:rPr>
        <w:t>Trade-exposed commodities are those listed in</w:t>
      </w:r>
      <w:r w:rsidRPr="00D54212">
        <w:rPr>
          <w:szCs w:val="18"/>
        </w:rPr>
        <w:t xml:space="preserve"> Schedule 2 of the </w:t>
      </w:r>
      <w:r w:rsidRPr="00777801">
        <w:rPr>
          <w:i/>
          <w:szCs w:val="18"/>
        </w:rPr>
        <w:t>National Greenhouse and Energy Reporting (Safeguard Mechanism) Rule 2015</w:t>
      </w:r>
      <w:r>
        <w:rPr>
          <w:iCs/>
          <w:szCs w:val="18"/>
        </w:rPr>
        <w:t xml:space="preserve">, available </w:t>
      </w:r>
      <w:hyperlink r:id="rId16" w:history="1">
        <w:r w:rsidRPr="00C240D2">
          <w:rPr>
            <w:rStyle w:val="Hyperlink"/>
            <w:iCs/>
            <w:szCs w:val="18"/>
          </w:rPr>
          <w:t>here</w:t>
        </w:r>
      </w:hyperlink>
      <w:r w:rsidRPr="00777801">
        <w:rPr>
          <w:szCs w:val="18"/>
        </w:rPr>
        <w:t>.</w:t>
      </w:r>
      <w:r>
        <w:rPr>
          <w:szCs w:val="18"/>
        </w:rPr>
        <w:t xml:space="preserve">  </w:t>
      </w:r>
    </w:p>
  </w:footnote>
  <w:footnote w:id="16">
    <w:p w14:paraId="765CCF4F" w14:textId="77777777" w:rsidR="00DE2C7B" w:rsidRDefault="00DE2C7B" w:rsidP="000C6218">
      <w:pPr>
        <w:pStyle w:val="FootnoteText"/>
      </w:pPr>
      <w:r>
        <w:rPr>
          <w:rStyle w:val="FootnoteReference"/>
        </w:rPr>
        <w:footnoteRef/>
      </w:r>
      <w:r>
        <w:t xml:space="preserve"> </w:t>
      </w:r>
      <w:r>
        <w:rPr>
          <w:szCs w:val="18"/>
        </w:rPr>
        <w:t>For example, iron ore pellets, coke oven coke and lime (integrated iron and steel manufacturing) production variables are regarded as part of the steel commodity group and were not analysed separately.</w:t>
      </w:r>
    </w:p>
  </w:footnote>
  <w:footnote w:id="17">
    <w:p w14:paraId="618A1165" w14:textId="77777777" w:rsidR="00DE2C7B" w:rsidRDefault="00DE2C7B">
      <w:pPr>
        <w:pStyle w:val="FootnoteText"/>
      </w:pPr>
      <w:r>
        <w:rPr>
          <w:rStyle w:val="FootnoteReference"/>
        </w:rPr>
        <w:footnoteRef/>
      </w:r>
      <w:r>
        <w:t xml:space="preserve"> Data sourced from UN Comtrade.</w:t>
      </w:r>
    </w:p>
  </w:footnote>
  <w:footnote w:id="18">
    <w:p w14:paraId="08CA27BC" w14:textId="77777777" w:rsidR="00DE2C7B" w:rsidRDefault="00DE2C7B" w:rsidP="00066622">
      <w:pPr>
        <w:pStyle w:val="FootnoteText"/>
      </w:pPr>
      <w:r>
        <w:rPr>
          <w:rStyle w:val="FootnoteReference"/>
        </w:rPr>
        <w:footnoteRef/>
      </w:r>
      <w:r>
        <w:t xml:space="preserve"> Default (industry average) emissions intensity values are used as a proxy for emissions intensity levels in 2022. </w:t>
      </w:r>
      <w:r w:rsidRPr="006C7CA8">
        <w:t>Baseline</w:t>
      </w:r>
      <w:r w:rsidDel="00614D5F">
        <w:t xml:space="preserve"> </w:t>
      </w:r>
      <w:r>
        <w:t>emissions intensities in 2030 for each good are calculated by averaging ‘baseline components’ for each facility and production variable corresponding to that good. Further details are described in the annex.</w:t>
      </w:r>
    </w:p>
  </w:footnote>
  <w:footnote w:id="19">
    <w:p w14:paraId="4E631B2E" w14:textId="77777777" w:rsidR="00DE2C7B" w:rsidRPr="00EF6538" w:rsidRDefault="00DE2C7B" w:rsidP="00C56DBC">
      <w:pPr>
        <w:pStyle w:val="FootnoteText"/>
        <w:rPr>
          <w:szCs w:val="18"/>
        </w:rPr>
      </w:pPr>
      <w:r w:rsidRPr="00EF6538">
        <w:rPr>
          <w:rStyle w:val="FootnoteReference"/>
          <w:szCs w:val="18"/>
        </w:rPr>
        <w:footnoteRef/>
      </w:r>
      <w:r w:rsidRPr="00EF6538">
        <w:rPr>
          <w:szCs w:val="18"/>
        </w:rPr>
        <w:t xml:space="preserve"> In the case of onsite abatement, this reflects an economically rational assumption that onsite abatement is undertaken when abatement costs are equal to or cheaper than the cost of ACCUs. </w:t>
      </w:r>
      <w:r>
        <w:rPr>
          <w:szCs w:val="18"/>
        </w:rPr>
        <w:t xml:space="preserve">In practice, there may be other reasons why firms choose to undertake onsite abatement in preference to purchasing ACCUs. The equation does not take into account any likely reductions in emissions intensity due to onsite abatement that is greater than the reduction in baselines between 2022 and 2030. </w:t>
      </w:r>
    </w:p>
  </w:footnote>
  <w:footnote w:id="20">
    <w:p w14:paraId="4B16A347" w14:textId="77777777" w:rsidR="00DE2C7B" w:rsidRDefault="00DE2C7B">
      <w:pPr>
        <w:pStyle w:val="FootnoteText"/>
      </w:pPr>
      <w:r>
        <w:rPr>
          <w:rStyle w:val="FootnoteReference"/>
        </w:rPr>
        <w:footnoteRef/>
      </w:r>
      <w:r>
        <w:t xml:space="preserve"> This approach to estimating carbon costs is the same as the approach taken for the ‘carbon costs as a share of commodity prices’ indicator.</w:t>
      </w:r>
    </w:p>
  </w:footnote>
  <w:footnote w:id="21">
    <w:p w14:paraId="3E82C664" w14:textId="77777777" w:rsidR="00DE2C7B" w:rsidRPr="00CE6EEB" w:rsidRDefault="00DE2C7B" w:rsidP="00C16A85">
      <w:pPr>
        <w:pStyle w:val="FootnoteText"/>
        <w:rPr>
          <w:szCs w:val="18"/>
        </w:rPr>
      </w:pPr>
      <w:r w:rsidRPr="00CE6EEB">
        <w:rPr>
          <w:rStyle w:val="FootnoteReference"/>
          <w:szCs w:val="18"/>
        </w:rPr>
        <w:footnoteRef/>
      </w:r>
      <w:r w:rsidRPr="00CE6EEB">
        <w:rPr>
          <w:szCs w:val="18"/>
        </w:rPr>
        <w:t xml:space="preserve"> </w:t>
      </w:r>
      <w:r>
        <w:rPr>
          <w:szCs w:val="18"/>
        </w:rPr>
        <w:t>A</w:t>
      </w:r>
      <w:r w:rsidRPr="00CE6EEB">
        <w:rPr>
          <w:szCs w:val="18"/>
        </w:rPr>
        <w:t xml:space="preserve">vailability of consistent and reliable emissions intensity data </w:t>
      </w:r>
      <w:r>
        <w:rPr>
          <w:szCs w:val="18"/>
        </w:rPr>
        <w:t xml:space="preserve">for foreign production is limited or not available </w:t>
      </w:r>
      <w:r w:rsidRPr="00CE6EEB">
        <w:rPr>
          <w:szCs w:val="18"/>
        </w:rPr>
        <w:t xml:space="preserve">for many </w:t>
      </w:r>
      <w:r>
        <w:rPr>
          <w:szCs w:val="18"/>
        </w:rPr>
        <w:t>commoditie</w:t>
      </w:r>
      <w:r w:rsidRPr="00CE6EEB">
        <w:rPr>
          <w:szCs w:val="18"/>
        </w:rPr>
        <w:t xml:space="preserve">s. Where data was available, differences in emissions intensities between Australian and foreign </w:t>
      </w:r>
      <w:r>
        <w:rPr>
          <w:szCs w:val="18"/>
        </w:rPr>
        <w:t>commoditie</w:t>
      </w:r>
      <w:r w:rsidRPr="00CE6EEB">
        <w:rPr>
          <w:szCs w:val="18"/>
        </w:rPr>
        <w:t xml:space="preserve">s </w:t>
      </w:r>
      <w:r>
        <w:rPr>
          <w:szCs w:val="18"/>
        </w:rPr>
        <w:t xml:space="preserve">appeared to </w:t>
      </w:r>
      <w:r w:rsidRPr="00CE6EEB">
        <w:rPr>
          <w:szCs w:val="18"/>
        </w:rPr>
        <w:t>ha</w:t>
      </w:r>
      <w:r>
        <w:rPr>
          <w:szCs w:val="18"/>
        </w:rPr>
        <w:t>ve</w:t>
      </w:r>
      <w:r w:rsidRPr="00CE6EEB">
        <w:rPr>
          <w:szCs w:val="18"/>
        </w:rPr>
        <w:t xml:space="preserve"> modest impacts on </w:t>
      </w:r>
      <w:r>
        <w:rPr>
          <w:szCs w:val="18"/>
        </w:rPr>
        <w:t xml:space="preserve">leakage </w:t>
      </w:r>
      <w:r w:rsidRPr="00CE6EEB">
        <w:rPr>
          <w:szCs w:val="18"/>
        </w:rPr>
        <w:t xml:space="preserve">estimates, compared to other factors. </w:t>
      </w:r>
      <w:r>
        <w:rPr>
          <w:szCs w:val="18"/>
        </w:rPr>
        <w:t xml:space="preserve">As such, the simplifying assumption of equal emissions intensities for Australian and foreign commodities was considered appropriate and sufficient in the context of an approach that seeks to generate illustrative insights rather than accurate forecasts. This assumption also means leakage estimates generated are solely due to differences in climate policy stringency across jurisdictions and exclusive of other non-leakage factors such as differences in emissions intensities.  </w:t>
      </w:r>
    </w:p>
  </w:footnote>
  <w:footnote w:id="22">
    <w:p w14:paraId="3A01BDE0" w14:textId="3F4D229E" w:rsidR="00DE2C7B" w:rsidRDefault="00DE2C7B" w:rsidP="00106076">
      <w:pPr>
        <w:pStyle w:val="FootnoteText"/>
      </w:pPr>
      <w:r>
        <w:rPr>
          <w:rStyle w:val="FootnoteReference"/>
        </w:rPr>
        <w:footnoteRef/>
      </w:r>
      <w:r>
        <w:t xml:space="preserve"> Australia’s total emissions in 2023 was 465 Mt CO</w:t>
      </w:r>
      <w:r w:rsidRPr="00687A2E">
        <w:rPr>
          <w:vertAlign w:val="subscript"/>
        </w:rPr>
        <w:t>2</w:t>
      </w:r>
      <w:r>
        <w:t xml:space="preserve">-e. Data available </w:t>
      </w:r>
      <w:hyperlink r:id="rId17" w:history="1">
        <w:r w:rsidRPr="000A73D0">
          <w:rPr>
            <w:rStyle w:val="Hyperlink"/>
          </w:rPr>
          <w:t>here</w:t>
        </w:r>
      </w:hyperlink>
      <w:r>
        <w:t>.</w:t>
      </w:r>
    </w:p>
  </w:footnote>
  <w:footnote w:id="23">
    <w:p w14:paraId="6FDE0227" w14:textId="58EB3A32" w:rsidR="00DE2C7B" w:rsidRDefault="00DE2C7B">
      <w:pPr>
        <w:pStyle w:val="FootnoteText"/>
      </w:pPr>
      <w:r>
        <w:rPr>
          <w:rStyle w:val="FootnoteReference"/>
        </w:rPr>
        <w:footnoteRef/>
      </w:r>
      <w:r>
        <w:t xml:space="preserve"> Import and production data are in volumetric units, and presented as ranges to ensure confidentiality of underlying data.</w:t>
      </w:r>
    </w:p>
  </w:footnote>
  <w:footnote w:id="24">
    <w:p w14:paraId="330592D2" w14:textId="77777777" w:rsidR="00DE2C7B" w:rsidRDefault="00DE2C7B" w:rsidP="00141F0F">
      <w:pPr>
        <w:pStyle w:val="FootnoteText"/>
      </w:pPr>
      <w:r>
        <w:rPr>
          <w:rStyle w:val="FootnoteReference"/>
        </w:rPr>
        <w:footnoteRef/>
      </w:r>
      <w:r>
        <w:t xml:space="preserve"> Import elasticity. N/A indicates when a useable trade sensitivity estimate could not be obtained.</w:t>
      </w:r>
    </w:p>
  </w:footnote>
  <w:footnote w:id="25">
    <w:p w14:paraId="77DE577B" w14:textId="53246C2D" w:rsidR="00DE2C7B" w:rsidRDefault="00DE2C7B" w:rsidP="00141F0F">
      <w:pPr>
        <w:pStyle w:val="FootnoteText"/>
      </w:pPr>
      <w:r>
        <w:rPr>
          <w:rStyle w:val="FootnoteReference"/>
        </w:rPr>
        <w:footnoteRef/>
      </w:r>
      <w:r>
        <w:t xml:space="preserve"> </w:t>
      </w:r>
      <w:r>
        <w:rPr>
          <w:szCs w:val="16"/>
        </w:rPr>
        <w:t>Reduction in production of goods covered by the Safeguard Mechanism due to 2030 carbon cost substitution effects with imports, expressed as a percentage of Safeguard-covered production. Rounded to the nearest per cent given the range of plausible values for key input parameters.</w:t>
      </w:r>
    </w:p>
  </w:footnote>
  <w:footnote w:id="26">
    <w:p w14:paraId="27CEF7AE" w14:textId="77777777" w:rsidR="00DE2C7B" w:rsidRDefault="00DE2C7B">
      <w:pPr>
        <w:pStyle w:val="FootnoteText"/>
      </w:pPr>
      <w:r>
        <w:rPr>
          <w:rStyle w:val="FootnoteReference"/>
        </w:rPr>
        <w:footnoteRef/>
      </w:r>
      <w:r>
        <w:t xml:space="preserve"> </w:t>
      </w:r>
      <w:r w:rsidRPr="003C1D07">
        <w:rPr>
          <w:szCs w:val="18"/>
        </w:rPr>
        <w:t xml:space="preserve">Under the Safeguard Mechanism, </w:t>
      </w:r>
      <w:r>
        <w:rPr>
          <w:szCs w:val="18"/>
        </w:rPr>
        <w:t xml:space="preserve">the production variable for </w:t>
      </w:r>
      <w:r w:rsidRPr="003C1D07">
        <w:rPr>
          <w:szCs w:val="18"/>
        </w:rPr>
        <w:t xml:space="preserve">crude steel (steel in its first solid state </w:t>
      </w:r>
      <w:r>
        <w:rPr>
          <w:szCs w:val="18"/>
        </w:rPr>
        <w:t xml:space="preserve">upon leaving </w:t>
      </w:r>
      <w:r w:rsidRPr="003C1D07">
        <w:rPr>
          <w:szCs w:val="18"/>
        </w:rPr>
        <w:t xml:space="preserve">a furnace) is </w:t>
      </w:r>
      <w:r>
        <w:rPr>
          <w:szCs w:val="18"/>
        </w:rPr>
        <w:t>described as</w:t>
      </w:r>
      <w:r w:rsidRPr="003C1D07">
        <w:rPr>
          <w:szCs w:val="18"/>
        </w:rPr>
        <w:t xml:space="preserve"> ‘primary steel’. Primary steel </w:t>
      </w:r>
      <w:r>
        <w:rPr>
          <w:szCs w:val="18"/>
        </w:rPr>
        <w:t xml:space="preserve">also </w:t>
      </w:r>
      <w:r w:rsidRPr="003C1D07">
        <w:rPr>
          <w:szCs w:val="18"/>
        </w:rPr>
        <w:t>refers to steel made from iron ore</w:t>
      </w:r>
      <w:r>
        <w:rPr>
          <w:szCs w:val="18"/>
        </w:rPr>
        <w:t xml:space="preserve">, rather than </w:t>
      </w:r>
      <w:r w:rsidRPr="003C1D07">
        <w:rPr>
          <w:szCs w:val="18"/>
        </w:rPr>
        <w:t>scrap. To avoid confusion, this paper uses ‘primary steel’ to mean steel made from iron ore, and ‘crude steel’ for the primary steel Safeguard production variable.</w:t>
      </w:r>
      <w:r>
        <w:rPr>
          <w:szCs w:val="18"/>
        </w:rPr>
        <w:t xml:space="preserve"> N/A indicates when a meaningful estimate could not be produced.</w:t>
      </w:r>
    </w:p>
  </w:footnote>
  <w:footnote w:id="27">
    <w:p w14:paraId="4A009A90" w14:textId="36C7C715" w:rsidR="00DE2C7B" w:rsidRDefault="00DE2C7B">
      <w:pPr>
        <w:pStyle w:val="FootnoteText"/>
      </w:pPr>
      <w:r>
        <w:rPr>
          <w:rStyle w:val="FootnoteReference"/>
        </w:rPr>
        <w:footnoteRef/>
      </w:r>
      <w:r>
        <w:t xml:space="preserve"> Export and production data are in volumetric units. Results are presented as ranges because some underlying Safeguard data is confidential and given the range of plausible values for key parameters. For some commodities marked with an asterisk, the ratio may exceed 1.0 for various reasons, including because Safeguard production is less than total domestic production for some commodities.</w:t>
      </w:r>
    </w:p>
  </w:footnote>
  <w:footnote w:id="28">
    <w:p w14:paraId="143663AD" w14:textId="77777777" w:rsidR="00DE2C7B" w:rsidRDefault="00DE2C7B" w:rsidP="00141F0F">
      <w:pPr>
        <w:pStyle w:val="FootnoteText"/>
      </w:pPr>
      <w:r>
        <w:rPr>
          <w:rStyle w:val="FootnoteReference"/>
        </w:rPr>
        <w:footnoteRef/>
      </w:r>
      <w:r>
        <w:t xml:space="preserve"> Export elasticity. N/A indicates when a useable trade sensitivity estimate could not be obtained.</w:t>
      </w:r>
    </w:p>
  </w:footnote>
  <w:footnote w:id="29">
    <w:p w14:paraId="059AA3C4" w14:textId="149DABB6" w:rsidR="00DE2C7B" w:rsidRPr="0019375C" w:rsidRDefault="00DE2C7B" w:rsidP="00141F0F">
      <w:pPr>
        <w:pStyle w:val="FootnoteText"/>
        <w:rPr>
          <w:szCs w:val="16"/>
        </w:rPr>
      </w:pPr>
      <w:r w:rsidRPr="0019375C">
        <w:rPr>
          <w:rStyle w:val="FootnoteReference"/>
          <w:szCs w:val="16"/>
        </w:rPr>
        <w:footnoteRef/>
      </w:r>
      <w:r w:rsidRPr="0019375C">
        <w:rPr>
          <w:szCs w:val="16"/>
        </w:rPr>
        <w:t xml:space="preserve"> </w:t>
      </w:r>
      <w:r>
        <w:rPr>
          <w:szCs w:val="16"/>
        </w:rPr>
        <w:t>Reduction in exports of goods covered by the Safeguard Mechanism due to 2030 carbon cost substitution effects for exports, expressed as a percentage of Safeguard-covered production. Rounded to the nearest per cent. N/A indicates when a meaningful estimate could not be produced.</w:t>
      </w:r>
    </w:p>
  </w:footnote>
  <w:footnote w:id="30">
    <w:p w14:paraId="62940A2E" w14:textId="73C3FF70" w:rsidR="00DE2C7B" w:rsidRDefault="00DE2C7B">
      <w:pPr>
        <w:pStyle w:val="FootnoteText"/>
      </w:pPr>
      <w:r>
        <w:rPr>
          <w:rStyle w:val="FootnoteReference"/>
        </w:rPr>
        <w:footnoteRef/>
      </w:r>
      <w:r>
        <w:t xml:space="preserve"> Commodities </w:t>
      </w:r>
      <w:r w:rsidRPr="000D709B">
        <w:t xml:space="preserve">with imports relative to Safeguard production </w:t>
      </w:r>
      <w:r>
        <w:t xml:space="preserve">below </w:t>
      </w:r>
      <w:r w:rsidRPr="000D709B">
        <w:t>0.02 are excluded.</w:t>
      </w:r>
    </w:p>
  </w:footnote>
  <w:footnote w:id="31">
    <w:p w14:paraId="2D7CFD65" w14:textId="388B9CCA" w:rsidR="00DE2C7B" w:rsidRPr="00C04723" w:rsidRDefault="00DE2C7B" w:rsidP="00C04723">
      <w:pPr>
        <w:pStyle w:val="FootnoteText"/>
      </w:pPr>
      <w:r>
        <w:rPr>
          <w:rStyle w:val="FootnoteReference"/>
        </w:rPr>
        <w:footnoteRef/>
      </w:r>
      <w:r>
        <w:t xml:space="preserve"> Commodities </w:t>
      </w:r>
      <w:r w:rsidRPr="000D709B">
        <w:t xml:space="preserve">with </w:t>
      </w:r>
      <w:r>
        <w:t xml:space="preserve">exports relative to </w:t>
      </w:r>
      <w:r w:rsidRPr="000D709B">
        <w:t xml:space="preserve">Safeguard production </w:t>
      </w:r>
      <w:r>
        <w:t>below 0.02</w:t>
      </w:r>
      <w:r w:rsidRPr="000D709B">
        <w:t xml:space="preserve"> are excluded.</w:t>
      </w:r>
      <w:r>
        <w:t xml:space="preserve"> </w:t>
      </w:r>
      <w:r>
        <w:rPr>
          <w:lang w:val="en-US"/>
        </w:rPr>
        <w:t>For some commodities,</w:t>
      </w:r>
      <w:r w:rsidRPr="00C04723">
        <w:t xml:space="preserve"> </w:t>
      </w:r>
      <w:r>
        <w:t>exports relative to Safeguard production may exceed 1.0 for various reasons, including because Safeguard production is less than total domestic production for some commodities.</w:t>
      </w:r>
    </w:p>
    <w:p w14:paraId="39CB5C18" w14:textId="39D6A93E" w:rsidR="00DE2C7B" w:rsidRDefault="00DE2C7B">
      <w:pPr>
        <w:pStyle w:val="FootnoteText"/>
      </w:pPr>
    </w:p>
  </w:footnote>
  <w:footnote w:id="32">
    <w:p w14:paraId="1889475C" w14:textId="540D5DFE" w:rsidR="00DE2C7B" w:rsidRPr="00DA1516" w:rsidRDefault="00DE2C7B" w:rsidP="00A21D2B">
      <w:pPr>
        <w:pStyle w:val="FootnoteText"/>
      </w:pPr>
      <w:r w:rsidRPr="00DA1516">
        <w:rPr>
          <w:rStyle w:val="FootnoteReference"/>
        </w:rPr>
        <w:footnoteRef/>
      </w:r>
      <w:r w:rsidRPr="00DA1516">
        <w:t xml:space="preserve"> </w:t>
      </w:r>
      <w:r>
        <w:t xml:space="preserve">Centre for Policy Development, 2023, </w:t>
      </w:r>
      <w:r w:rsidRPr="00DA1516">
        <w:t>Green Gold</w:t>
      </w:r>
      <w:r>
        <w:t>:</w:t>
      </w:r>
      <w:r w:rsidRPr="00DA1516">
        <w:t xml:space="preserve"> </w:t>
      </w:r>
      <w:r>
        <w:t xml:space="preserve">A strategy to kickstart Australia’s renewable industry future, available </w:t>
      </w:r>
      <w:hyperlink r:id="rId18" w:history="1">
        <w:r w:rsidRPr="00135017">
          <w:rPr>
            <w:rStyle w:val="Hyperlink"/>
          </w:rPr>
          <w:t>here</w:t>
        </w:r>
      </w:hyperlink>
      <w:r>
        <w:t>.</w:t>
      </w:r>
    </w:p>
  </w:footnote>
  <w:footnote w:id="33">
    <w:p w14:paraId="65834DE4" w14:textId="48D6DE34" w:rsidR="00DE2C7B" w:rsidRPr="00DD1C9E" w:rsidRDefault="00DE2C7B" w:rsidP="007D5972">
      <w:pPr>
        <w:pStyle w:val="FootnoteText"/>
      </w:pPr>
      <w:r>
        <w:rPr>
          <w:rStyle w:val="FootnoteReference"/>
        </w:rPr>
        <w:footnoteRef/>
      </w:r>
      <w:r>
        <w:t xml:space="preserve"> Fournier Gabela, J. G. and </w:t>
      </w:r>
      <w:r w:rsidRPr="00357321">
        <w:t>Freund, F., 2023,</w:t>
      </w:r>
      <w:r>
        <w:t xml:space="preserve"> Potential carbon leakage risk: a cross</w:t>
      </w:r>
      <w:r>
        <w:rPr>
          <w:rFonts w:ascii="Cambria Math" w:hAnsi="Cambria Math" w:cs="Cambria Math"/>
        </w:rPr>
        <w:t>‑</w:t>
      </w:r>
      <w:r>
        <w:t>sector cross</w:t>
      </w:r>
      <w:r>
        <w:rPr>
          <w:rFonts w:ascii="Cambria Math" w:hAnsi="Cambria Math" w:cs="Cambria Math"/>
        </w:rPr>
        <w:t>‑</w:t>
      </w:r>
      <w:r>
        <w:t xml:space="preserve">country assessment in the OECD area, </w:t>
      </w:r>
      <w:r w:rsidRPr="00DD1C9E">
        <w:rPr>
          <w:i/>
        </w:rPr>
        <w:t>Climat</w:t>
      </w:r>
      <w:r>
        <w:rPr>
          <w:i/>
          <w:iCs/>
        </w:rPr>
        <w:t>ic</w:t>
      </w:r>
      <w:r w:rsidRPr="00AC7791">
        <w:rPr>
          <w:i/>
        </w:rPr>
        <w:t xml:space="preserve"> Change</w:t>
      </w:r>
      <w:r>
        <w:t xml:space="preserve">, </w:t>
      </w:r>
      <w:r w:rsidRPr="00357321">
        <w:t xml:space="preserve">available </w:t>
      </w:r>
      <w:hyperlink r:id="rId19" w:history="1">
        <w:r w:rsidRPr="00357321">
          <w:rPr>
            <w:rStyle w:val="Hyperlink"/>
          </w:rPr>
          <w:t>here</w:t>
        </w:r>
      </w:hyperlink>
      <w:r w:rsidRPr="00357321">
        <w:t>.</w:t>
      </w:r>
    </w:p>
  </w:footnote>
  <w:footnote w:id="34">
    <w:p w14:paraId="795009E1" w14:textId="77777777" w:rsidR="00DE2C7B" w:rsidRDefault="00DE2C7B">
      <w:pPr>
        <w:pStyle w:val="FootnoteText"/>
      </w:pPr>
      <w:r>
        <w:rPr>
          <w:rStyle w:val="FootnoteReference"/>
        </w:rPr>
        <w:footnoteRef/>
      </w:r>
      <w:r>
        <w:t xml:space="preserve"> Based on integrated NGER scheme emissions data and ABS BLADE economic activity data.</w:t>
      </w:r>
    </w:p>
  </w:footnote>
  <w:footnote w:id="35">
    <w:p w14:paraId="0E97E5B7" w14:textId="1303CE46" w:rsidR="00DE2C7B" w:rsidRPr="00357321" w:rsidRDefault="00DE2C7B" w:rsidP="006F72B8">
      <w:pPr>
        <w:pStyle w:val="FootnoteText"/>
        <w:spacing w:after="0"/>
        <w:rPr>
          <w:szCs w:val="18"/>
        </w:rPr>
      </w:pPr>
      <w:r w:rsidRPr="00A72745">
        <w:rPr>
          <w:rStyle w:val="FootnoteReference"/>
          <w:szCs w:val="18"/>
        </w:rPr>
        <w:footnoteRef/>
      </w:r>
      <w:r w:rsidRPr="00357321">
        <w:rPr>
          <w:szCs w:val="18"/>
        </w:rPr>
        <w:t xml:space="preserve"> See Cement Industry Federation data </w:t>
      </w:r>
      <w:hyperlink r:id="rId20" w:history="1">
        <w:r w:rsidRPr="00357321">
          <w:rPr>
            <w:rStyle w:val="Hyperlink"/>
            <w:szCs w:val="18"/>
          </w:rPr>
          <w:t>here</w:t>
        </w:r>
      </w:hyperlink>
      <w:r w:rsidRPr="00357321">
        <w:rPr>
          <w:szCs w:val="18"/>
        </w:rPr>
        <w:t>.</w:t>
      </w:r>
    </w:p>
  </w:footnote>
  <w:footnote w:id="36">
    <w:p w14:paraId="74546363" w14:textId="77777777" w:rsidR="00DE2C7B" w:rsidRDefault="00DE2C7B" w:rsidP="006F72B8">
      <w:pPr>
        <w:pStyle w:val="FootnoteText"/>
        <w:spacing w:after="0"/>
      </w:pPr>
      <w:r w:rsidRPr="00291C8E">
        <w:rPr>
          <w:rStyle w:val="FootnoteReference"/>
          <w:szCs w:val="18"/>
        </w:rPr>
        <w:footnoteRef/>
      </w:r>
      <w:r w:rsidRPr="00291C8E">
        <w:rPr>
          <w:szCs w:val="18"/>
        </w:rPr>
        <w:t xml:space="preserve"> Based on default emissions intensity values for these </w:t>
      </w:r>
      <w:r>
        <w:rPr>
          <w:szCs w:val="18"/>
        </w:rPr>
        <w:t>commodities</w:t>
      </w:r>
      <w:r w:rsidRPr="00291C8E">
        <w:rPr>
          <w:szCs w:val="18"/>
        </w:rPr>
        <w:t xml:space="preserve"> under the Safeguard Mechanism. </w:t>
      </w:r>
    </w:p>
  </w:footnote>
  <w:footnote w:id="37">
    <w:p w14:paraId="6475B8DC" w14:textId="52E8A2CA" w:rsidR="00DE2C7B" w:rsidRPr="0098645A" w:rsidRDefault="00DE2C7B" w:rsidP="006F72B8">
      <w:pPr>
        <w:pStyle w:val="FootnoteText"/>
        <w:spacing w:after="0"/>
        <w:rPr>
          <w:szCs w:val="18"/>
        </w:rPr>
      </w:pPr>
      <w:r w:rsidRPr="0098645A">
        <w:rPr>
          <w:rStyle w:val="FootnoteReference"/>
          <w:szCs w:val="18"/>
        </w:rPr>
        <w:footnoteRef/>
      </w:r>
      <w:r w:rsidRPr="0098645A">
        <w:rPr>
          <w:szCs w:val="18"/>
        </w:rPr>
        <w:t xml:space="preserve"> </w:t>
      </w:r>
      <w:r>
        <w:rPr>
          <w:szCs w:val="18"/>
        </w:rPr>
        <w:t>See</w:t>
      </w:r>
      <w:r w:rsidRPr="0098645A">
        <w:rPr>
          <w:szCs w:val="18"/>
        </w:rPr>
        <w:t xml:space="preserve"> </w:t>
      </w:r>
      <w:hyperlink r:id="rId21" w:history="1">
        <w:r w:rsidRPr="00524EE7">
          <w:rPr>
            <w:rStyle w:val="Hyperlink"/>
            <w:szCs w:val="18"/>
          </w:rPr>
          <w:t>Cement Industry Federation</w:t>
        </w:r>
      </w:hyperlink>
      <w:r>
        <w:rPr>
          <w:szCs w:val="18"/>
        </w:rPr>
        <w:t>.</w:t>
      </w:r>
    </w:p>
  </w:footnote>
  <w:footnote w:id="38">
    <w:p w14:paraId="1341BF58" w14:textId="3CCDB578" w:rsidR="00DE2C7B" w:rsidRPr="00A72745" w:rsidRDefault="00DE2C7B" w:rsidP="00C65F24">
      <w:pPr>
        <w:pStyle w:val="FootnoteText"/>
        <w:spacing w:after="0"/>
        <w:rPr>
          <w:szCs w:val="18"/>
        </w:rPr>
      </w:pPr>
      <w:r w:rsidRPr="00A72745">
        <w:rPr>
          <w:rStyle w:val="FootnoteReference"/>
          <w:szCs w:val="18"/>
        </w:rPr>
        <w:footnoteRef/>
      </w:r>
      <w:r w:rsidRPr="00A72745">
        <w:rPr>
          <w:szCs w:val="18"/>
        </w:rPr>
        <w:t xml:space="preserve"> </w:t>
      </w:r>
      <w:r>
        <w:rPr>
          <w:szCs w:val="18"/>
        </w:rPr>
        <w:t xml:space="preserve">Presentation, 2023, </w:t>
      </w:r>
      <w:hyperlink r:id="rId22" w:history="1">
        <w:r w:rsidRPr="00524EE7">
          <w:rPr>
            <w:rStyle w:val="Hyperlink"/>
            <w:szCs w:val="18"/>
          </w:rPr>
          <w:t>Cement Industry Federation</w:t>
        </w:r>
      </w:hyperlink>
      <w:r>
        <w:rPr>
          <w:szCs w:val="18"/>
        </w:rPr>
        <w:t>.</w:t>
      </w:r>
    </w:p>
  </w:footnote>
  <w:footnote w:id="39">
    <w:p w14:paraId="5C564A44" w14:textId="77777777" w:rsidR="00DE2C7B" w:rsidRDefault="00DE2C7B">
      <w:pPr>
        <w:pStyle w:val="FootnoteText"/>
      </w:pPr>
      <w:r>
        <w:rPr>
          <w:rStyle w:val="FootnoteReference"/>
        </w:rPr>
        <w:footnoteRef/>
      </w:r>
      <w:r>
        <w:t xml:space="preserve"> Based on the default emissions intensity value under the Safeguard Mechanism. </w:t>
      </w:r>
    </w:p>
  </w:footnote>
  <w:footnote w:id="40">
    <w:p w14:paraId="756BEE7D" w14:textId="0CBB849C" w:rsidR="00DE2C7B" w:rsidRPr="0095187B" w:rsidRDefault="00DE2C7B" w:rsidP="00037A3B">
      <w:pPr>
        <w:pStyle w:val="FootnoteText"/>
        <w:spacing w:after="0"/>
      </w:pPr>
      <w:r w:rsidRPr="0095187B">
        <w:rPr>
          <w:rStyle w:val="FootnoteReference"/>
        </w:rPr>
        <w:footnoteRef/>
      </w:r>
      <w:r w:rsidRPr="0095187B">
        <w:t xml:space="preserve"> </w:t>
      </w:r>
      <w:r w:rsidRPr="0095187B">
        <w:rPr>
          <w:szCs w:val="18"/>
        </w:rPr>
        <w:t xml:space="preserve">Resources for the Future, </w:t>
      </w:r>
      <w:r>
        <w:rPr>
          <w:szCs w:val="18"/>
        </w:rPr>
        <w:t xml:space="preserve">2022, Greenhouse Gas Index for Products in 39 Industrial Sectors, available </w:t>
      </w:r>
      <w:hyperlink r:id="rId23" w:history="1">
        <w:r w:rsidRPr="00A1288E">
          <w:rPr>
            <w:rStyle w:val="Hyperlink"/>
            <w:szCs w:val="18"/>
          </w:rPr>
          <w:t>here</w:t>
        </w:r>
      </w:hyperlink>
      <w:r>
        <w:rPr>
          <w:szCs w:val="18"/>
        </w:rPr>
        <w:t>.</w:t>
      </w:r>
    </w:p>
  </w:footnote>
  <w:footnote w:id="41">
    <w:p w14:paraId="48A91ECE" w14:textId="55D84B38" w:rsidR="00DE2C7B" w:rsidRPr="002C5DF9" w:rsidRDefault="00DE2C7B" w:rsidP="00D252BB">
      <w:pPr>
        <w:pStyle w:val="FootnoteText"/>
        <w:spacing w:after="0"/>
        <w:rPr>
          <w:szCs w:val="18"/>
        </w:rPr>
      </w:pPr>
      <w:r w:rsidRPr="002C5DF9">
        <w:rPr>
          <w:rStyle w:val="FootnoteReference"/>
          <w:szCs w:val="18"/>
        </w:rPr>
        <w:footnoteRef/>
      </w:r>
      <w:r w:rsidRPr="002C5DF9">
        <w:rPr>
          <w:szCs w:val="18"/>
        </w:rPr>
        <w:t xml:space="preserve"> </w:t>
      </w:r>
      <w:r w:rsidRPr="002A468A">
        <w:rPr>
          <w:szCs w:val="18"/>
        </w:rPr>
        <w:t>Some of this ammonia is used as inputs for other commodities, such as ammonium nitrate.</w:t>
      </w:r>
      <w:r>
        <w:rPr>
          <w:szCs w:val="18"/>
        </w:rPr>
        <w:t xml:space="preserve"> Australian Industry Energy Transition Initiative, 2023, Pathways to industrial decarbonisation, available </w:t>
      </w:r>
      <w:hyperlink r:id="rId24" w:history="1">
        <w:r w:rsidRPr="00D2124D">
          <w:rPr>
            <w:rStyle w:val="Hyperlink"/>
            <w:szCs w:val="18"/>
          </w:rPr>
          <w:t>here</w:t>
        </w:r>
      </w:hyperlink>
      <w:r>
        <w:rPr>
          <w:szCs w:val="18"/>
        </w:rPr>
        <w:t>.</w:t>
      </w:r>
    </w:p>
  </w:footnote>
  <w:footnote w:id="42">
    <w:p w14:paraId="1B0FA62C" w14:textId="485C5BC9" w:rsidR="00DE2C7B" w:rsidRPr="001E3FD2" w:rsidRDefault="00DE2C7B" w:rsidP="00D252BB">
      <w:pPr>
        <w:pStyle w:val="FootnoteText"/>
        <w:spacing w:after="0"/>
        <w:rPr>
          <w:szCs w:val="18"/>
        </w:rPr>
      </w:pPr>
      <w:r w:rsidRPr="001E3FD2">
        <w:rPr>
          <w:rStyle w:val="FootnoteReference"/>
          <w:szCs w:val="18"/>
        </w:rPr>
        <w:footnoteRef/>
      </w:r>
      <w:r w:rsidRPr="001E3FD2">
        <w:rPr>
          <w:szCs w:val="18"/>
        </w:rPr>
        <w:t xml:space="preserve"> </w:t>
      </w:r>
      <w:r>
        <w:rPr>
          <w:szCs w:val="18"/>
        </w:rPr>
        <w:t xml:space="preserve">Construction of Perdaman Chemicals and Fertilisers’ urea plant begins, 2023, available </w:t>
      </w:r>
      <w:hyperlink r:id="rId25" w:history="1">
        <w:r w:rsidRPr="00D2124D">
          <w:rPr>
            <w:rStyle w:val="Hyperlink"/>
            <w:szCs w:val="18"/>
          </w:rPr>
          <w:t>here</w:t>
        </w:r>
      </w:hyperlink>
      <w:r>
        <w:rPr>
          <w:szCs w:val="18"/>
        </w:rPr>
        <w:t>.</w:t>
      </w:r>
    </w:p>
  </w:footnote>
  <w:footnote w:id="43">
    <w:p w14:paraId="3F841CDF" w14:textId="342964ED" w:rsidR="00DE2C7B" w:rsidRDefault="00DE2C7B">
      <w:pPr>
        <w:pStyle w:val="FootnoteText"/>
      </w:pPr>
      <w:r>
        <w:rPr>
          <w:rStyle w:val="FootnoteReference"/>
        </w:rPr>
        <w:footnoteRef/>
      </w:r>
      <w:r>
        <w:t xml:space="preserve"> </w:t>
      </w:r>
      <w:r w:rsidRPr="00C8620C">
        <w:t xml:space="preserve">Future Made in Australia - National Interest Framework, Treasury, May 2024, available </w:t>
      </w:r>
      <w:hyperlink r:id="rId26" w:history="1">
        <w:r w:rsidRPr="00C875C1">
          <w:rPr>
            <w:rStyle w:val="Hyperlink"/>
          </w:rPr>
          <w:t>here</w:t>
        </w:r>
      </w:hyperlink>
      <w:r w:rsidRPr="00C8620C">
        <w:t>.</w:t>
      </w:r>
    </w:p>
  </w:footnote>
  <w:footnote w:id="44">
    <w:p w14:paraId="42669796" w14:textId="77777777" w:rsidR="00DE2C7B" w:rsidRDefault="00DE2C7B" w:rsidP="00D252BB">
      <w:pPr>
        <w:pStyle w:val="FootnoteText"/>
      </w:pPr>
      <w:r w:rsidRPr="00D7201E">
        <w:rPr>
          <w:rStyle w:val="FootnoteReference"/>
        </w:rPr>
        <w:footnoteRef/>
      </w:r>
      <w:r w:rsidRPr="00D7201E">
        <w:t xml:space="preserve"> </w:t>
      </w:r>
      <w:r>
        <w:t>Imports relative to Safeguard production for urea is b</w:t>
      </w:r>
      <w:r w:rsidRPr="002A468A">
        <w:t>ased on production data prior to the closure of the sole domestic urea producer at the end of 2022.</w:t>
      </w:r>
      <w:r w:rsidRPr="00D7201E">
        <w:t xml:space="preserve"> </w:t>
      </w:r>
    </w:p>
  </w:footnote>
  <w:footnote w:id="45">
    <w:p w14:paraId="74D238C5" w14:textId="652EA883" w:rsidR="00DE2C7B" w:rsidRDefault="00DE2C7B">
      <w:pPr>
        <w:pStyle w:val="FootnoteText"/>
      </w:pPr>
      <w:r>
        <w:rPr>
          <w:rStyle w:val="FootnoteReference"/>
        </w:rPr>
        <w:footnoteRef/>
      </w:r>
      <w:r>
        <w:t xml:space="preserve"> </w:t>
      </w:r>
      <w:r w:rsidRPr="002A468A">
        <w:t>Export</w:t>
      </w:r>
      <w:r>
        <w:t>s</w:t>
      </w:r>
      <w:r w:rsidRPr="002A468A">
        <w:t xml:space="preserve"> </w:t>
      </w:r>
      <w:r>
        <w:t xml:space="preserve">relative to Safeguard production </w:t>
      </w:r>
      <w:r w:rsidRPr="002A468A">
        <w:t xml:space="preserve">for urea </w:t>
      </w:r>
      <w:r>
        <w:t xml:space="preserve">may increase in future as </w:t>
      </w:r>
      <w:r w:rsidRPr="002A468A">
        <w:t xml:space="preserve">new urea production </w:t>
      </w:r>
      <w:r>
        <w:t>capacity comes online</w:t>
      </w:r>
      <w:r w:rsidRPr="002A468A">
        <w:t>.</w:t>
      </w:r>
    </w:p>
  </w:footnote>
  <w:footnote w:id="46">
    <w:p w14:paraId="3FD8D142" w14:textId="623B21C8" w:rsidR="00DE2C7B" w:rsidRPr="00625E49" w:rsidRDefault="00DE2C7B" w:rsidP="00D252BB">
      <w:pPr>
        <w:pStyle w:val="FootnoteText"/>
        <w:spacing w:after="0"/>
        <w:rPr>
          <w:szCs w:val="18"/>
        </w:rPr>
      </w:pPr>
      <w:r w:rsidRPr="000E0155">
        <w:rPr>
          <w:rStyle w:val="FootnoteReference"/>
          <w:szCs w:val="18"/>
        </w:rPr>
        <w:footnoteRef/>
      </w:r>
      <w:r w:rsidRPr="000E0155">
        <w:rPr>
          <w:szCs w:val="18"/>
        </w:rPr>
        <w:t xml:space="preserve"> </w:t>
      </w:r>
      <w:r w:rsidRPr="00535157">
        <w:rPr>
          <w:szCs w:val="18"/>
        </w:rPr>
        <w:t xml:space="preserve"> </w:t>
      </w:r>
      <w:r>
        <w:rPr>
          <w:szCs w:val="18"/>
        </w:rPr>
        <w:t xml:space="preserve">International Energy Agency, Ammonia Technology Roadmap, available </w:t>
      </w:r>
      <w:hyperlink r:id="rId27" w:history="1">
        <w:r w:rsidRPr="00D2124D">
          <w:rPr>
            <w:rStyle w:val="Hyperlink"/>
            <w:szCs w:val="18"/>
          </w:rPr>
          <w:t>here</w:t>
        </w:r>
      </w:hyperlink>
      <w:r>
        <w:rPr>
          <w:szCs w:val="18"/>
        </w:rPr>
        <w:t>.</w:t>
      </w:r>
    </w:p>
  </w:footnote>
  <w:footnote w:id="47">
    <w:p w14:paraId="7BE095D5" w14:textId="15EF4B9E" w:rsidR="00DE2C7B" w:rsidRPr="00E20F81" w:rsidRDefault="00DE2C7B" w:rsidP="00D252BB">
      <w:pPr>
        <w:pStyle w:val="FootnoteText"/>
        <w:spacing w:after="0"/>
        <w:rPr>
          <w:szCs w:val="18"/>
        </w:rPr>
      </w:pPr>
      <w:r w:rsidRPr="00E20F81">
        <w:rPr>
          <w:rStyle w:val="FootnoteReference"/>
          <w:szCs w:val="18"/>
        </w:rPr>
        <w:footnoteRef/>
      </w:r>
      <w:r w:rsidRPr="00E20F81">
        <w:rPr>
          <w:szCs w:val="18"/>
        </w:rPr>
        <w:t xml:space="preserve"> </w:t>
      </w:r>
      <w:r>
        <w:rPr>
          <w:szCs w:val="18"/>
        </w:rPr>
        <w:t xml:space="preserve">Australian Industry Energy Transition Initiative, 2023, Pathways to industrial decarbonisation, available </w:t>
      </w:r>
      <w:hyperlink r:id="rId28" w:history="1">
        <w:r w:rsidRPr="00D2124D">
          <w:rPr>
            <w:rStyle w:val="Hyperlink"/>
            <w:szCs w:val="18"/>
          </w:rPr>
          <w:t>here</w:t>
        </w:r>
      </w:hyperlink>
      <w:r>
        <w:rPr>
          <w:szCs w:val="18"/>
        </w:rPr>
        <w:t>.</w:t>
      </w:r>
      <w:r w:rsidRPr="00E20F81">
        <w:rPr>
          <w:szCs w:val="18"/>
        </w:rPr>
        <w:t xml:space="preserve"> </w:t>
      </w:r>
    </w:p>
  </w:footnote>
  <w:footnote w:id="48">
    <w:p w14:paraId="41D4E0B9" w14:textId="2A534BF4" w:rsidR="00DE2C7B" w:rsidRDefault="00DE2C7B" w:rsidP="00D252BB">
      <w:pPr>
        <w:pStyle w:val="FootnoteText"/>
      </w:pPr>
      <w:r>
        <w:rPr>
          <w:rStyle w:val="FootnoteReference"/>
        </w:rPr>
        <w:footnoteRef/>
      </w:r>
      <w:r>
        <w:t xml:space="preserve"> Orica Media release, available </w:t>
      </w:r>
      <w:hyperlink r:id="rId29" w:history="1">
        <w:r w:rsidRPr="00D2124D">
          <w:rPr>
            <w:rStyle w:val="Hyperlink"/>
          </w:rPr>
          <w:t>here</w:t>
        </w:r>
      </w:hyperlink>
      <w:r>
        <w:t>.</w:t>
      </w:r>
    </w:p>
  </w:footnote>
  <w:footnote w:id="49">
    <w:p w14:paraId="1EBDFEAA" w14:textId="71DF6DA8" w:rsidR="00DE2C7B" w:rsidRDefault="00DE2C7B">
      <w:pPr>
        <w:pStyle w:val="FootnoteText"/>
      </w:pPr>
      <w:r>
        <w:rPr>
          <w:rStyle w:val="FootnoteReference"/>
        </w:rPr>
        <w:footnoteRef/>
      </w:r>
      <w:r>
        <w:t xml:space="preserve"> The analysis for ammonia and urea includes Perdaman’s new facility in the Pilbara which is due to commence in 2027. In the specific case of these commodities, this is considered the correct representation of expected domestic production capacity in 2030.</w:t>
      </w:r>
    </w:p>
  </w:footnote>
  <w:footnote w:id="50">
    <w:p w14:paraId="5945A03E" w14:textId="332C2B80" w:rsidR="00DE2C7B" w:rsidRDefault="00DE2C7B">
      <w:pPr>
        <w:pStyle w:val="FootnoteText"/>
      </w:pPr>
      <w:r>
        <w:rPr>
          <w:rStyle w:val="FootnoteReference"/>
        </w:rPr>
        <w:footnoteRef/>
      </w:r>
      <w:r>
        <w:t xml:space="preserve"> Spherical Insights, data available </w:t>
      </w:r>
      <w:hyperlink r:id="rId30" w:history="1">
        <w:r w:rsidRPr="009E0A06">
          <w:rPr>
            <w:rStyle w:val="Hyperlink"/>
          </w:rPr>
          <w:t>here</w:t>
        </w:r>
      </w:hyperlink>
    </w:p>
  </w:footnote>
  <w:footnote w:id="51">
    <w:p w14:paraId="0EEA1C6B" w14:textId="4785A8AB" w:rsidR="00DE2C7B" w:rsidRDefault="00DE2C7B">
      <w:pPr>
        <w:pStyle w:val="FootnoteText"/>
      </w:pPr>
      <w:r>
        <w:rPr>
          <w:rStyle w:val="FootnoteReference"/>
        </w:rPr>
        <w:footnoteRef/>
      </w:r>
      <w:r>
        <w:t xml:space="preserve"> Yara International media release, available </w:t>
      </w:r>
      <w:hyperlink r:id="rId31" w:history="1">
        <w:r w:rsidRPr="00FC0906">
          <w:rPr>
            <w:rStyle w:val="Hyperlink"/>
          </w:rPr>
          <w:t>here</w:t>
        </w:r>
      </w:hyperlink>
    </w:p>
  </w:footnote>
  <w:footnote w:id="52">
    <w:p w14:paraId="79DF70FC" w14:textId="0EF9391A" w:rsidR="00DE2C7B" w:rsidRPr="00585D1E" w:rsidRDefault="00DE2C7B" w:rsidP="000D7F30">
      <w:pPr>
        <w:pStyle w:val="FootnoteText"/>
        <w:spacing w:after="0"/>
        <w:rPr>
          <w:szCs w:val="18"/>
        </w:rPr>
      </w:pPr>
      <w:r w:rsidRPr="00585D1E">
        <w:rPr>
          <w:rStyle w:val="FootnoteReference"/>
          <w:szCs w:val="18"/>
        </w:rPr>
        <w:footnoteRef/>
      </w:r>
      <w:r w:rsidRPr="00585D1E">
        <w:rPr>
          <w:szCs w:val="18"/>
        </w:rPr>
        <w:t xml:space="preserve"> </w:t>
      </w:r>
      <w:r>
        <w:rPr>
          <w:szCs w:val="18"/>
        </w:rPr>
        <w:t xml:space="preserve">Includes secondary and primary steel, data available from World Steel </w:t>
      </w:r>
      <w:hyperlink r:id="rId32" w:history="1">
        <w:r w:rsidRPr="00D2124D">
          <w:rPr>
            <w:rStyle w:val="Hyperlink"/>
            <w:szCs w:val="18"/>
          </w:rPr>
          <w:t>here</w:t>
        </w:r>
      </w:hyperlink>
      <w:r>
        <w:rPr>
          <w:szCs w:val="18"/>
        </w:rPr>
        <w:t>.</w:t>
      </w:r>
    </w:p>
  </w:footnote>
  <w:footnote w:id="53">
    <w:p w14:paraId="0BFE5A5A" w14:textId="77777777" w:rsidR="00DE2C7B" w:rsidRPr="003C1D07" w:rsidRDefault="00DE2C7B">
      <w:pPr>
        <w:pStyle w:val="FootnoteText"/>
        <w:rPr>
          <w:szCs w:val="18"/>
        </w:rPr>
      </w:pPr>
      <w:r w:rsidRPr="003C1D07">
        <w:rPr>
          <w:rStyle w:val="FootnoteReference"/>
          <w:szCs w:val="18"/>
        </w:rPr>
        <w:footnoteRef/>
      </w:r>
      <w:r w:rsidRPr="003C1D07">
        <w:rPr>
          <w:szCs w:val="18"/>
        </w:rPr>
        <w:t xml:space="preserve"> Primary steel generally refers to steel made from iron ore (as opposed to scrap). Under the Safeguard Mechanism, </w:t>
      </w:r>
      <w:r>
        <w:rPr>
          <w:szCs w:val="18"/>
        </w:rPr>
        <w:t xml:space="preserve">the production variable for </w:t>
      </w:r>
      <w:r w:rsidRPr="003C1D07">
        <w:rPr>
          <w:szCs w:val="18"/>
        </w:rPr>
        <w:t xml:space="preserve">crude steel (steel in its first solid state </w:t>
      </w:r>
      <w:r>
        <w:rPr>
          <w:szCs w:val="18"/>
        </w:rPr>
        <w:t xml:space="preserve">upon leaving </w:t>
      </w:r>
      <w:r w:rsidRPr="003C1D07">
        <w:rPr>
          <w:szCs w:val="18"/>
        </w:rPr>
        <w:t xml:space="preserve">a furnace) is </w:t>
      </w:r>
      <w:r>
        <w:rPr>
          <w:szCs w:val="18"/>
        </w:rPr>
        <w:t>described as</w:t>
      </w:r>
      <w:r w:rsidRPr="003C1D07">
        <w:rPr>
          <w:szCs w:val="18"/>
        </w:rPr>
        <w:t xml:space="preserve"> ‘primary steel’. To avoid confusion, this paper uses ‘primary steel’ to mean steel made from iron ore, and ‘crude steel’ for the primary steel Safeguard production variable. </w:t>
      </w:r>
    </w:p>
  </w:footnote>
  <w:footnote w:id="54">
    <w:p w14:paraId="388D3B11" w14:textId="20CD8697" w:rsidR="00DE2C7B" w:rsidRDefault="00DE2C7B">
      <w:pPr>
        <w:pStyle w:val="FootnoteText"/>
      </w:pPr>
      <w:r>
        <w:rPr>
          <w:rStyle w:val="FootnoteReference"/>
        </w:rPr>
        <w:footnoteRef/>
      </w:r>
      <w:r>
        <w:t xml:space="preserve"> BloombergNEF, available </w:t>
      </w:r>
      <w:hyperlink r:id="rId33" w:history="1">
        <w:r w:rsidRPr="00E57EDA">
          <w:rPr>
            <w:rStyle w:val="Hyperlink"/>
          </w:rPr>
          <w:t>here</w:t>
        </w:r>
      </w:hyperlink>
      <w:r>
        <w:t>.</w:t>
      </w:r>
    </w:p>
  </w:footnote>
  <w:footnote w:id="55">
    <w:p w14:paraId="37DCEA44" w14:textId="4D7E3908" w:rsidR="00DE2C7B" w:rsidRDefault="00DE2C7B" w:rsidP="00931670">
      <w:pPr>
        <w:pStyle w:val="FootnoteText"/>
        <w:spacing w:after="0"/>
      </w:pPr>
      <w:r w:rsidRPr="003C1D07">
        <w:rPr>
          <w:rStyle w:val="FootnoteReference"/>
          <w:szCs w:val="18"/>
        </w:rPr>
        <w:footnoteRef/>
      </w:r>
      <w:r w:rsidRPr="003C1D07">
        <w:rPr>
          <w:szCs w:val="18"/>
        </w:rPr>
        <w:t xml:space="preserve"> Resources and Energy Quarterly, December 2023</w:t>
      </w:r>
      <w:r>
        <w:rPr>
          <w:szCs w:val="18"/>
        </w:rPr>
        <w:t xml:space="preserve">, available </w:t>
      </w:r>
      <w:hyperlink r:id="rId34" w:history="1">
        <w:r w:rsidRPr="00D2124D">
          <w:rPr>
            <w:rStyle w:val="Hyperlink"/>
            <w:szCs w:val="18"/>
          </w:rPr>
          <w:t>here</w:t>
        </w:r>
      </w:hyperlink>
      <w:r>
        <w:rPr>
          <w:szCs w:val="18"/>
        </w:rPr>
        <w:t>.</w:t>
      </w:r>
      <w:r>
        <w:t xml:space="preserve"> </w:t>
      </w:r>
    </w:p>
  </w:footnote>
  <w:footnote w:id="56">
    <w:p w14:paraId="3113F5B1" w14:textId="77777777" w:rsidR="00DE2C7B" w:rsidRDefault="00DE2C7B">
      <w:pPr>
        <w:pStyle w:val="FootnoteText"/>
      </w:pPr>
      <w:r>
        <w:rPr>
          <w:rStyle w:val="FootnoteReference"/>
        </w:rPr>
        <w:footnoteRef/>
      </w:r>
      <w:r>
        <w:t xml:space="preserve"> In ABS data, the country sources of steel imports are not disclosed for a significant portion of overall imports. The Review used UN Comtrade data (including data on foreign steel exports to Australia) to help address this data gap.</w:t>
      </w:r>
    </w:p>
  </w:footnote>
  <w:footnote w:id="57">
    <w:p w14:paraId="65C5499C" w14:textId="77777777" w:rsidR="00DE2C7B" w:rsidRPr="00D12281" w:rsidRDefault="00DE2C7B" w:rsidP="00B07410">
      <w:pPr>
        <w:pStyle w:val="FootnoteText"/>
        <w:spacing w:after="0"/>
        <w:rPr>
          <w:szCs w:val="18"/>
        </w:rPr>
      </w:pPr>
      <w:r w:rsidRPr="00D12281">
        <w:rPr>
          <w:rStyle w:val="FootnoteReference"/>
          <w:szCs w:val="18"/>
        </w:rPr>
        <w:footnoteRef/>
      </w:r>
      <w:r w:rsidRPr="00D12281">
        <w:rPr>
          <w:szCs w:val="18"/>
        </w:rPr>
        <w:t xml:space="preserve"> </w:t>
      </w:r>
      <w:r w:rsidRPr="00291C8E">
        <w:rPr>
          <w:szCs w:val="18"/>
        </w:rPr>
        <w:t xml:space="preserve">Based on default emissions intensity values for these </w:t>
      </w:r>
      <w:r>
        <w:rPr>
          <w:szCs w:val="18"/>
        </w:rPr>
        <w:t>commodities</w:t>
      </w:r>
      <w:r w:rsidRPr="00291C8E">
        <w:rPr>
          <w:szCs w:val="18"/>
        </w:rPr>
        <w:t xml:space="preserve"> under the Safeguard Mechanism.</w:t>
      </w:r>
    </w:p>
  </w:footnote>
  <w:footnote w:id="58">
    <w:p w14:paraId="5CA5DC5B" w14:textId="316BF608" w:rsidR="00DE2C7B" w:rsidRDefault="00DE2C7B" w:rsidP="008B09FB">
      <w:pPr>
        <w:pStyle w:val="FootnoteText"/>
        <w:spacing w:after="0"/>
      </w:pPr>
      <w:r w:rsidRPr="00936ECE">
        <w:rPr>
          <w:rStyle w:val="FootnoteReference"/>
          <w:szCs w:val="18"/>
        </w:rPr>
        <w:footnoteRef/>
      </w:r>
      <w:r w:rsidRPr="00936ECE">
        <w:rPr>
          <w:szCs w:val="18"/>
        </w:rPr>
        <w:t xml:space="preserve"> </w:t>
      </w:r>
      <w:r>
        <w:rPr>
          <w:szCs w:val="18"/>
        </w:rPr>
        <w:t xml:space="preserve">Depending on whether natural gas or renewable hydrogen is used for DRI. BCG, 2022, available </w:t>
      </w:r>
      <w:hyperlink r:id="rId35" w:history="1">
        <w:r w:rsidRPr="00D2124D">
          <w:rPr>
            <w:rStyle w:val="Hyperlink"/>
            <w:szCs w:val="18"/>
          </w:rPr>
          <w:t>here</w:t>
        </w:r>
      </w:hyperlink>
      <w:r>
        <w:rPr>
          <w:szCs w:val="18"/>
        </w:rPr>
        <w:t>.</w:t>
      </w:r>
    </w:p>
  </w:footnote>
  <w:footnote w:id="59">
    <w:p w14:paraId="62038478" w14:textId="77777777" w:rsidR="00DE2C7B" w:rsidRDefault="00DE2C7B">
      <w:pPr>
        <w:pStyle w:val="FootnoteText"/>
      </w:pPr>
      <w:r>
        <w:rPr>
          <w:rStyle w:val="FootnoteReference"/>
        </w:rPr>
        <w:footnoteRef/>
      </w:r>
      <w:r>
        <w:t xml:space="preserve"> Based on industry submissions.</w:t>
      </w:r>
    </w:p>
  </w:footnote>
  <w:footnote w:id="60">
    <w:p w14:paraId="3BFDE1A3" w14:textId="77777777" w:rsidR="00DE2C7B" w:rsidRDefault="00DE2C7B">
      <w:pPr>
        <w:pStyle w:val="FootnoteText"/>
      </w:pPr>
      <w:r>
        <w:rPr>
          <w:rStyle w:val="FootnoteReference"/>
        </w:rPr>
        <w:footnoteRef/>
      </w:r>
      <w:r>
        <w:t xml:space="preserve"> These estimates use illustrative price assumptions for flat glass drawn from different sources, which may be considered further during the consultation period.</w:t>
      </w:r>
    </w:p>
  </w:footnote>
  <w:footnote w:id="61">
    <w:p w14:paraId="15C5EF3A" w14:textId="4ED3C0B6" w:rsidR="00DE2C7B" w:rsidRPr="00767E17" w:rsidRDefault="00DE2C7B" w:rsidP="00CB14A2">
      <w:pPr>
        <w:pStyle w:val="FootnoteText"/>
        <w:spacing w:after="0"/>
        <w:rPr>
          <w:szCs w:val="18"/>
        </w:rPr>
      </w:pPr>
      <w:r w:rsidRPr="00767E17">
        <w:rPr>
          <w:rStyle w:val="FootnoteReference"/>
          <w:szCs w:val="18"/>
        </w:rPr>
        <w:footnoteRef/>
      </w:r>
      <w:r w:rsidRPr="00767E17">
        <w:rPr>
          <w:szCs w:val="18"/>
        </w:rPr>
        <w:t xml:space="preserve"> </w:t>
      </w:r>
      <w:r>
        <w:rPr>
          <w:szCs w:val="18"/>
        </w:rPr>
        <w:t>See</w:t>
      </w:r>
      <w:r w:rsidRPr="00767E17">
        <w:rPr>
          <w:szCs w:val="18"/>
        </w:rPr>
        <w:t xml:space="preserve"> </w:t>
      </w:r>
      <w:hyperlink r:id="rId36" w:history="1">
        <w:r w:rsidRPr="00D2124D">
          <w:rPr>
            <w:rStyle w:val="Hyperlink"/>
            <w:szCs w:val="18"/>
          </w:rPr>
          <w:t>Australian Aluminium Council</w:t>
        </w:r>
      </w:hyperlink>
      <w:r>
        <w:rPr>
          <w:szCs w:val="18"/>
        </w:rPr>
        <w:t>.</w:t>
      </w:r>
    </w:p>
  </w:footnote>
  <w:footnote w:id="62">
    <w:p w14:paraId="657742B5" w14:textId="3F96561C" w:rsidR="00DE2C7B" w:rsidRPr="00DD0A2B" w:rsidRDefault="00DE2C7B" w:rsidP="00CB14A2">
      <w:pPr>
        <w:pStyle w:val="FootnoteText"/>
        <w:rPr>
          <w:szCs w:val="18"/>
        </w:rPr>
      </w:pPr>
      <w:r w:rsidRPr="00DD0A2B">
        <w:rPr>
          <w:rStyle w:val="FootnoteReference"/>
          <w:szCs w:val="18"/>
        </w:rPr>
        <w:footnoteRef/>
      </w:r>
      <w:r w:rsidRPr="00DD0A2B">
        <w:rPr>
          <w:szCs w:val="18"/>
        </w:rPr>
        <w:t xml:space="preserve"> The Strategic Materials List identifies minerals where Australia has geological potential for resources, that are important for the economy and national security, and that are in demand by strategic international partners. Minerals on this list </w:t>
      </w:r>
      <w:r>
        <w:rPr>
          <w:szCs w:val="18"/>
        </w:rPr>
        <w:t xml:space="preserve">have supply chains that </w:t>
      </w:r>
      <w:r w:rsidRPr="00DD0A2B">
        <w:rPr>
          <w:szCs w:val="18"/>
        </w:rPr>
        <w:t>are currently not vulnerable enough to be included on the Critical Minerals List</w:t>
      </w:r>
      <w:r>
        <w:rPr>
          <w:szCs w:val="18"/>
        </w:rPr>
        <w:t xml:space="preserve">, available </w:t>
      </w:r>
      <w:hyperlink r:id="rId37" w:history="1">
        <w:r w:rsidRPr="001A01DF">
          <w:rPr>
            <w:rStyle w:val="Hyperlink"/>
            <w:szCs w:val="18"/>
          </w:rPr>
          <w:t>here</w:t>
        </w:r>
      </w:hyperlink>
      <w:r>
        <w:rPr>
          <w:szCs w:val="18"/>
        </w:rPr>
        <w:t>.</w:t>
      </w:r>
    </w:p>
  </w:footnote>
  <w:footnote w:id="63">
    <w:p w14:paraId="5BE9ED34" w14:textId="0C98A2D1" w:rsidR="00DE2C7B" w:rsidRDefault="00DE2C7B">
      <w:pPr>
        <w:pStyle w:val="FootnoteText"/>
      </w:pPr>
      <w:r>
        <w:rPr>
          <w:rStyle w:val="FootnoteReference"/>
        </w:rPr>
        <w:footnoteRef/>
      </w:r>
      <w:r>
        <w:t xml:space="preserve"> Fastmarkets, available </w:t>
      </w:r>
      <w:hyperlink r:id="rId38" w:history="1">
        <w:r w:rsidRPr="007530D9">
          <w:rPr>
            <w:rStyle w:val="Hyperlink"/>
          </w:rPr>
          <w:t>here</w:t>
        </w:r>
      </w:hyperlink>
      <w:r>
        <w:t>.</w:t>
      </w:r>
    </w:p>
  </w:footnote>
  <w:footnote w:id="64">
    <w:p w14:paraId="2B471443" w14:textId="77777777" w:rsidR="00DE2C7B" w:rsidRPr="003826FD" w:rsidRDefault="00DE2C7B" w:rsidP="00CB14A2">
      <w:pPr>
        <w:pStyle w:val="FootnoteText"/>
        <w:spacing w:after="0"/>
        <w:rPr>
          <w:szCs w:val="18"/>
        </w:rPr>
      </w:pPr>
      <w:r w:rsidRPr="003826FD">
        <w:rPr>
          <w:rStyle w:val="FootnoteReference"/>
          <w:szCs w:val="18"/>
        </w:rPr>
        <w:footnoteRef/>
      </w:r>
      <w:r w:rsidRPr="003826FD">
        <w:rPr>
          <w:szCs w:val="18"/>
        </w:rPr>
        <w:t xml:space="preserve"> Based on the default emissions intensity value under the Safeguard </w:t>
      </w:r>
      <w:r>
        <w:rPr>
          <w:szCs w:val="18"/>
        </w:rPr>
        <w:t>Mechanism</w:t>
      </w:r>
      <w:r w:rsidRPr="003826FD">
        <w:rPr>
          <w:szCs w:val="18"/>
        </w:rPr>
        <w:t>.</w:t>
      </w:r>
    </w:p>
  </w:footnote>
  <w:footnote w:id="65">
    <w:p w14:paraId="60E12781" w14:textId="49DA4E5C" w:rsidR="00DE2C7B" w:rsidRPr="002649EF" w:rsidRDefault="00DE2C7B" w:rsidP="00CB14A2">
      <w:pPr>
        <w:pStyle w:val="FootnoteText"/>
        <w:spacing w:after="0"/>
        <w:rPr>
          <w:szCs w:val="18"/>
        </w:rPr>
      </w:pPr>
      <w:r w:rsidRPr="007E0687">
        <w:rPr>
          <w:rStyle w:val="FootnoteReference"/>
          <w:szCs w:val="18"/>
        </w:rPr>
        <w:footnoteRef/>
      </w:r>
      <w:r w:rsidRPr="007E0687">
        <w:rPr>
          <w:szCs w:val="18"/>
        </w:rPr>
        <w:t xml:space="preserve"> Australian value </w:t>
      </w:r>
      <w:r>
        <w:rPr>
          <w:szCs w:val="18"/>
        </w:rPr>
        <w:t>b</w:t>
      </w:r>
      <w:r w:rsidRPr="002649EF">
        <w:rPr>
          <w:szCs w:val="18"/>
        </w:rPr>
        <w:t xml:space="preserve">ased on the default emissions intensity under the Safeguard </w:t>
      </w:r>
      <w:r>
        <w:rPr>
          <w:szCs w:val="18"/>
        </w:rPr>
        <w:t>Mechanism</w:t>
      </w:r>
      <w:r w:rsidRPr="002649EF">
        <w:rPr>
          <w:szCs w:val="18"/>
        </w:rPr>
        <w:t>.</w:t>
      </w:r>
      <w:r>
        <w:rPr>
          <w:szCs w:val="18"/>
        </w:rPr>
        <w:t xml:space="preserve"> Global value based on data for perfluorocarbon and process emissions is from the International Aluminium Institute, available </w:t>
      </w:r>
      <w:hyperlink r:id="rId39" w:history="1">
        <w:r w:rsidRPr="001A01DF">
          <w:rPr>
            <w:rStyle w:val="Hyperlink"/>
            <w:szCs w:val="18"/>
          </w:rPr>
          <w:t>here</w:t>
        </w:r>
      </w:hyperlink>
      <w:r>
        <w:rPr>
          <w:szCs w:val="18"/>
        </w:rPr>
        <w:t>.</w:t>
      </w:r>
    </w:p>
    <w:p w14:paraId="38B55F8C" w14:textId="77777777" w:rsidR="00DE2C7B" w:rsidRDefault="00DE2C7B" w:rsidP="00CB14A2">
      <w:pPr>
        <w:pStyle w:val="FootnoteText"/>
      </w:pPr>
    </w:p>
  </w:footnote>
  <w:footnote w:id="66">
    <w:p w14:paraId="211F55FA" w14:textId="77777777" w:rsidR="00DE2C7B" w:rsidRDefault="00DE2C7B">
      <w:pPr>
        <w:pStyle w:val="FootnoteText"/>
      </w:pPr>
      <w:r>
        <w:rPr>
          <w:rStyle w:val="FootnoteReference"/>
        </w:rPr>
        <w:footnoteRef/>
      </w:r>
      <w:r>
        <w:t xml:space="preserve"> Based on industry submissions.</w:t>
      </w:r>
    </w:p>
  </w:footnote>
  <w:footnote w:id="67">
    <w:p w14:paraId="4A3222AC" w14:textId="77777777" w:rsidR="00DE2C7B" w:rsidRPr="00A3494D" w:rsidRDefault="00DE2C7B" w:rsidP="00D252BB">
      <w:pPr>
        <w:pStyle w:val="FootnoteText"/>
        <w:spacing w:after="0"/>
        <w:rPr>
          <w:szCs w:val="18"/>
        </w:rPr>
      </w:pPr>
      <w:r w:rsidRPr="00A3494D">
        <w:rPr>
          <w:rStyle w:val="FootnoteReference"/>
          <w:szCs w:val="18"/>
        </w:rPr>
        <w:footnoteRef/>
      </w:r>
      <w:r w:rsidRPr="00A3494D">
        <w:rPr>
          <w:szCs w:val="18"/>
        </w:rPr>
        <w:t xml:space="preserve"> There is currently no domestic production of printing and writing paper.</w:t>
      </w:r>
    </w:p>
  </w:footnote>
  <w:footnote w:id="68">
    <w:p w14:paraId="00690BF0" w14:textId="77777777" w:rsidR="00DE2C7B" w:rsidRDefault="00DE2C7B">
      <w:pPr>
        <w:pStyle w:val="FootnoteText"/>
      </w:pPr>
      <w:r>
        <w:rPr>
          <w:rStyle w:val="FootnoteReference"/>
        </w:rPr>
        <w:footnoteRef/>
      </w:r>
      <w:r>
        <w:t xml:space="preserve"> It is recognised that in a scenario of import dependency, Australia’s price elasticity of demand is likely to be inelastic.</w:t>
      </w:r>
    </w:p>
  </w:footnote>
  <w:footnote w:id="69">
    <w:p w14:paraId="58FB956E" w14:textId="0F03EDF6" w:rsidR="00DE2C7B" w:rsidRDefault="00DE2C7B" w:rsidP="00D252BB">
      <w:pPr>
        <w:pStyle w:val="FootnoteText"/>
      </w:pPr>
      <w:r w:rsidRPr="00023FE3">
        <w:rPr>
          <w:rStyle w:val="FootnoteReference"/>
          <w:szCs w:val="18"/>
        </w:rPr>
        <w:footnoteRef/>
      </w:r>
      <w:r w:rsidRPr="00023FE3">
        <w:rPr>
          <w:szCs w:val="18"/>
        </w:rPr>
        <w:t xml:space="preserve"> The Critical Minerals List identifies minerals where Australia has geological potential for resources, that are essential for the economy and national security, that are in demand from strategic international partners, and are vulnerable to supply chain disruption</w:t>
      </w:r>
      <w:r>
        <w:rPr>
          <w:szCs w:val="18"/>
        </w:rPr>
        <w:t xml:space="preserve">, available </w:t>
      </w:r>
      <w:hyperlink r:id="rId40" w:history="1">
        <w:r w:rsidRPr="001A01DF">
          <w:rPr>
            <w:rStyle w:val="Hyperlink"/>
            <w:szCs w:val="18"/>
          </w:rPr>
          <w:t>here</w:t>
        </w:r>
      </w:hyperlink>
      <w:r>
        <w:rPr>
          <w:szCs w:val="18"/>
        </w:rPr>
        <w:t>.</w:t>
      </w:r>
    </w:p>
  </w:footnote>
  <w:footnote w:id="70">
    <w:p w14:paraId="46A09359" w14:textId="046571C1" w:rsidR="00DE2C7B" w:rsidRPr="00325C43" w:rsidRDefault="00DE2C7B" w:rsidP="00D252BB">
      <w:pPr>
        <w:pStyle w:val="FootnoteText"/>
        <w:spacing w:after="0"/>
        <w:rPr>
          <w:szCs w:val="18"/>
        </w:rPr>
      </w:pPr>
      <w:r w:rsidRPr="00325C43">
        <w:rPr>
          <w:rStyle w:val="FootnoteReference"/>
          <w:szCs w:val="18"/>
        </w:rPr>
        <w:footnoteRef/>
      </w:r>
      <w:r w:rsidRPr="00325C43">
        <w:rPr>
          <w:szCs w:val="18"/>
        </w:rPr>
        <w:t xml:space="preserve"> </w:t>
      </w:r>
      <w:r>
        <w:rPr>
          <w:szCs w:val="18"/>
        </w:rPr>
        <w:t xml:space="preserve">S&amp;P Global, 2023, Magnesium Oxide and Other Magnesium Chemicals, available </w:t>
      </w:r>
      <w:hyperlink r:id="rId41" w:history="1">
        <w:r w:rsidRPr="001A01DF">
          <w:rPr>
            <w:rStyle w:val="Hyperlink"/>
            <w:szCs w:val="18"/>
          </w:rPr>
          <w:t>here</w:t>
        </w:r>
      </w:hyperlink>
      <w:r>
        <w:rPr>
          <w:szCs w:val="18"/>
        </w:rPr>
        <w:t xml:space="preserve">. </w:t>
      </w:r>
    </w:p>
  </w:footnote>
  <w:footnote w:id="71">
    <w:p w14:paraId="1941A543" w14:textId="1E4851CD" w:rsidR="00DE2C7B" w:rsidRDefault="00DE2C7B" w:rsidP="00F8196A">
      <w:pPr>
        <w:pStyle w:val="FootnoteText"/>
        <w:spacing w:after="0"/>
      </w:pPr>
      <w:r>
        <w:rPr>
          <w:rStyle w:val="FootnoteReference"/>
        </w:rPr>
        <w:footnoteRef/>
      </w:r>
      <w:r>
        <w:t xml:space="preserve"> See </w:t>
      </w:r>
      <w:hyperlink r:id="rId42" w:history="1">
        <w:r w:rsidRPr="005704E8">
          <w:rPr>
            <w:rStyle w:val="Hyperlink"/>
          </w:rPr>
          <w:t>Qenos</w:t>
        </w:r>
      </w:hyperlink>
      <w:r>
        <w:t>.</w:t>
      </w:r>
    </w:p>
  </w:footnote>
  <w:footnote w:id="72">
    <w:p w14:paraId="066DAC59" w14:textId="2BB0F1D6" w:rsidR="00DE2C7B" w:rsidRDefault="00DE2C7B" w:rsidP="00425028">
      <w:pPr>
        <w:pStyle w:val="FootnoteText"/>
        <w:spacing w:after="0"/>
      </w:pPr>
      <w:r w:rsidRPr="00C2237D">
        <w:rPr>
          <w:rStyle w:val="FootnoteReference"/>
          <w:szCs w:val="18"/>
        </w:rPr>
        <w:footnoteRef/>
      </w:r>
      <w:r w:rsidRPr="00C2237D">
        <w:rPr>
          <w:szCs w:val="18"/>
        </w:rPr>
        <w:t xml:space="preserve"> </w:t>
      </w:r>
      <w:r w:rsidRPr="003C1D07">
        <w:rPr>
          <w:szCs w:val="18"/>
        </w:rPr>
        <w:t xml:space="preserve">Resources and Energy Quarterly, </w:t>
      </w:r>
      <w:r>
        <w:rPr>
          <w:szCs w:val="18"/>
        </w:rPr>
        <w:t xml:space="preserve">March 2024, available </w:t>
      </w:r>
      <w:hyperlink r:id="rId43" w:history="1">
        <w:r w:rsidRPr="00EB2D45">
          <w:rPr>
            <w:rStyle w:val="Hyperlink"/>
            <w:szCs w:val="18"/>
          </w:rPr>
          <w:t>here</w:t>
        </w:r>
      </w:hyperlink>
      <w:r>
        <w:rPr>
          <w:szCs w:val="18"/>
        </w:rPr>
        <w:t>.</w:t>
      </w:r>
    </w:p>
  </w:footnote>
  <w:footnote w:id="73">
    <w:p w14:paraId="38797DDE" w14:textId="629EE217" w:rsidR="00DE2C7B" w:rsidRPr="003B1864" w:rsidRDefault="00DE2C7B" w:rsidP="00425028">
      <w:pPr>
        <w:pStyle w:val="FootnoteText"/>
        <w:spacing w:after="0"/>
        <w:rPr>
          <w:szCs w:val="18"/>
        </w:rPr>
      </w:pPr>
      <w:r w:rsidRPr="003B1864">
        <w:rPr>
          <w:rStyle w:val="FootnoteReference"/>
          <w:szCs w:val="18"/>
        </w:rPr>
        <w:footnoteRef/>
      </w:r>
      <w:r w:rsidRPr="003B1864">
        <w:rPr>
          <w:szCs w:val="18"/>
        </w:rPr>
        <w:t xml:space="preserve"> </w:t>
      </w:r>
      <w:r>
        <w:rPr>
          <w:szCs w:val="18"/>
        </w:rPr>
        <w:t>Ibid.</w:t>
      </w:r>
    </w:p>
  </w:footnote>
  <w:footnote w:id="74">
    <w:p w14:paraId="27DE7595" w14:textId="5235ACB6" w:rsidR="00DE2C7B" w:rsidRDefault="00DE2C7B">
      <w:pPr>
        <w:pStyle w:val="FootnoteText"/>
      </w:pPr>
      <w:r>
        <w:rPr>
          <w:rStyle w:val="FootnoteReference"/>
        </w:rPr>
        <w:footnoteRef/>
      </w:r>
      <w:r>
        <w:t xml:space="preserve"> Future Gas Strategy, 2024, available </w:t>
      </w:r>
      <w:hyperlink r:id="rId44" w:history="1">
        <w:r w:rsidRPr="00EB2D45">
          <w:rPr>
            <w:rStyle w:val="Hyperlink"/>
          </w:rPr>
          <w:t>here</w:t>
        </w:r>
      </w:hyperlink>
      <w:r>
        <w:t>.</w:t>
      </w:r>
    </w:p>
  </w:footnote>
  <w:footnote w:id="75">
    <w:p w14:paraId="1C5196FE" w14:textId="77777777" w:rsidR="00DE2C7B" w:rsidRPr="00CA6404" w:rsidRDefault="00DE2C7B" w:rsidP="00415934">
      <w:pPr>
        <w:pStyle w:val="FootnoteText"/>
        <w:spacing w:after="0"/>
        <w:rPr>
          <w:szCs w:val="18"/>
        </w:rPr>
      </w:pPr>
      <w:r w:rsidRPr="00CA6404">
        <w:rPr>
          <w:rStyle w:val="FootnoteReference"/>
          <w:szCs w:val="18"/>
        </w:rPr>
        <w:footnoteRef/>
      </w:r>
      <w:r w:rsidRPr="00CA6404">
        <w:rPr>
          <w:szCs w:val="18"/>
        </w:rPr>
        <w:t xml:space="preserve"> P</w:t>
      </w:r>
      <w:r>
        <w:rPr>
          <w:szCs w:val="18"/>
        </w:rPr>
        <w:t>roduction variable</w:t>
      </w:r>
      <w:r w:rsidRPr="00CA6404">
        <w:rPr>
          <w:szCs w:val="18"/>
        </w:rPr>
        <w:t>s covered include wheat protein products (dried gluten), direct wheat starch</w:t>
      </w:r>
      <w:r>
        <w:rPr>
          <w:szCs w:val="18"/>
        </w:rPr>
        <w:t xml:space="preserve"> and</w:t>
      </w:r>
      <w:r w:rsidRPr="00CA6404">
        <w:rPr>
          <w:szCs w:val="18"/>
        </w:rPr>
        <w:t xml:space="preserve"> wheat based dried distillers grain</w:t>
      </w:r>
      <w:r>
        <w:rPr>
          <w:szCs w:val="18"/>
        </w:rPr>
        <w:t>.</w:t>
      </w:r>
    </w:p>
  </w:footnote>
  <w:footnote w:id="76">
    <w:p w14:paraId="011A5B27" w14:textId="0CA2AA98" w:rsidR="00DE2C7B" w:rsidRPr="00F55C83" w:rsidRDefault="00DE2C7B" w:rsidP="003A3238">
      <w:pPr>
        <w:pStyle w:val="FootnoteText"/>
        <w:spacing w:after="0"/>
        <w:rPr>
          <w:szCs w:val="18"/>
        </w:rPr>
      </w:pPr>
      <w:r w:rsidRPr="00F55C83">
        <w:rPr>
          <w:rStyle w:val="FootnoteReference"/>
          <w:szCs w:val="18"/>
        </w:rPr>
        <w:footnoteRef/>
      </w:r>
      <w:r w:rsidRPr="00F55C83">
        <w:rPr>
          <w:szCs w:val="18"/>
        </w:rPr>
        <w:t xml:space="preserve"> </w:t>
      </w:r>
      <w:r>
        <w:rPr>
          <w:szCs w:val="18"/>
        </w:rPr>
        <w:t xml:space="preserve">See Manganese Ore, Geoscience Australia, available </w:t>
      </w:r>
      <w:hyperlink r:id="rId45" w:history="1">
        <w:r w:rsidRPr="00EB2D45">
          <w:rPr>
            <w:rStyle w:val="Hyperlink"/>
            <w:szCs w:val="18"/>
          </w:rPr>
          <w:t>here</w:t>
        </w:r>
      </w:hyperlink>
      <w:r>
        <w:rPr>
          <w:szCs w:val="18"/>
        </w:rPr>
        <w:t>.</w:t>
      </w:r>
    </w:p>
  </w:footnote>
  <w:footnote w:id="77">
    <w:p w14:paraId="6B27A894" w14:textId="7985BDEC" w:rsidR="00DE2C7B" w:rsidRDefault="00DE2C7B" w:rsidP="00890287">
      <w:pPr>
        <w:pStyle w:val="FootnoteText"/>
      </w:pPr>
      <w:r>
        <w:rPr>
          <w:rStyle w:val="FootnoteReference"/>
        </w:rPr>
        <w:footnoteRef/>
      </w:r>
      <w:r>
        <w:t xml:space="preserve"> Budget Measures Budget Paper No.2, The Commonwealth of Australia, May 2024, available </w:t>
      </w:r>
      <w:hyperlink r:id="rId46" w:history="1">
        <w:r w:rsidRPr="00EB2D45">
          <w:rPr>
            <w:rStyle w:val="Hyperlink"/>
          </w:rPr>
          <w:t>here</w:t>
        </w:r>
      </w:hyperlink>
      <w:r>
        <w:t>.</w:t>
      </w:r>
    </w:p>
  </w:footnote>
  <w:footnote w:id="78">
    <w:p w14:paraId="6B7B258F" w14:textId="1CA85BCB" w:rsidR="00DE2C7B" w:rsidRDefault="00DE2C7B" w:rsidP="00B63FA0">
      <w:pPr>
        <w:pStyle w:val="FootnoteText"/>
        <w:spacing w:after="0"/>
      </w:pPr>
      <w:r w:rsidRPr="00B47E59">
        <w:rPr>
          <w:rStyle w:val="FootnoteReference"/>
          <w:szCs w:val="18"/>
        </w:rPr>
        <w:footnoteRef/>
      </w:r>
      <w:r w:rsidRPr="00B47E59">
        <w:rPr>
          <w:szCs w:val="18"/>
        </w:rPr>
        <w:t xml:space="preserve"> </w:t>
      </w:r>
      <w:r w:rsidRPr="003C1D07">
        <w:rPr>
          <w:szCs w:val="18"/>
        </w:rPr>
        <w:t xml:space="preserve">Resources and Energy Quarterly, </w:t>
      </w:r>
      <w:r>
        <w:rPr>
          <w:szCs w:val="18"/>
        </w:rPr>
        <w:t xml:space="preserve">March 2024, available </w:t>
      </w:r>
      <w:hyperlink r:id="rId47" w:history="1">
        <w:r w:rsidRPr="00EB2D45">
          <w:rPr>
            <w:rStyle w:val="Hyperlink"/>
            <w:szCs w:val="18"/>
          </w:rPr>
          <w:t>here</w:t>
        </w:r>
      </w:hyperlink>
      <w:r>
        <w:rPr>
          <w:szCs w:val="18"/>
        </w:rPr>
        <w:t>.</w:t>
      </w:r>
    </w:p>
  </w:footnote>
  <w:footnote w:id="79">
    <w:p w14:paraId="6E5CC4A0" w14:textId="667AA174" w:rsidR="00DE2C7B" w:rsidRPr="002065D0" w:rsidRDefault="00DE2C7B" w:rsidP="00C7272D">
      <w:pPr>
        <w:pStyle w:val="FootnoteText"/>
        <w:spacing w:after="0"/>
        <w:rPr>
          <w:szCs w:val="18"/>
        </w:rPr>
      </w:pPr>
      <w:r w:rsidRPr="002065D0">
        <w:rPr>
          <w:rStyle w:val="FootnoteReference"/>
          <w:szCs w:val="18"/>
        </w:rPr>
        <w:footnoteRef/>
      </w:r>
      <w:r w:rsidRPr="002065D0">
        <w:rPr>
          <w:szCs w:val="18"/>
        </w:rPr>
        <w:t xml:space="preserve"> </w:t>
      </w:r>
      <w:r>
        <w:rPr>
          <w:szCs w:val="18"/>
        </w:rPr>
        <w:t xml:space="preserve">Media release, 2021, available </w:t>
      </w:r>
      <w:hyperlink r:id="rId48" w:history="1">
        <w:r w:rsidRPr="00EB2D45">
          <w:rPr>
            <w:rStyle w:val="Hyperlink"/>
            <w:szCs w:val="18"/>
          </w:rPr>
          <w:t>here</w:t>
        </w:r>
      </w:hyperlink>
      <w:r>
        <w:rPr>
          <w:szCs w:val="18"/>
        </w:rPr>
        <w:t>.</w:t>
      </w:r>
    </w:p>
  </w:footnote>
  <w:footnote w:id="80">
    <w:p w14:paraId="77F01AB1" w14:textId="39600583" w:rsidR="00DE2C7B" w:rsidRPr="002A0C4D" w:rsidRDefault="00DE2C7B" w:rsidP="00F20DED">
      <w:pPr>
        <w:pStyle w:val="FootnoteText"/>
        <w:spacing w:after="0"/>
        <w:rPr>
          <w:szCs w:val="18"/>
        </w:rPr>
      </w:pPr>
      <w:r w:rsidRPr="002A0C4D">
        <w:rPr>
          <w:rStyle w:val="FootnoteReference"/>
          <w:szCs w:val="18"/>
        </w:rPr>
        <w:footnoteRef/>
      </w:r>
      <w:r w:rsidRPr="002A0C4D">
        <w:rPr>
          <w:szCs w:val="18"/>
        </w:rPr>
        <w:t xml:space="preserve"> </w:t>
      </w:r>
      <w:hyperlink r:id="rId49" w:history="1">
        <w:r w:rsidRPr="00EB2D45">
          <w:rPr>
            <w:rStyle w:val="Hyperlink"/>
            <w:szCs w:val="18"/>
          </w:rPr>
          <w:t>World Economic Forum</w:t>
        </w:r>
      </w:hyperlink>
      <w:r>
        <w:rPr>
          <w:szCs w:val="18"/>
        </w:rPr>
        <w:t>.</w:t>
      </w:r>
    </w:p>
  </w:footnote>
  <w:footnote w:id="81">
    <w:p w14:paraId="513D0025" w14:textId="6359941D" w:rsidR="00DE2C7B" w:rsidRPr="004651E4" w:rsidRDefault="00DE2C7B" w:rsidP="00F20DED">
      <w:pPr>
        <w:pStyle w:val="FootnoteText"/>
        <w:spacing w:after="0"/>
        <w:rPr>
          <w:szCs w:val="18"/>
        </w:rPr>
      </w:pPr>
      <w:r w:rsidRPr="004651E4">
        <w:rPr>
          <w:rStyle w:val="FootnoteReference"/>
          <w:szCs w:val="18"/>
        </w:rPr>
        <w:footnoteRef/>
      </w:r>
      <w:r w:rsidRPr="004651E4">
        <w:rPr>
          <w:szCs w:val="18"/>
        </w:rPr>
        <w:t xml:space="preserve"> </w:t>
      </w:r>
      <w:r w:rsidRPr="003C1D07">
        <w:rPr>
          <w:szCs w:val="18"/>
        </w:rPr>
        <w:t xml:space="preserve">Resources and Energy Quarterly, </w:t>
      </w:r>
      <w:r>
        <w:rPr>
          <w:szCs w:val="18"/>
        </w:rPr>
        <w:t xml:space="preserve">March 2024, available </w:t>
      </w:r>
      <w:hyperlink r:id="rId50" w:history="1">
        <w:r w:rsidRPr="00EB2D45">
          <w:rPr>
            <w:rStyle w:val="Hyperlink"/>
            <w:szCs w:val="18"/>
          </w:rPr>
          <w:t>here</w:t>
        </w:r>
      </w:hyperlink>
      <w:r>
        <w:rPr>
          <w:szCs w:val="18"/>
        </w:rPr>
        <w:t>.</w:t>
      </w:r>
    </w:p>
  </w:footnote>
  <w:footnote w:id="82">
    <w:p w14:paraId="7FEC045D" w14:textId="77777777" w:rsidR="00DE2C7B" w:rsidRDefault="00DE2C7B" w:rsidP="00B81D30">
      <w:pPr>
        <w:pStyle w:val="FootnoteText"/>
      </w:pPr>
      <w:r>
        <w:rPr>
          <w:rStyle w:val="FootnoteReference"/>
        </w:rPr>
        <w:footnoteRef/>
      </w:r>
      <w:r>
        <w:t xml:space="preserve"> Future Made in Australia - National Interest Framework, Treasury, May 2024, available </w:t>
      </w:r>
      <w:hyperlink r:id="rId51" w:history="1">
        <w:r w:rsidRPr="00A67BC2">
          <w:rPr>
            <w:rStyle w:val="Hyperlink"/>
          </w:rPr>
          <w:t>here</w:t>
        </w:r>
      </w:hyperlink>
      <w:r>
        <w:t>.</w:t>
      </w:r>
    </w:p>
  </w:footnote>
  <w:footnote w:id="83">
    <w:p w14:paraId="2C3B716C" w14:textId="2014F9D9" w:rsidR="00DE2C7B" w:rsidRPr="005D5D09" w:rsidRDefault="00DE2C7B" w:rsidP="00F20DED">
      <w:pPr>
        <w:pStyle w:val="FootnoteText"/>
        <w:spacing w:after="0"/>
        <w:rPr>
          <w:szCs w:val="18"/>
        </w:rPr>
      </w:pPr>
      <w:r w:rsidRPr="005D5D09">
        <w:rPr>
          <w:rStyle w:val="FootnoteReference"/>
          <w:szCs w:val="18"/>
        </w:rPr>
        <w:footnoteRef/>
      </w:r>
      <w:r w:rsidRPr="005D5D09">
        <w:rPr>
          <w:szCs w:val="18"/>
        </w:rPr>
        <w:t xml:space="preserve"> </w:t>
      </w:r>
      <w:hyperlink r:id="rId52" w:history="1">
        <w:r w:rsidRPr="00EB2D45">
          <w:rPr>
            <w:rStyle w:val="Hyperlink"/>
            <w:szCs w:val="18"/>
          </w:rPr>
          <w:t>Tianqi Lithium Energy Australia</w:t>
        </w:r>
      </w:hyperlink>
      <w:r>
        <w:rPr>
          <w:szCs w:val="18"/>
        </w:rPr>
        <w:t>.</w:t>
      </w:r>
    </w:p>
  </w:footnote>
  <w:footnote w:id="84">
    <w:p w14:paraId="7F7AF7E0" w14:textId="77777777" w:rsidR="00DE2C7B" w:rsidRDefault="00DE2C7B" w:rsidP="00F20DED">
      <w:pPr>
        <w:pStyle w:val="FootnoteText"/>
      </w:pPr>
      <w:r>
        <w:rPr>
          <w:rStyle w:val="FootnoteReference"/>
        </w:rPr>
        <w:footnoteRef/>
      </w:r>
      <w:r>
        <w:t xml:space="preserve"> Elasticity was estimated based on spodumene, as historical data for lithium hydroxide was unavailable.</w:t>
      </w:r>
    </w:p>
  </w:footnote>
  <w:footnote w:id="85">
    <w:p w14:paraId="2B843CB2" w14:textId="2579AA1A" w:rsidR="00DE2C7B" w:rsidRPr="00215220" w:rsidRDefault="00DE2C7B" w:rsidP="00F051D2">
      <w:pPr>
        <w:pStyle w:val="FootnoteText"/>
        <w:spacing w:after="0"/>
        <w:rPr>
          <w:szCs w:val="18"/>
        </w:rPr>
      </w:pPr>
      <w:r w:rsidRPr="00215220">
        <w:rPr>
          <w:rStyle w:val="FootnoteReference"/>
          <w:szCs w:val="18"/>
        </w:rPr>
        <w:footnoteRef/>
      </w:r>
      <w:r w:rsidRPr="00215220">
        <w:rPr>
          <w:szCs w:val="18"/>
        </w:rPr>
        <w:t xml:space="preserve"> </w:t>
      </w:r>
      <w:r w:rsidRPr="003C1D07">
        <w:rPr>
          <w:szCs w:val="18"/>
        </w:rPr>
        <w:t xml:space="preserve">Resources and Energy Quarterly, </w:t>
      </w:r>
      <w:r>
        <w:rPr>
          <w:szCs w:val="18"/>
        </w:rPr>
        <w:t xml:space="preserve">March 2024, available </w:t>
      </w:r>
      <w:hyperlink r:id="rId53" w:history="1">
        <w:r w:rsidRPr="00EB2D45">
          <w:rPr>
            <w:rStyle w:val="Hyperlink"/>
            <w:szCs w:val="18"/>
          </w:rPr>
          <w:t>here</w:t>
        </w:r>
      </w:hyperlink>
      <w:r>
        <w:rPr>
          <w:szCs w:val="18"/>
        </w:rPr>
        <w:t>.</w:t>
      </w:r>
    </w:p>
  </w:footnote>
  <w:footnote w:id="86">
    <w:p w14:paraId="0B1936EF" w14:textId="77777777" w:rsidR="00DE2C7B" w:rsidRPr="00A46061" w:rsidRDefault="00DE2C7B" w:rsidP="00FB6538">
      <w:pPr>
        <w:pStyle w:val="FootnoteText"/>
        <w:spacing w:after="0"/>
        <w:rPr>
          <w:szCs w:val="18"/>
        </w:rPr>
      </w:pPr>
      <w:r w:rsidRPr="00A46061">
        <w:rPr>
          <w:rStyle w:val="FootnoteReference"/>
          <w:szCs w:val="18"/>
        </w:rPr>
        <w:footnoteRef/>
      </w:r>
      <w:r w:rsidRPr="00A46061">
        <w:rPr>
          <w:szCs w:val="18"/>
        </w:rPr>
        <w:t xml:space="preserve"> </w:t>
      </w:r>
      <w:r>
        <w:rPr>
          <w:szCs w:val="18"/>
        </w:rPr>
        <w:t xml:space="preserve">This relates to the </w:t>
      </w:r>
      <w:r w:rsidRPr="00A46061">
        <w:rPr>
          <w:szCs w:val="18"/>
        </w:rPr>
        <w:t xml:space="preserve">run-of-mine metal ores </w:t>
      </w:r>
      <w:r>
        <w:rPr>
          <w:szCs w:val="18"/>
        </w:rPr>
        <w:t xml:space="preserve">production variable </w:t>
      </w:r>
      <w:r w:rsidRPr="00A46061">
        <w:rPr>
          <w:szCs w:val="18"/>
        </w:rPr>
        <w:t>under the Safeguard Rule 2015.</w:t>
      </w:r>
    </w:p>
  </w:footnote>
  <w:footnote w:id="87">
    <w:p w14:paraId="615D2020" w14:textId="3F774560" w:rsidR="00DE2C7B" w:rsidRDefault="00DE2C7B" w:rsidP="00FB6538">
      <w:pPr>
        <w:pStyle w:val="FootnoteText"/>
        <w:spacing w:after="0"/>
      </w:pPr>
      <w:r w:rsidRPr="009753A0">
        <w:rPr>
          <w:rStyle w:val="FootnoteReference"/>
          <w:szCs w:val="18"/>
        </w:rPr>
        <w:footnoteRef/>
      </w:r>
      <w:r w:rsidRPr="009753A0">
        <w:rPr>
          <w:szCs w:val="18"/>
        </w:rPr>
        <w:t xml:space="preserve"> </w:t>
      </w:r>
      <w:r>
        <w:rPr>
          <w:szCs w:val="18"/>
        </w:rPr>
        <w:t xml:space="preserve">Safeguard Mechanism: prescribed production variables and default emissions intensities, available </w:t>
      </w:r>
      <w:hyperlink r:id="rId54" w:history="1">
        <w:r w:rsidRPr="00EB2D45">
          <w:rPr>
            <w:rStyle w:val="Hyperlink"/>
            <w:szCs w:val="18"/>
          </w:rPr>
          <w:t>here</w:t>
        </w:r>
      </w:hyperlink>
      <w:r>
        <w:rPr>
          <w:szCs w:val="18"/>
        </w:rPr>
        <w:t>.</w:t>
      </w:r>
    </w:p>
  </w:footnote>
  <w:footnote w:id="88">
    <w:p w14:paraId="4CA65965" w14:textId="2C590C1B" w:rsidR="00DE2C7B" w:rsidRDefault="00DE2C7B" w:rsidP="00FB6538">
      <w:pPr>
        <w:pStyle w:val="FootnoteText"/>
        <w:spacing w:after="0"/>
      </w:pPr>
      <w:r>
        <w:rPr>
          <w:rStyle w:val="FootnoteReference"/>
        </w:rPr>
        <w:footnoteRef/>
      </w:r>
      <w:r>
        <w:t xml:space="preserve"> </w:t>
      </w:r>
      <w:r w:rsidRPr="003C1D07">
        <w:rPr>
          <w:szCs w:val="18"/>
        </w:rPr>
        <w:t xml:space="preserve">Resources and Energy Quarterly, </w:t>
      </w:r>
      <w:r>
        <w:rPr>
          <w:szCs w:val="18"/>
        </w:rPr>
        <w:t xml:space="preserve">March 2024, available </w:t>
      </w:r>
      <w:hyperlink r:id="rId55" w:history="1">
        <w:r w:rsidRPr="00EB2D45">
          <w:rPr>
            <w:rStyle w:val="Hyperlink"/>
            <w:szCs w:val="18"/>
          </w:rPr>
          <w:t>here</w:t>
        </w:r>
      </w:hyperlink>
      <w:r>
        <w:rPr>
          <w:szCs w:val="18"/>
        </w:rPr>
        <w:t>.</w:t>
      </w:r>
    </w:p>
  </w:footnote>
  <w:footnote w:id="89">
    <w:p w14:paraId="24C05581" w14:textId="65C2C876" w:rsidR="00DE2C7B" w:rsidRDefault="00DE2C7B" w:rsidP="00FB6538">
      <w:pPr>
        <w:pStyle w:val="FootnoteText"/>
        <w:spacing w:after="0"/>
      </w:pPr>
      <w:r>
        <w:rPr>
          <w:rStyle w:val="FootnoteReference"/>
        </w:rPr>
        <w:footnoteRef/>
      </w:r>
      <w:r>
        <w:t xml:space="preserve"> </w:t>
      </w:r>
      <w:r>
        <w:rPr>
          <w:szCs w:val="18"/>
        </w:rPr>
        <w:t>Ibid.</w:t>
      </w:r>
    </w:p>
  </w:footnote>
  <w:footnote w:id="90">
    <w:p w14:paraId="019CF93A" w14:textId="53291162" w:rsidR="00DE2C7B" w:rsidRPr="0061099C" w:rsidRDefault="00DE2C7B" w:rsidP="00186937">
      <w:pPr>
        <w:pStyle w:val="FootnoteText"/>
        <w:spacing w:after="0"/>
        <w:rPr>
          <w:szCs w:val="18"/>
        </w:rPr>
      </w:pPr>
      <w:r w:rsidRPr="0061099C">
        <w:rPr>
          <w:rStyle w:val="FootnoteReference"/>
          <w:szCs w:val="18"/>
        </w:rPr>
        <w:footnoteRef/>
      </w:r>
      <w:r w:rsidRPr="0061099C">
        <w:rPr>
          <w:szCs w:val="18"/>
        </w:rPr>
        <w:t xml:space="preserve"> </w:t>
      </w:r>
      <w:r>
        <w:rPr>
          <w:szCs w:val="18"/>
        </w:rPr>
        <w:t>Ibid.</w:t>
      </w:r>
      <w:r w:rsidRPr="0061099C">
        <w:rPr>
          <w:szCs w:val="18"/>
        </w:rPr>
        <w:t xml:space="preserve"> </w:t>
      </w:r>
    </w:p>
  </w:footnote>
  <w:footnote w:id="91">
    <w:p w14:paraId="7E11E4DB" w14:textId="77777777" w:rsidR="00DE2C7B" w:rsidRPr="003E314A" w:rsidRDefault="00DE2C7B" w:rsidP="00153FFA">
      <w:pPr>
        <w:spacing w:after="0" w:line="240" w:lineRule="auto"/>
        <w:rPr>
          <w:sz w:val="18"/>
          <w:szCs w:val="18"/>
        </w:rPr>
      </w:pPr>
      <w:r w:rsidRPr="006A3670">
        <w:rPr>
          <w:rStyle w:val="FootnoteReference"/>
          <w:sz w:val="18"/>
          <w:szCs w:val="18"/>
        </w:rPr>
        <w:footnoteRef/>
      </w:r>
      <w:r w:rsidRPr="006A3670">
        <w:rPr>
          <w:sz w:val="18"/>
          <w:szCs w:val="18"/>
        </w:rPr>
        <w:t xml:space="preserve"> PVs covered include primary nickel from nickel bearing inputs, primary nickel from imported intermediate nickel products, </w:t>
      </w:r>
      <w:r>
        <w:rPr>
          <w:sz w:val="18"/>
          <w:szCs w:val="18"/>
        </w:rPr>
        <w:t xml:space="preserve">and </w:t>
      </w:r>
      <w:r w:rsidRPr="006A3670">
        <w:rPr>
          <w:sz w:val="18"/>
          <w:szCs w:val="18"/>
        </w:rPr>
        <w:t>intermediate nickel from nickel bearing inputs</w:t>
      </w:r>
      <w:r>
        <w:rPr>
          <w:sz w:val="18"/>
          <w:szCs w:val="18"/>
        </w:rPr>
        <w:t>.</w:t>
      </w:r>
    </w:p>
  </w:footnote>
  <w:footnote w:id="92">
    <w:p w14:paraId="0F85AE02" w14:textId="1D726691" w:rsidR="00DE2C7B" w:rsidRDefault="00DE2C7B" w:rsidP="00153FFA">
      <w:pPr>
        <w:pStyle w:val="FootnoteText"/>
        <w:spacing w:after="0"/>
      </w:pPr>
      <w:r w:rsidRPr="00E92538">
        <w:rPr>
          <w:rStyle w:val="FootnoteReference"/>
          <w:szCs w:val="18"/>
        </w:rPr>
        <w:footnoteRef/>
      </w:r>
      <w:r w:rsidRPr="00E92538">
        <w:rPr>
          <w:szCs w:val="18"/>
        </w:rPr>
        <w:t xml:space="preserve"> </w:t>
      </w:r>
      <w:r w:rsidRPr="003C1D07">
        <w:rPr>
          <w:szCs w:val="18"/>
        </w:rPr>
        <w:t xml:space="preserve">Resources and Energy Quarterly, </w:t>
      </w:r>
      <w:r>
        <w:rPr>
          <w:szCs w:val="18"/>
        </w:rPr>
        <w:t xml:space="preserve">March 2024, available </w:t>
      </w:r>
      <w:hyperlink r:id="rId56" w:history="1">
        <w:r w:rsidRPr="00EB2D45">
          <w:rPr>
            <w:rStyle w:val="Hyperlink"/>
            <w:szCs w:val="18"/>
          </w:rPr>
          <w:t>here</w:t>
        </w:r>
      </w:hyperlink>
      <w:r>
        <w:rPr>
          <w:szCs w:val="18"/>
        </w:rPr>
        <w:t>.</w:t>
      </w:r>
    </w:p>
  </w:footnote>
  <w:footnote w:id="93">
    <w:p w14:paraId="167138E7" w14:textId="09F7A2B1" w:rsidR="00DE2C7B" w:rsidRDefault="00DE2C7B" w:rsidP="00153FFA">
      <w:pPr>
        <w:pStyle w:val="FootnoteText"/>
        <w:spacing w:after="0"/>
      </w:pPr>
      <w:r>
        <w:rPr>
          <w:rStyle w:val="FootnoteReference"/>
        </w:rPr>
        <w:footnoteRef/>
      </w:r>
      <w:r>
        <w:t xml:space="preserve"> </w:t>
      </w:r>
      <w:r>
        <w:rPr>
          <w:szCs w:val="18"/>
        </w:rPr>
        <w:t>Ibid.</w:t>
      </w:r>
      <w:r>
        <w:t xml:space="preserve"> </w:t>
      </w:r>
    </w:p>
  </w:footnote>
  <w:footnote w:id="94">
    <w:p w14:paraId="10A0B5E9" w14:textId="113C49F4" w:rsidR="00DE2C7B" w:rsidRPr="009471FC" w:rsidRDefault="00DE2C7B" w:rsidP="00153FFA">
      <w:pPr>
        <w:pStyle w:val="FootnoteText"/>
        <w:spacing w:after="0"/>
        <w:rPr>
          <w:szCs w:val="18"/>
        </w:rPr>
      </w:pPr>
      <w:r w:rsidRPr="009471FC">
        <w:rPr>
          <w:rStyle w:val="FootnoteReference"/>
          <w:szCs w:val="18"/>
        </w:rPr>
        <w:footnoteRef/>
      </w:r>
      <w:r>
        <w:rPr>
          <w:szCs w:val="18"/>
        </w:rPr>
        <w:t xml:space="preserve"> Ibid.</w:t>
      </w:r>
      <w:r w:rsidRPr="009471FC">
        <w:rPr>
          <w:szCs w:val="18"/>
        </w:rPr>
        <w:t xml:space="preserve"> </w:t>
      </w:r>
    </w:p>
  </w:footnote>
  <w:footnote w:id="95">
    <w:p w14:paraId="006F63C5" w14:textId="1F4413DF" w:rsidR="00DE2C7B" w:rsidRPr="00145B67" w:rsidRDefault="00DE2C7B" w:rsidP="00EC7FF1">
      <w:pPr>
        <w:pStyle w:val="FootnoteText"/>
        <w:spacing w:after="0"/>
        <w:rPr>
          <w:szCs w:val="18"/>
        </w:rPr>
      </w:pPr>
      <w:r w:rsidRPr="00145B67">
        <w:rPr>
          <w:rStyle w:val="FootnoteReference"/>
          <w:szCs w:val="18"/>
        </w:rPr>
        <w:footnoteRef/>
      </w:r>
      <w:r w:rsidRPr="00145B67">
        <w:rPr>
          <w:szCs w:val="18"/>
        </w:rPr>
        <w:t xml:space="preserve"> </w:t>
      </w:r>
      <w:r>
        <w:rPr>
          <w:szCs w:val="18"/>
        </w:rPr>
        <w:t xml:space="preserve">UK HM Treasury, Factsheet, 18 December 2023, available </w:t>
      </w:r>
      <w:hyperlink r:id="rId57" w:history="1">
        <w:r w:rsidRPr="007D52CA">
          <w:rPr>
            <w:rStyle w:val="Hyperlink"/>
            <w:szCs w:val="18"/>
          </w:rPr>
          <w:t>here</w:t>
        </w:r>
      </w:hyperlink>
      <w:r>
        <w:rPr>
          <w:szCs w:val="18"/>
        </w:rPr>
        <w:t>.</w:t>
      </w:r>
    </w:p>
  </w:footnote>
  <w:footnote w:id="96">
    <w:p w14:paraId="4C5331EA" w14:textId="46778D15" w:rsidR="00DE2C7B" w:rsidRDefault="00DE2C7B" w:rsidP="00EC7FF1">
      <w:pPr>
        <w:pStyle w:val="FootnoteText"/>
        <w:spacing w:after="0"/>
      </w:pPr>
      <w:r w:rsidRPr="00F04079">
        <w:rPr>
          <w:rStyle w:val="FootnoteReference"/>
          <w:szCs w:val="18"/>
        </w:rPr>
        <w:footnoteRef/>
      </w:r>
      <w:r w:rsidRPr="00F04079">
        <w:rPr>
          <w:szCs w:val="18"/>
        </w:rPr>
        <w:t xml:space="preserve"> </w:t>
      </w:r>
      <w:r>
        <w:rPr>
          <w:szCs w:val="18"/>
        </w:rPr>
        <w:t xml:space="preserve">Government of Canada, Exploring Border Carbon Adjustments for Canada, 2021, available </w:t>
      </w:r>
      <w:hyperlink r:id="rId58" w:history="1">
        <w:r w:rsidRPr="007D52CA">
          <w:rPr>
            <w:rStyle w:val="Hyperlink"/>
            <w:szCs w:val="18"/>
          </w:rPr>
          <w:t>here</w:t>
        </w:r>
      </w:hyperlink>
      <w:r>
        <w:rPr>
          <w:szCs w:val="18"/>
        </w:rPr>
        <w:t xml:space="preserve">. </w:t>
      </w:r>
      <w:r>
        <w:t xml:space="preserve"> </w:t>
      </w:r>
    </w:p>
  </w:footnote>
  <w:footnote w:id="97">
    <w:p w14:paraId="2EAEC470" w14:textId="0F923BB5" w:rsidR="00DE2C7B" w:rsidRPr="00774DB3" w:rsidRDefault="00DE2C7B" w:rsidP="00EC7FF1">
      <w:pPr>
        <w:pStyle w:val="FootnoteText"/>
        <w:rPr>
          <w:szCs w:val="18"/>
        </w:rPr>
      </w:pPr>
      <w:r w:rsidRPr="00774DB3">
        <w:rPr>
          <w:rStyle w:val="FootnoteReference"/>
          <w:szCs w:val="18"/>
        </w:rPr>
        <w:footnoteRef/>
      </w:r>
      <w:r w:rsidRPr="00774DB3">
        <w:rPr>
          <w:szCs w:val="18"/>
        </w:rPr>
        <w:t xml:space="preserve"> </w:t>
      </w:r>
      <w:r>
        <w:rPr>
          <w:szCs w:val="18"/>
        </w:rPr>
        <w:t xml:space="preserve">US Government, 16 April 2024, available </w:t>
      </w:r>
      <w:hyperlink r:id="rId59" w:history="1">
        <w:r w:rsidRPr="007D52CA">
          <w:rPr>
            <w:rStyle w:val="Hyperlink"/>
            <w:szCs w:val="18"/>
          </w:rPr>
          <w:t>here</w:t>
        </w:r>
      </w:hyperlink>
      <w:r>
        <w:rPr>
          <w:szCs w:val="18"/>
        </w:rPr>
        <w:t>.</w:t>
      </w:r>
    </w:p>
  </w:footnote>
  <w:footnote w:id="98">
    <w:p w14:paraId="01B2C73F" w14:textId="01265C16" w:rsidR="00DE2C7B" w:rsidRDefault="00DE2C7B">
      <w:pPr>
        <w:pStyle w:val="FootnoteText"/>
      </w:pPr>
      <w:r>
        <w:rPr>
          <w:rStyle w:val="FootnoteReference"/>
        </w:rPr>
        <w:footnoteRef/>
      </w:r>
      <w:r>
        <w:t xml:space="preserve"> World Trade Institute, The EU Proposal for a CBAM: An analysis under WTO and Climate Change Law, 2022, available </w:t>
      </w:r>
      <w:hyperlink r:id="rId60" w:history="1">
        <w:r w:rsidRPr="00820C61">
          <w:rPr>
            <w:rStyle w:val="Hyperlink"/>
          </w:rPr>
          <w:t>here</w:t>
        </w:r>
      </w:hyperlink>
      <w:r>
        <w:t>.</w:t>
      </w:r>
    </w:p>
  </w:footnote>
  <w:footnote w:id="99">
    <w:p w14:paraId="42926519" w14:textId="259D1F4A" w:rsidR="00DE2C7B" w:rsidRDefault="00DE2C7B">
      <w:pPr>
        <w:pStyle w:val="FootnoteText"/>
      </w:pPr>
      <w:r>
        <w:rPr>
          <w:rStyle w:val="FootnoteReference"/>
        </w:rPr>
        <w:footnoteRef/>
      </w:r>
      <w:r>
        <w:t xml:space="preserve"> For example, the World Steel Association has developed a methodology for calculating the emissions intensity of steel using common definitions and boundaries. Further information available </w:t>
      </w:r>
      <w:hyperlink r:id="rId61" w:history="1">
        <w:r w:rsidRPr="00E0611F">
          <w:rPr>
            <w:rStyle w:val="Hyperlink"/>
          </w:rPr>
          <w:t>here</w:t>
        </w:r>
      </w:hyperlink>
      <w:r>
        <w:t>.</w:t>
      </w:r>
    </w:p>
  </w:footnote>
  <w:footnote w:id="100">
    <w:p w14:paraId="053D462E" w14:textId="77777777" w:rsidR="00DE2C7B" w:rsidRDefault="00DE2C7B" w:rsidP="00EE2C6F">
      <w:pPr>
        <w:pStyle w:val="FootnoteText"/>
      </w:pPr>
      <w:r>
        <w:rPr>
          <w:rStyle w:val="FootnoteReference"/>
        </w:rPr>
        <w:footnoteRef/>
      </w:r>
      <w:r>
        <w:t xml:space="preserve"> Other policies focus on reducing emissions in the electricity sector including the Powering Australia plan, but these do not impose a liability on domestic producers and therefore could not be included in calculating a border carbon adjustment liability. </w:t>
      </w:r>
    </w:p>
  </w:footnote>
  <w:footnote w:id="101">
    <w:p w14:paraId="1ABA11E1" w14:textId="146278D2" w:rsidR="00DE2C7B" w:rsidRDefault="00DE2C7B">
      <w:pPr>
        <w:pStyle w:val="FootnoteText"/>
      </w:pPr>
      <w:r>
        <w:rPr>
          <w:rStyle w:val="FootnoteReference"/>
        </w:rPr>
        <w:footnoteRef/>
      </w:r>
      <w:r>
        <w:t xml:space="preserve"> </w:t>
      </w:r>
      <w:r w:rsidRPr="00207AC9">
        <w:t>I</w:t>
      </w:r>
      <w:r>
        <w:t xml:space="preserve">nternational </w:t>
      </w:r>
      <w:r w:rsidRPr="00207AC9">
        <w:t>M</w:t>
      </w:r>
      <w:r>
        <w:t xml:space="preserve">aritime </w:t>
      </w:r>
      <w:r w:rsidRPr="00207AC9">
        <w:t>O</w:t>
      </w:r>
      <w:r>
        <w:t>rganisation,</w:t>
      </w:r>
      <w:r w:rsidRPr="00207AC9">
        <w:t xml:space="preserve"> Strategy on Reduction of GHG Emissions from Ships</w:t>
      </w:r>
      <w:r>
        <w:t xml:space="preserve">, 2023, available </w:t>
      </w:r>
      <w:hyperlink r:id="rId62" w:history="1">
        <w:r w:rsidRPr="00A226ED">
          <w:rPr>
            <w:rStyle w:val="Hyperlink"/>
          </w:rPr>
          <w:t>here</w:t>
        </w:r>
      </w:hyperlink>
      <w:r>
        <w:t>.</w:t>
      </w:r>
    </w:p>
  </w:footnote>
  <w:footnote w:id="102">
    <w:p w14:paraId="6F4C9CEF" w14:textId="77777777" w:rsidR="00DE2C7B" w:rsidRDefault="00DE2C7B">
      <w:pPr>
        <w:pStyle w:val="FootnoteText"/>
      </w:pPr>
      <w:r>
        <w:rPr>
          <w:rStyle w:val="FootnoteReference"/>
        </w:rPr>
        <w:footnoteRef/>
      </w:r>
      <w:r>
        <w:t xml:space="preserve"> This may differ from other border carbon adjustments, as it reflects Australia’s specific Safeguard Mechanism settings. If an overseas climate policy provides no right to emit up to a baseline, then a liability would accrue for domestic producers at any emission intensity, which would mean a border carbon adjustment would apply regardless of emission intensity. This is the case under the EU CBAM. </w:t>
      </w:r>
    </w:p>
  </w:footnote>
  <w:footnote w:id="103">
    <w:p w14:paraId="692D5F81" w14:textId="267F658A" w:rsidR="00DE2C7B" w:rsidRDefault="00DE2C7B">
      <w:pPr>
        <w:pStyle w:val="FootnoteText"/>
      </w:pPr>
      <w:r>
        <w:rPr>
          <w:rStyle w:val="FootnoteReference"/>
        </w:rPr>
        <w:footnoteRef/>
      </w:r>
      <w:r>
        <w:t xml:space="preserve"> </w:t>
      </w:r>
      <w:r w:rsidRPr="00806CA1">
        <w:rPr>
          <w:i/>
          <w:iCs/>
        </w:rPr>
        <w:t xml:space="preserve">National Greenhouse and Energy Reporting (Safeguard Mechanism) Rule 2015, </w:t>
      </w:r>
      <w:r w:rsidRPr="00806CA1">
        <w:t>availabl</w:t>
      </w:r>
      <w:r w:rsidR="00806CA1" w:rsidRPr="00806CA1">
        <w:t xml:space="preserve">e </w:t>
      </w:r>
      <w:hyperlink r:id="rId63" w:history="1">
        <w:r w:rsidR="00806CA1" w:rsidRPr="00806CA1">
          <w:rPr>
            <w:rStyle w:val="Hyperlink"/>
          </w:rPr>
          <w:t>here</w:t>
        </w:r>
      </w:hyperlink>
      <w:r w:rsidR="00806CA1" w:rsidRPr="00806CA1">
        <w:t>.</w:t>
      </w:r>
    </w:p>
  </w:footnote>
  <w:footnote w:id="104">
    <w:p w14:paraId="73DECEC9" w14:textId="77777777" w:rsidR="00DE2C7B" w:rsidRPr="000E035F" w:rsidRDefault="00DE2C7B" w:rsidP="00085F8A">
      <w:pPr>
        <w:pStyle w:val="FootnoteText"/>
        <w:rPr>
          <w:lang w:val="en-US"/>
        </w:rPr>
      </w:pPr>
      <w:r>
        <w:rPr>
          <w:rStyle w:val="FootnoteReference"/>
        </w:rPr>
        <w:footnoteRef/>
      </w:r>
      <w:r>
        <w:t xml:space="preserve"> </w:t>
      </w:r>
      <w:r>
        <w:rPr>
          <w:lang w:val="en-US"/>
        </w:rPr>
        <w:t xml:space="preserve">International carbon prices are taken from the World Bank Carbon Pricing Database and discounted by the coverage of national emissions reported by the World Bank. </w:t>
      </w:r>
    </w:p>
  </w:footnote>
  <w:footnote w:id="105">
    <w:p w14:paraId="45AFE496" w14:textId="4A038A52" w:rsidR="00DE2C7B" w:rsidRPr="007C10A6" w:rsidRDefault="00DE2C7B" w:rsidP="00085F8A">
      <w:pPr>
        <w:pStyle w:val="FootnoteText"/>
        <w:rPr>
          <w:szCs w:val="18"/>
        </w:rPr>
      </w:pPr>
      <w:r>
        <w:rPr>
          <w:rStyle w:val="FootnoteReference"/>
          <w:szCs w:val="18"/>
        </w:rPr>
        <w:footnoteRef/>
      </w:r>
      <w:r>
        <w:rPr>
          <w:szCs w:val="18"/>
        </w:rPr>
        <w:t xml:space="preserve"> Based on the gross value add sum of Basic chemical manufacturing, Cement, lime and ready-mixed concrete manufacturing, and Iron and steel manufacturing industries in </w:t>
      </w:r>
      <w:r w:rsidRPr="007C10A6">
        <w:rPr>
          <w:szCs w:val="18"/>
        </w:rPr>
        <w:t>the 2021-22 ABS input output table 2.</w:t>
      </w:r>
    </w:p>
  </w:footnote>
  <w:footnote w:id="106">
    <w:p w14:paraId="07E13A2B" w14:textId="04DE58BD" w:rsidR="00DE2C7B" w:rsidRDefault="00DE2C7B" w:rsidP="00085F8A">
      <w:pPr>
        <w:pStyle w:val="FootnoteText"/>
      </w:pPr>
      <w:r w:rsidRPr="007C10A6">
        <w:rPr>
          <w:rStyle w:val="FootnoteReference"/>
          <w:szCs w:val="18"/>
        </w:rPr>
        <w:footnoteRef/>
      </w:r>
      <w:r w:rsidRPr="007C10A6">
        <w:rPr>
          <w:szCs w:val="18"/>
        </w:rPr>
        <w:t xml:space="preserve"> Based on the sum of Basic chemical manufacturing, Cement, lime and ready-mixed concrete manufacturing, and Iron and steel manufacturing industries total value of competing imports in the 2021-22</w:t>
      </w:r>
      <w:r>
        <w:rPr>
          <w:szCs w:val="18"/>
        </w:rPr>
        <w:t xml:space="preserve"> ABS input output table 3.</w:t>
      </w:r>
    </w:p>
  </w:footnote>
  <w:footnote w:id="107">
    <w:p w14:paraId="7F49B6B7" w14:textId="77777777" w:rsidR="00DE2C7B" w:rsidRPr="005B63AA" w:rsidRDefault="00DE2C7B" w:rsidP="009F5EE5">
      <w:pPr>
        <w:pStyle w:val="FootnoteText"/>
        <w:rPr>
          <w:lang w:val="en-US"/>
        </w:rPr>
      </w:pPr>
      <w:r>
        <w:rPr>
          <w:rStyle w:val="FootnoteReference"/>
        </w:rPr>
        <w:footnoteRef/>
      </w:r>
      <w:r>
        <w:t xml:space="preserve"> </w:t>
      </w:r>
      <w:r>
        <w:rPr>
          <w:lang w:val="en-US"/>
        </w:rPr>
        <w:t xml:space="preserve">This increase was predominantly driven by steel imports, which accounted for 1.8% industry imports in 2021-22, up from 1.2% in 2020-21. Source: DFAT Input Output Model. </w:t>
      </w:r>
    </w:p>
  </w:footnote>
  <w:footnote w:id="108">
    <w:p w14:paraId="49F373FB" w14:textId="77777777" w:rsidR="00DE2C7B" w:rsidRDefault="00DE2C7B">
      <w:pPr>
        <w:pStyle w:val="FootnoteText"/>
      </w:pPr>
      <w:r>
        <w:rPr>
          <w:rStyle w:val="FootnoteReference"/>
        </w:rPr>
        <w:footnoteRef/>
      </w:r>
      <w:r>
        <w:t xml:space="preserve"> Source: DFAT Input-Output model.</w:t>
      </w:r>
    </w:p>
  </w:footnote>
  <w:footnote w:id="109">
    <w:p w14:paraId="1BB5346F" w14:textId="408DA637" w:rsidR="00DE2C7B" w:rsidRPr="002C448D" w:rsidRDefault="00DE2C7B" w:rsidP="009F5EE5">
      <w:pPr>
        <w:pStyle w:val="FootnoteText"/>
        <w:rPr>
          <w:lang w:val="en-US"/>
        </w:rPr>
      </w:pPr>
      <w:r>
        <w:rPr>
          <w:rStyle w:val="FootnoteReference"/>
        </w:rPr>
        <w:footnoteRef/>
      </w:r>
      <w:r>
        <w:t xml:space="preserve"> </w:t>
      </w:r>
      <w:r>
        <w:rPr>
          <w:lang w:val="en-US"/>
        </w:rPr>
        <w:t xml:space="preserve">Further discussion relating to price impacts is included in the Annex.  </w:t>
      </w:r>
    </w:p>
  </w:footnote>
  <w:footnote w:id="110">
    <w:p w14:paraId="11A94E69" w14:textId="32038F67" w:rsidR="00DE2C7B" w:rsidRDefault="00DE2C7B" w:rsidP="009F5EE5">
      <w:pPr>
        <w:pStyle w:val="FootnoteText"/>
      </w:pPr>
      <w:r>
        <w:rPr>
          <w:rStyle w:val="FootnoteReference"/>
        </w:rPr>
        <w:footnoteRef/>
      </w:r>
      <w:r>
        <w:t xml:space="preserve"> See submission from the Australian Chamber of Commerce and Industry. </w:t>
      </w:r>
    </w:p>
  </w:footnote>
  <w:footnote w:id="111">
    <w:p w14:paraId="2731BB95" w14:textId="77777777" w:rsidR="00DE2C7B" w:rsidRPr="00AB4B9F" w:rsidRDefault="00DE2C7B" w:rsidP="009F5EE5">
      <w:pPr>
        <w:pStyle w:val="FootnoteText"/>
        <w:rPr>
          <w:rFonts w:cs="Calibri"/>
          <w:szCs w:val="18"/>
        </w:rPr>
      </w:pPr>
      <w:r w:rsidRPr="00AB4B9F">
        <w:rPr>
          <w:rStyle w:val="FootnoteReference"/>
          <w:rFonts w:cs="Calibri"/>
          <w:szCs w:val="18"/>
        </w:rPr>
        <w:footnoteRef/>
      </w:r>
      <w:r w:rsidRPr="00AB4B9F">
        <w:rPr>
          <w:rFonts w:cs="Calibri"/>
          <w:szCs w:val="18"/>
        </w:rPr>
        <w:t xml:space="preserve"> </w:t>
      </w:r>
      <w:r>
        <w:rPr>
          <w:rFonts w:cs="Calibri"/>
          <w:szCs w:val="18"/>
        </w:rPr>
        <w:t>See</w:t>
      </w:r>
      <w:r w:rsidRPr="00AB4B9F">
        <w:rPr>
          <w:rFonts w:cs="Calibri"/>
          <w:szCs w:val="18"/>
        </w:rPr>
        <w:t xml:space="preserve"> submissions from the Chamber of Minerals and Energy of Western Australia and Bluescope.</w:t>
      </w:r>
    </w:p>
  </w:footnote>
  <w:footnote w:id="112">
    <w:p w14:paraId="39F607C4" w14:textId="4C9C7746" w:rsidR="00DE2C7B" w:rsidRPr="00AB4B9F" w:rsidRDefault="00DE2C7B" w:rsidP="009F5EE5">
      <w:pPr>
        <w:pStyle w:val="FootnoteText"/>
        <w:rPr>
          <w:rFonts w:cs="Calibri"/>
          <w:szCs w:val="18"/>
        </w:rPr>
      </w:pPr>
      <w:r w:rsidRPr="00AB4B9F">
        <w:rPr>
          <w:rStyle w:val="FootnoteReference"/>
          <w:rFonts w:cs="Calibri"/>
          <w:szCs w:val="18"/>
        </w:rPr>
        <w:footnoteRef/>
      </w:r>
      <w:r w:rsidRPr="00AB4B9F">
        <w:rPr>
          <w:rFonts w:cs="Calibri"/>
          <w:szCs w:val="18"/>
        </w:rPr>
        <w:t xml:space="preserve"> </w:t>
      </w:r>
      <w:r>
        <w:rPr>
          <w:rFonts w:cs="Calibri"/>
          <w:szCs w:val="18"/>
        </w:rPr>
        <w:t>See</w:t>
      </w:r>
      <w:r w:rsidRPr="00AB4B9F">
        <w:rPr>
          <w:rFonts w:cs="Calibri"/>
          <w:szCs w:val="18"/>
        </w:rPr>
        <w:t xml:space="preserve"> </w:t>
      </w:r>
      <w:hyperlink r:id="rId64" w:history="1">
        <w:r>
          <w:rPr>
            <w:rStyle w:val="Hyperlink"/>
            <w:rFonts w:cs="Calibri"/>
          </w:rPr>
          <w:t>Mission Impossible Partnership</w:t>
        </w:r>
      </w:hyperlink>
      <w:r w:rsidRPr="00AB4B9F">
        <w:rPr>
          <w:rFonts w:cs="Calibri"/>
          <w:szCs w:val="18"/>
        </w:rPr>
        <w:t>.</w:t>
      </w:r>
    </w:p>
  </w:footnote>
  <w:footnote w:id="113">
    <w:p w14:paraId="19A8E310" w14:textId="455E593E" w:rsidR="00DE2C7B" w:rsidRPr="0027578A" w:rsidRDefault="00DE2C7B" w:rsidP="009F5EE5">
      <w:pPr>
        <w:pStyle w:val="FootnoteText"/>
        <w:rPr>
          <w:lang w:val="en-US"/>
        </w:rPr>
      </w:pPr>
      <w:r>
        <w:rPr>
          <w:rStyle w:val="FootnoteReference"/>
        </w:rPr>
        <w:footnoteRef/>
      </w:r>
      <w:r>
        <w:t xml:space="preserve"> </w:t>
      </w:r>
      <w:r w:rsidDel="0045447A">
        <w:rPr>
          <w:rFonts w:ascii="Calibri" w:eastAsia="Calibri" w:hAnsi="Calibri" w:cs="Calibri"/>
          <w:color w:val="000000"/>
          <w:szCs w:val="18"/>
        </w:rPr>
        <w:t>Price at</w:t>
      </w:r>
      <w:r>
        <w:rPr>
          <w:rFonts w:ascii="Calibri" w:eastAsia="Calibri" w:hAnsi="Calibri" w:cs="Calibri"/>
          <w:color w:val="000000"/>
          <w:szCs w:val="18"/>
        </w:rPr>
        <w:t xml:space="preserve"> 2030</w:t>
      </w:r>
      <w:r w:rsidRPr="00E352CB">
        <w:rPr>
          <w:rFonts w:ascii="Calibri" w:eastAsia="Calibri" w:hAnsi="Calibri" w:cs="Calibri"/>
          <w:color w:val="000000"/>
          <w:szCs w:val="18"/>
        </w:rPr>
        <w:t xml:space="preserve"> assumes emissions intensity of products are constant</w:t>
      </w:r>
      <w:r>
        <w:rPr>
          <w:rFonts w:ascii="Calibri" w:eastAsia="Calibri" w:hAnsi="Calibri" w:cs="Calibri"/>
          <w:color w:val="000000"/>
          <w:szCs w:val="18"/>
        </w:rPr>
        <w:t xml:space="preserve">. Carbon cost estimates assume a 2030 ACCU price consistent with Australia’s emissions projections and no carbon costs in the base price. Commodity prices are based on indicative consumer prices. </w:t>
      </w:r>
    </w:p>
  </w:footnote>
  <w:footnote w:id="114">
    <w:p w14:paraId="62FEF013" w14:textId="3C8A0B0E" w:rsidR="00DE2C7B" w:rsidRPr="00D434C8" w:rsidRDefault="00DE2C7B" w:rsidP="009F5EE5">
      <w:pPr>
        <w:pStyle w:val="FootnoteText"/>
        <w:rPr>
          <w:szCs w:val="18"/>
          <w:lang w:val="en-US"/>
        </w:rPr>
      </w:pPr>
      <w:r w:rsidRPr="00D434C8">
        <w:rPr>
          <w:rStyle w:val="FootnoteReference"/>
          <w:szCs w:val="18"/>
        </w:rPr>
        <w:footnoteRef/>
      </w:r>
      <w:r w:rsidRPr="00D434C8">
        <w:rPr>
          <w:szCs w:val="18"/>
        </w:rPr>
        <w:t xml:space="preserve"> </w:t>
      </w:r>
      <w:r w:rsidRPr="00D434C8">
        <w:rPr>
          <w:rFonts w:ascii="Calibri" w:eastAsia="Calibri" w:hAnsi="Calibri" w:cs="Calibri"/>
          <w:color w:val="000000"/>
          <w:szCs w:val="18"/>
        </w:rPr>
        <w:t>Price at 2030 assumes emissions intensity of products are constant.</w:t>
      </w:r>
      <w:r>
        <w:rPr>
          <w:rFonts w:ascii="Calibri" w:eastAsia="Calibri" w:hAnsi="Calibri" w:cs="Calibri"/>
          <w:color w:val="000000"/>
          <w:szCs w:val="18"/>
        </w:rPr>
        <w:t xml:space="preserve"> Carbon cost estimates assume a 2030 ACCU price consistent with Australia’s</w:t>
      </w:r>
      <w:r w:rsidRPr="00C32E76">
        <w:rPr>
          <w:rFonts w:ascii="Calibri" w:eastAsia="Calibri" w:hAnsi="Calibri" w:cs="Calibri"/>
          <w:color w:val="000000"/>
          <w:szCs w:val="18"/>
        </w:rPr>
        <w:t xml:space="preserve"> </w:t>
      </w:r>
      <w:r>
        <w:rPr>
          <w:rFonts w:ascii="Calibri" w:eastAsia="Calibri" w:hAnsi="Calibri" w:cs="Calibri"/>
          <w:color w:val="000000"/>
          <w:szCs w:val="18"/>
        </w:rPr>
        <w:t>emissions projections and no carbon costs in the base price.</w:t>
      </w:r>
    </w:p>
  </w:footnote>
  <w:footnote w:id="115">
    <w:p w14:paraId="694CF0D3" w14:textId="29B239ED" w:rsidR="00DE2C7B" w:rsidRPr="00D434C8" w:rsidRDefault="00DE2C7B" w:rsidP="009F5EE5">
      <w:pPr>
        <w:pStyle w:val="FootnoteText"/>
        <w:rPr>
          <w:szCs w:val="18"/>
        </w:rPr>
      </w:pPr>
      <w:r w:rsidRPr="00D434C8">
        <w:rPr>
          <w:rStyle w:val="FootnoteReference"/>
          <w:szCs w:val="18"/>
        </w:rPr>
        <w:footnoteRef/>
      </w:r>
      <w:r w:rsidRPr="00D434C8">
        <w:rPr>
          <w:szCs w:val="18"/>
        </w:rPr>
        <w:t xml:space="preserve"> Average house area in 2021-22</w:t>
      </w:r>
      <w:r>
        <w:rPr>
          <w:szCs w:val="18"/>
        </w:rPr>
        <w:t xml:space="preserve">. Data available </w:t>
      </w:r>
      <w:hyperlink r:id="rId65" w:history="1">
        <w:r w:rsidRPr="007F7721">
          <w:rPr>
            <w:rStyle w:val="Hyperlink"/>
            <w:szCs w:val="18"/>
          </w:rPr>
          <w:t>here</w:t>
        </w:r>
      </w:hyperlink>
      <w:r>
        <w:rPr>
          <w:szCs w:val="18"/>
        </w:rPr>
        <w:t>.</w:t>
      </w:r>
    </w:p>
  </w:footnote>
  <w:footnote w:id="116">
    <w:p w14:paraId="47BFCC62" w14:textId="01FE3BA0" w:rsidR="00DE2C7B" w:rsidRPr="00D434C8" w:rsidRDefault="00DE2C7B" w:rsidP="009F5EE5">
      <w:pPr>
        <w:pStyle w:val="FootnoteText"/>
        <w:rPr>
          <w:szCs w:val="18"/>
        </w:rPr>
      </w:pPr>
      <w:r w:rsidRPr="00D434C8">
        <w:rPr>
          <w:rStyle w:val="FootnoteReference"/>
          <w:szCs w:val="18"/>
        </w:rPr>
        <w:footnoteRef/>
      </w:r>
      <w:r w:rsidRPr="00D434C8">
        <w:rPr>
          <w:szCs w:val="18"/>
        </w:rPr>
        <w:t xml:space="preserve"> Capital cost for a recent 110 MW onshore wind project</w:t>
      </w:r>
      <w:r>
        <w:rPr>
          <w:szCs w:val="18"/>
        </w:rPr>
        <w:t xml:space="preserve">. Data available </w:t>
      </w:r>
      <w:hyperlink r:id="rId66" w:history="1">
        <w:r w:rsidRPr="007F7721">
          <w:rPr>
            <w:rStyle w:val="Hyperlink"/>
            <w:szCs w:val="18"/>
          </w:rPr>
          <w:t>here</w:t>
        </w:r>
      </w:hyperlink>
      <w:r>
        <w:rPr>
          <w:szCs w:val="18"/>
        </w:rPr>
        <w:t xml:space="preserve">. </w:t>
      </w:r>
      <w:r w:rsidRPr="00D434C8">
        <w:rPr>
          <w:szCs w:val="18"/>
        </w:rPr>
        <w:t xml:space="preserve"> </w:t>
      </w:r>
    </w:p>
  </w:footnote>
  <w:footnote w:id="117">
    <w:p w14:paraId="24109D80" w14:textId="2492B0A0" w:rsidR="00DE2C7B" w:rsidRDefault="00DE2C7B" w:rsidP="009F5EE5">
      <w:pPr>
        <w:pStyle w:val="FootnoteText"/>
      </w:pPr>
      <w:r w:rsidRPr="00D434C8">
        <w:rPr>
          <w:rStyle w:val="FootnoteReference"/>
          <w:szCs w:val="18"/>
        </w:rPr>
        <w:footnoteRef/>
      </w:r>
      <w:r w:rsidRPr="00D434C8">
        <w:rPr>
          <w:szCs w:val="18"/>
        </w:rPr>
        <w:t xml:space="preserve"> Assumes wheat price of $435 tonne for 2024-25</w:t>
      </w:r>
      <w:r>
        <w:rPr>
          <w:szCs w:val="18"/>
        </w:rPr>
        <w:t xml:space="preserve">, data available </w:t>
      </w:r>
      <w:hyperlink r:id="rId67" w:anchor="easing-prices-reflect-high-world-supply" w:history="1">
        <w:r w:rsidRPr="007F7721">
          <w:rPr>
            <w:rStyle w:val="Hyperlink"/>
            <w:szCs w:val="18"/>
          </w:rPr>
          <w:t>here</w:t>
        </w:r>
      </w:hyperlink>
      <w:r>
        <w:rPr>
          <w:szCs w:val="18"/>
        </w:rPr>
        <w:t>. A</w:t>
      </w:r>
      <w:r w:rsidRPr="00D434C8">
        <w:rPr>
          <w:szCs w:val="18"/>
        </w:rPr>
        <w:t>verage nitrogen requirement of 40 kg per tonne yield</w:t>
      </w:r>
      <w:r>
        <w:rPr>
          <w:szCs w:val="18"/>
        </w:rPr>
        <w:t xml:space="preserve">, data available </w:t>
      </w:r>
      <w:hyperlink r:id="rId68" w:history="1">
        <w:r w:rsidRPr="0043535A">
          <w:rPr>
            <w:rStyle w:val="Hyperlink"/>
            <w:szCs w:val="18"/>
          </w:rPr>
          <w:t>here</w:t>
        </w:r>
      </w:hyperlink>
      <w:r>
        <w:rPr>
          <w:szCs w:val="18"/>
        </w:rPr>
        <w:t xml:space="preserve">. </w:t>
      </w:r>
    </w:p>
  </w:footnote>
  <w:footnote w:id="118">
    <w:p w14:paraId="2C76FF6F" w14:textId="77777777" w:rsidR="00DE2C7B" w:rsidRDefault="00DE2C7B" w:rsidP="00053C1B">
      <w:pPr>
        <w:pStyle w:val="FootnoteText"/>
      </w:pPr>
      <w:r>
        <w:rPr>
          <w:rStyle w:val="FootnoteReference"/>
        </w:rPr>
        <w:footnoteRef/>
      </w:r>
      <w:r>
        <w:t xml:space="preserve"> International Energy Agency, International Renewable Energy Agency and UN Climate Change High-Level</w:t>
      </w:r>
    </w:p>
    <w:p w14:paraId="6C32072F" w14:textId="77777777" w:rsidR="00DE2C7B" w:rsidRPr="00E41AE2" w:rsidRDefault="00DE2C7B" w:rsidP="00053C1B">
      <w:pPr>
        <w:pStyle w:val="FootnoteText"/>
        <w:rPr>
          <w:i/>
        </w:rPr>
      </w:pPr>
      <w:r>
        <w:t xml:space="preserve">Champions, 2022, </w:t>
      </w:r>
      <w:r w:rsidRPr="00E41AE2">
        <w:rPr>
          <w:i/>
        </w:rPr>
        <w:t>The Breakthrough Agenda Report 2022: Accelerating Sector Transitions Through Stronger International</w:t>
      </w:r>
    </w:p>
    <w:p w14:paraId="564A8950" w14:textId="576B477A" w:rsidR="00DE2C7B" w:rsidRDefault="00DE2C7B">
      <w:pPr>
        <w:pStyle w:val="FootnoteText"/>
      </w:pPr>
      <w:r w:rsidRPr="00E41AE2">
        <w:rPr>
          <w:i/>
        </w:rPr>
        <w:t>Collaboration</w:t>
      </w:r>
      <w:r>
        <w:t xml:space="preserve">, available </w:t>
      </w:r>
      <w:hyperlink r:id="rId69" w:history="1">
        <w:r w:rsidRPr="0088728D">
          <w:rPr>
            <w:rStyle w:val="Hyperlink"/>
          </w:rPr>
          <w:t>here</w:t>
        </w:r>
      </w:hyperlink>
      <w:r>
        <w:t xml:space="preserve">. </w:t>
      </w:r>
      <w:r w:rsidRPr="005F2152" w:rsidDel="00E20CDD">
        <w:t xml:space="preserve"> </w:t>
      </w:r>
    </w:p>
  </w:footnote>
  <w:footnote w:id="119">
    <w:p w14:paraId="0482A9FE" w14:textId="0FC1E73F" w:rsidR="00DE2C7B" w:rsidRDefault="00DE2C7B" w:rsidP="00A63597">
      <w:pPr>
        <w:pStyle w:val="FootnoteText"/>
      </w:pPr>
      <w:r>
        <w:rPr>
          <w:rStyle w:val="FootnoteReference"/>
        </w:rPr>
        <w:footnoteRef/>
      </w:r>
      <w:r>
        <w:t xml:space="preserve"> See information on the Climate Club </w:t>
      </w:r>
      <w:hyperlink r:id="rId70" w:history="1">
        <w:r w:rsidRPr="00135EC0">
          <w:rPr>
            <w:rStyle w:val="Hyperlink"/>
          </w:rPr>
          <w:t>here</w:t>
        </w:r>
      </w:hyperlink>
      <w:r>
        <w:t>.</w:t>
      </w:r>
    </w:p>
  </w:footnote>
  <w:footnote w:id="120">
    <w:p w14:paraId="23C02647" w14:textId="42FD75F5" w:rsidR="00DE2C7B" w:rsidRDefault="00DE2C7B" w:rsidP="00A63597">
      <w:pPr>
        <w:pStyle w:val="FootnoteText"/>
      </w:pPr>
      <w:r>
        <w:rPr>
          <w:rStyle w:val="FootnoteReference"/>
        </w:rPr>
        <w:footnoteRef/>
      </w:r>
      <w:r>
        <w:t xml:space="preserve"> See information on IFCMA in Box </w:t>
      </w:r>
      <w:r w:rsidR="00E52E90">
        <w:t>7</w:t>
      </w:r>
      <w:r>
        <w:t xml:space="preserve"> and </w:t>
      </w:r>
      <w:hyperlink r:id="rId71" w:history="1">
        <w:r w:rsidRPr="00B01EB4">
          <w:rPr>
            <w:rStyle w:val="Hyperlink"/>
          </w:rPr>
          <w:t>here</w:t>
        </w:r>
      </w:hyperlink>
      <w:r>
        <w:t>.</w:t>
      </w:r>
    </w:p>
  </w:footnote>
  <w:footnote w:id="121">
    <w:p w14:paraId="1D8943B1" w14:textId="1C3200ED" w:rsidR="00DE2C7B" w:rsidRDefault="00DE2C7B" w:rsidP="00A63597">
      <w:pPr>
        <w:pStyle w:val="FootnoteText"/>
      </w:pPr>
      <w:r>
        <w:rPr>
          <w:rStyle w:val="FootnoteReference"/>
        </w:rPr>
        <w:footnoteRef/>
      </w:r>
      <w:r>
        <w:t xml:space="preserve"> See information on the Committee on Trade and Environment and the Trade and Environmental Sustainability Structured Discussions </w:t>
      </w:r>
      <w:hyperlink r:id="rId72" w:history="1">
        <w:r w:rsidRPr="00B01EB4">
          <w:rPr>
            <w:rStyle w:val="Hyperlink"/>
          </w:rPr>
          <w:t>here</w:t>
        </w:r>
      </w:hyperlink>
      <w:r>
        <w:t>.</w:t>
      </w:r>
    </w:p>
  </w:footnote>
  <w:footnote w:id="122">
    <w:p w14:paraId="35F6A53C" w14:textId="1D946F57" w:rsidR="00DE2C7B" w:rsidRDefault="00DE2C7B" w:rsidP="00A63597">
      <w:pPr>
        <w:pStyle w:val="FootnoteText"/>
      </w:pPr>
      <w:r>
        <w:rPr>
          <w:rStyle w:val="FootnoteReference"/>
        </w:rPr>
        <w:footnoteRef/>
      </w:r>
      <w:r>
        <w:t xml:space="preserve"> Australia is actively involved in discussions on these issues at the WTO’s </w:t>
      </w:r>
      <w:r w:rsidRPr="002F3C37">
        <w:t>Committee on Trade and Environment</w:t>
      </w:r>
      <w:r>
        <w:t xml:space="preserve"> and the </w:t>
      </w:r>
      <w:r w:rsidRPr="002F3C37">
        <w:t>Trade and Environmental Sustainability Structured Discussions</w:t>
      </w:r>
      <w:r>
        <w:t>.</w:t>
      </w:r>
    </w:p>
  </w:footnote>
  <w:footnote w:id="123">
    <w:p w14:paraId="6A5585A8" w14:textId="77777777" w:rsidR="00DE2C7B" w:rsidRDefault="00DE2C7B" w:rsidP="00DD3FC7">
      <w:pPr>
        <w:pStyle w:val="FootnoteText"/>
      </w:pPr>
      <w:r>
        <w:rPr>
          <w:rStyle w:val="FootnoteReference"/>
        </w:rPr>
        <w:footnoteRef/>
      </w:r>
      <w:r>
        <w:t xml:space="preserve"> ‘Effective price paid’ is defined for jurisdictions with an ETS or carbon tax as the explicit carbon price ($ per tonne of CO</w:t>
      </w:r>
      <w:r w:rsidRPr="000E013D">
        <w:rPr>
          <w:vertAlign w:val="subscript"/>
        </w:rPr>
        <w:t>2</w:t>
      </w:r>
      <w:r>
        <w:t>-e) faced after taking account of free allocations. In the context of the Safeguard Mechanism, the equivalent ‘effective price paid’ is defined as the carbon compliance costs (per tonne) which arise on emissions above Safeguard regulated baselines, i.e. from ACCU or SMC surrender. ‘Effective price paid’ is distinct from the term ‘carbon cost’ ($ per tonne of good), which is the cost arising from an effective price paid being applied to the emissions intensity of a good, i.e. the carbon costs are simply the (effective) price times the quantity of emissions.</w:t>
      </w:r>
    </w:p>
  </w:footnote>
  <w:footnote w:id="124">
    <w:p w14:paraId="6DF57324" w14:textId="77777777" w:rsidR="00DE2C7B" w:rsidRDefault="00DE2C7B" w:rsidP="00DD3FC7">
      <w:pPr>
        <w:pStyle w:val="FootnoteText"/>
      </w:pPr>
      <w:r>
        <w:rPr>
          <w:rStyle w:val="FootnoteReference"/>
        </w:rPr>
        <w:footnoteRef/>
      </w:r>
      <w:r>
        <w:t xml:space="preserve"> OECD, 2024, Towards more accurate, timely, and granular product-level carbon intensity metrics: a scoping note, </w:t>
      </w:r>
      <w:r>
        <w:rPr>
          <w:i/>
          <w:iCs/>
        </w:rPr>
        <w:t xml:space="preserve">Inclusive Forum on Carbon Mitigation Approaches Papers, </w:t>
      </w:r>
      <w:r>
        <w:t xml:space="preserve">available </w:t>
      </w:r>
      <w:hyperlink r:id="rId73" w:history="1">
        <w:r w:rsidRPr="00062B4F">
          <w:rPr>
            <w:rStyle w:val="Hyperlink"/>
          </w:rPr>
          <w:t>here</w:t>
        </w:r>
      </w:hyperlink>
      <w:r>
        <w:t xml:space="preserve">. Note the EU and UK CBAM focus on explicit pricing. </w:t>
      </w:r>
    </w:p>
  </w:footnote>
  <w:footnote w:id="125">
    <w:p w14:paraId="1B559D98" w14:textId="77777777" w:rsidR="00DE2C7B" w:rsidRPr="00064E46" w:rsidRDefault="00DE2C7B" w:rsidP="00DD3FC7">
      <w:pPr>
        <w:pStyle w:val="FootnoteText"/>
      </w:pPr>
      <w:r>
        <w:rPr>
          <w:rStyle w:val="FootnoteReference"/>
        </w:rPr>
        <w:footnoteRef/>
      </w:r>
      <w:r>
        <w:t xml:space="preserve"> OECD, 2024, Towards more accurate, timely, and granular product-level carbon intensity metrics: a scoping note, </w:t>
      </w:r>
      <w:r>
        <w:rPr>
          <w:i/>
          <w:iCs/>
        </w:rPr>
        <w:t xml:space="preserve">Inclusive Forum on Carbon Mitigation Approaches Papers, </w:t>
      </w:r>
      <w:r>
        <w:t xml:space="preserve">available </w:t>
      </w:r>
      <w:hyperlink r:id="rId74" w:history="1">
        <w:r w:rsidRPr="00947376">
          <w:rPr>
            <w:rStyle w:val="Hyperlink"/>
          </w:rPr>
          <w:t>here</w:t>
        </w:r>
      </w:hyperlink>
      <w:r>
        <w:t>.</w:t>
      </w:r>
    </w:p>
  </w:footnote>
  <w:footnote w:id="126">
    <w:p w14:paraId="3E8B8352" w14:textId="77777777" w:rsidR="00DE2C7B" w:rsidRDefault="00DE2C7B" w:rsidP="00DD3FC7">
      <w:pPr>
        <w:pStyle w:val="FootnoteText"/>
      </w:pPr>
      <w:r>
        <w:rPr>
          <w:rStyle w:val="FootnoteReference"/>
        </w:rPr>
        <w:footnoteRef/>
      </w:r>
      <w:r>
        <w:t xml:space="preserve"> UK HM Treasury, 21 March 2024, Introduction of a UK carbon border adjustment mechanism from January 2027, available </w:t>
      </w:r>
      <w:hyperlink r:id="rId75" w:history="1">
        <w:r w:rsidRPr="0088728D">
          <w:rPr>
            <w:rStyle w:val="Hyperlink"/>
          </w:rPr>
          <w:t>here</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E0A29" w14:textId="4C37B151" w:rsidR="00DE2C7B" w:rsidRDefault="00241BBC">
    <w:pPr>
      <w:pStyle w:val="Header"/>
    </w:pPr>
    <w:r>
      <w:rPr>
        <w:noProof/>
      </w:rPr>
      <mc:AlternateContent>
        <mc:Choice Requires="wps">
          <w:drawing>
            <wp:anchor distT="0" distB="0" distL="0" distR="0" simplePos="0" relativeHeight="251658243" behindDoc="0" locked="0" layoutInCell="1" allowOverlap="1" wp14:anchorId="0F9A48D8" wp14:editId="23B59EA1">
              <wp:simplePos x="635" y="635"/>
              <wp:positionH relativeFrom="page">
                <wp:align>center</wp:align>
              </wp:positionH>
              <wp:positionV relativeFrom="page">
                <wp:align>top</wp:align>
              </wp:positionV>
              <wp:extent cx="551815" cy="404495"/>
              <wp:effectExtent l="0" t="0" r="635" b="14605"/>
              <wp:wrapNone/>
              <wp:docPr id="103811233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C4F3458" w14:textId="5597DB13" w:rsidR="00241BBC" w:rsidRPr="00241BBC" w:rsidRDefault="00241BBC" w:rsidP="00241BBC">
                          <w:pPr>
                            <w:spacing w:after="0"/>
                            <w:rPr>
                              <w:rFonts w:ascii="Calibri" w:eastAsia="Calibri" w:hAnsi="Calibri" w:cs="Calibri"/>
                              <w:noProof/>
                              <w:color w:val="FF0000"/>
                              <w:sz w:val="24"/>
                              <w:szCs w:val="24"/>
                            </w:rPr>
                          </w:pPr>
                          <w:r w:rsidRPr="00241BB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9A48D8"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0C4F3458" w14:textId="5597DB13" w:rsidR="00241BBC" w:rsidRPr="00241BBC" w:rsidRDefault="00241BBC" w:rsidP="00241BBC">
                    <w:pPr>
                      <w:spacing w:after="0"/>
                      <w:rPr>
                        <w:rFonts w:ascii="Calibri" w:eastAsia="Calibri" w:hAnsi="Calibri" w:cs="Calibri"/>
                        <w:noProof/>
                        <w:color w:val="FF0000"/>
                        <w:sz w:val="24"/>
                        <w:szCs w:val="24"/>
                      </w:rPr>
                    </w:pPr>
                    <w:r w:rsidRPr="00241BBC">
                      <w:rPr>
                        <w:rFonts w:ascii="Calibri" w:eastAsia="Calibri" w:hAnsi="Calibri" w:cs="Calibri"/>
                        <w:noProof/>
                        <w:color w:val="FF0000"/>
                        <w:sz w:val="24"/>
                        <w:szCs w:val="24"/>
                      </w:rPr>
                      <w:t>OFFICIAL</w:t>
                    </w:r>
                  </w:p>
                </w:txbxContent>
              </v:textbox>
              <w10:wrap anchorx="page" anchory="page"/>
            </v:shape>
          </w:pict>
        </mc:Fallback>
      </mc:AlternateContent>
    </w:r>
    <w:r w:rsidR="00171521">
      <w:rPr>
        <w:noProof/>
      </w:rPr>
      <w:pict w14:anchorId="24E31E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13251" o:spid="_x0000_s1026" type="#_x0000_t136" style="position:absolute;left:0;text-align:left;margin-left:0;margin-top:0;width:399.6pt;height:239.75pt;rotation:315;z-index:-251658239;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FF23D" w14:textId="2545AB6E" w:rsidR="00472EED" w:rsidRDefault="00241BBC" w:rsidP="00472EED">
    <w:pPr>
      <w:pStyle w:val="Header"/>
    </w:pPr>
    <w:r>
      <w:rPr>
        <w:noProof/>
      </w:rPr>
      <mc:AlternateContent>
        <mc:Choice Requires="wps">
          <w:drawing>
            <wp:anchor distT="0" distB="0" distL="0" distR="0" simplePos="0" relativeHeight="251658244" behindDoc="0" locked="0" layoutInCell="1" allowOverlap="1" wp14:anchorId="64CC31B5" wp14:editId="75BB1B7C">
              <wp:simplePos x="904875" y="361950"/>
              <wp:positionH relativeFrom="page">
                <wp:align>center</wp:align>
              </wp:positionH>
              <wp:positionV relativeFrom="page">
                <wp:align>top</wp:align>
              </wp:positionV>
              <wp:extent cx="551815" cy="404495"/>
              <wp:effectExtent l="0" t="0" r="635" b="14605"/>
              <wp:wrapNone/>
              <wp:docPr id="21817167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FECCF8A" w14:textId="61FDCA10" w:rsidR="00241BBC" w:rsidRPr="00241BBC" w:rsidRDefault="00241BBC" w:rsidP="00241BBC">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CC31B5"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1.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5FECCF8A" w14:textId="61FDCA10" w:rsidR="00241BBC" w:rsidRPr="00241BBC" w:rsidRDefault="00241BBC" w:rsidP="00241BBC">
                    <w:pPr>
                      <w:spacing w:after="0"/>
                      <w:rPr>
                        <w:rFonts w:ascii="Calibri" w:eastAsia="Calibri" w:hAnsi="Calibri" w:cs="Calibri"/>
                        <w:noProof/>
                        <w:color w:val="FF0000"/>
                        <w:sz w:val="24"/>
                        <w:szCs w:val="24"/>
                      </w:rPr>
                    </w:pPr>
                  </w:p>
                </w:txbxContent>
              </v:textbox>
              <w10:wrap anchorx="page" anchory="page"/>
            </v:shape>
          </w:pict>
        </mc:Fallback>
      </mc:AlternateContent>
    </w:r>
    <w:r w:rsidR="00472EED">
      <w:t xml:space="preserve">Carbon Leakage Review - Consultation Paper 2 </w:t>
    </w:r>
    <w:r w:rsidR="00171521">
      <w:t>–</w:t>
    </w:r>
    <w:r w:rsidR="00472EED">
      <w:t xml:space="preserve"> </w:t>
    </w:r>
    <w:r w:rsidR="00171521">
      <w:t xml:space="preserve">November </w:t>
    </w:r>
    <w:r w:rsidR="00472EED">
      <w:t>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D1833" w14:textId="0CE2214F" w:rsidR="00DE2C7B" w:rsidRDefault="00241BBC">
    <w:pPr>
      <w:pStyle w:val="Header"/>
    </w:pPr>
    <w:r>
      <w:rPr>
        <w:noProof/>
      </w:rPr>
      <mc:AlternateContent>
        <mc:Choice Requires="wps">
          <w:drawing>
            <wp:anchor distT="0" distB="0" distL="0" distR="0" simplePos="0" relativeHeight="251658242" behindDoc="0" locked="0" layoutInCell="1" allowOverlap="1" wp14:anchorId="5A24993B" wp14:editId="59D18C39">
              <wp:simplePos x="904875" y="361950"/>
              <wp:positionH relativeFrom="page">
                <wp:align>center</wp:align>
              </wp:positionH>
              <wp:positionV relativeFrom="page">
                <wp:align>top</wp:align>
              </wp:positionV>
              <wp:extent cx="551815" cy="404495"/>
              <wp:effectExtent l="0" t="0" r="635" b="14605"/>
              <wp:wrapNone/>
              <wp:docPr id="182214476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02B97DC" w14:textId="130C82AC" w:rsidR="00241BBC" w:rsidRPr="00241BBC" w:rsidRDefault="00241BBC" w:rsidP="00241BBC">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24993B" id="_x0000_t202" coordsize="21600,21600" o:spt="202" path="m,l,21600r21600,l21600,xe">
              <v:stroke joinstyle="miter"/>
              <v:path gradientshapeok="t" o:connecttype="rect"/>
            </v:shapetype>
            <v:shape id="Text Box 1" o:spid="_x0000_s1030"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202B97DC" w14:textId="130C82AC" w:rsidR="00241BBC" w:rsidRPr="00241BBC" w:rsidRDefault="00241BBC" w:rsidP="00241BBC">
                    <w:pPr>
                      <w:spacing w:after="0"/>
                      <w:rPr>
                        <w:rFonts w:ascii="Calibri" w:eastAsia="Calibri" w:hAnsi="Calibri" w:cs="Calibri"/>
                        <w:noProof/>
                        <w:color w:val="FF0000"/>
                        <w:sz w:val="24"/>
                        <w:szCs w:val="24"/>
                      </w:rPr>
                    </w:pPr>
                  </w:p>
                </w:txbxContent>
              </v:textbox>
              <w10:wrap anchorx="page" anchory="page"/>
            </v:shape>
          </w:pict>
        </mc:Fallback>
      </mc:AlternateContent>
    </w:r>
    <w:r w:rsidR="00171521">
      <w:rPr>
        <w:noProof/>
      </w:rPr>
      <w:pict w14:anchorId="3807F4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13250" o:spid="_x0000_s1025" type="#_x0000_t136" style="position:absolute;left:0;text-align:left;margin-left:0;margin-top:0;width:399.6pt;height:239.75pt;rotation:315;z-index:-251658240;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B286F"/>
    <w:multiLevelType w:val="hybridMultilevel"/>
    <w:tmpl w:val="0262C966"/>
    <w:lvl w:ilvl="0" w:tplc="FE54618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2E24B4"/>
    <w:multiLevelType w:val="multilevel"/>
    <w:tmpl w:val="CB7AA46A"/>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98A1533"/>
    <w:multiLevelType w:val="hybridMultilevel"/>
    <w:tmpl w:val="F6CEDDD2"/>
    <w:lvl w:ilvl="0" w:tplc="815E660E">
      <w:start w:val="1"/>
      <w:numFmt w:val="bullet"/>
      <w:lvlText w:val=""/>
      <w:lvlJc w:val="left"/>
      <w:pPr>
        <w:ind w:left="1440" w:hanging="360"/>
      </w:pPr>
      <w:rPr>
        <w:rFonts w:ascii="Symbol" w:hAnsi="Symbol"/>
      </w:rPr>
    </w:lvl>
    <w:lvl w:ilvl="1" w:tplc="A572B4A2">
      <w:start w:val="1"/>
      <w:numFmt w:val="bullet"/>
      <w:lvlText w:val=""/>
      <w:lvlJc w:val="left"/>
      <w:pPr>
        <w:ind w:left="1440" w:hanging="360"/>
      </w:pPr>
      <w:rPr>
        <w:rFonts w:ascii="Symbol" w:hAnsi="Symbol"/>
      </w:rPr>
    </w:lvl>
    <w:lvl w:ilvl="2" w:tplc="1EB69F3E">
      <w:start w:val="1"/>
      <w:numFmt w:val="bullet"/>
      <w:lvlText w:val=""/>
      <w:lvlJc w:val="left"/>
      <w:pPr>
        <w:ind w:left="1440" w:hanging="360"/>
      </w:pPr>
      <w:rPr>
        <w:rFonts w:ascii="Symbol" w:hAnsi="Symbol"/>
      </w:rPr>
    </w:lvl>
    <w:lvl w:ilvl="3" w:tplc="C00E8730">
      <w:start w:val="1"/>
      <w:numFmt w:val="bullet"/>
      <w:lvlText w:val=""/>
      <w:lvlJc w:val="left"/>
      <w:pPr>
        <w:ind w:left="1440" w:hanging="360"/>
      </w:pPr>
      <w:rPr>
        <w:rFonts w:ascii="Symbol" w:hAnsi="Symbol"/>
      </w:rPr>
    </w:lvl>
    <w:lvl w:ilvl="4" w:tplc="C7C212C0">
      <w:start w:val="1"/>
      <w:numFmt w:val="bullet"/>
      <w:lvlText w:val=""/>
      <w:lvlJc w:val="left"/>
      <w:pPr>
        <w:ind w:left="1440" w:hanging="360"/>
      </w:pPr>
      <w:rPr>
        <w:rFonts w:ascii="Symbol" w:hAnsi="Symbol"/>
      </w:rPr>
    </w:lvl>
    <w:lvl w:ilvl="5" w:tplc="A9EAFCA4">
      <w:start w:val="1"/>
      <w:numFmt w:val="bullet"/>
      <w:lvlText w:val=""/>
      <w:lvlJc w:val="left"/>
      <w:pPr>
        <w:ind w:left="1440" w:hanging="360"/>
      </w:pPr>
      <w:rPr>
        <w:rFonts w:ascii="Symbol" w:hAnsi="Symbol"/>
      </w:rPr>
    </w:lvl>
    <w:lvl w:ilvl="6" w:tplc="B42CB2C4">
      <w:start w:val="1"/>
      <w:numFmt w:val="bullet"/>
      <w:lvlText w:val=""/>
      <w:lvlJc w:val="left"/>
      <w:pPr>
        <w:ind w:left="1440" w:hanging="360"/>
      </w:pPr>
      <w:rPr>
        <w:rFonts w:ascii="Symbol" w:hAnsi="Symbol"/>
      </w:rPr>
    </w:lvl>
    <w:lvl w:ilvl="7" w:tplc="99CE069E">
      <w:start w:val="1"/>
      <w:numFmt w:val="bullet"/>
      <w:lvlText w:val=""/>
      <w:lvlJc w:val="left"/>
      <w:pPr>
        <w:ind w:left="1440" w:hanging="360"/>
      </w:pPr>
      <w:rPr>
        <w:rFonts w:ascii="Symbol" w:hAnsi="Symbol"/>
      </w:rPr>
    </w:lvl>
    <w:lvl w:ilvl="8" w:tplc="48FA2BCC">
      <w:start w:val="1"/>
      <w:numFmt w:val="bullet"/>
      <w:lvlText w:val=""/>
      <w:lvlJc w:val="left"/>
      <w:pPr>
        <w:ind w:left="1440" w:hanging="360"/>
      </w:pPr>
      <w:rPr>
        <w:rFonts w:ascii="Symbol" w:hAnsi="Symbol"/>
      </w:rPr>
    </w:lvl>
  </w:abstractNum>
  <w:abstractNum w:abstractNumId="3" w15:restartNumberingAfterBreak="0">
    <w:nsid w:val="0C153CB4"/>
    <w:multiLevelType w:val="hybridMultilevel"/>
    <w:tmpl w:val="27D8EC9A"/>
    <w:lvl w:ilvl="0" w:tplc="B40485C2">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827535D"/>
    <w:multiLevelType w:val="hybridMultilevel"/>
    <w:tmpl w:val="BF48DFC6"/>
    <w:lvl w:ilvl="0" w:tplc="34DE9A78">
      <w:start w:val="1"/>
      <w:numFmt w:val="bullet"/>
      <w:lvlText w:val=""/>
      <w:lvlJc w:val="left"/>
      <w:pPr>
        <w:ind w:left="1020" w:hanging="360"/>
      </w:pPr>
      <w:rPr>
        <w:rFonts w:ascii="Symbol" w:hAnsi="Symbol"/>
      </w:rPr>
    </w:lvl>
    <w:lvl w:ilvl="1" w:tplc="893A117C">
      <w:start w:val="1"/>
      <w:numFmt w:val="bullet"/>
      <w:lvlText w:val=""/>
      <w:lvlJc w:val="left"/>
      <w:pPr>
        <w:ind w:left="1020" w:hanging="360"/>
      </w:pPr>
      <w:rPr>
        <w:rFonts w:ascii="Symbol" w:hAnsi="Symbol"/>
      </w:rPr>
    </w:lvl>
    <w:lvl w:ilvl="2" w:tplc="18A6EEF6">
      <w:start w:val="1"/>
      <w:numFmt w:val="bullet"/>
      <w:lvlText w:val=""/>
      <w:lvlJc w:val="left"/>
      <w:pPr>
        <w:ind w:left="1020" w:hanging="360"/>
      </w:pPr>
      <w:rPr>
        <w:rFonts w:ascii="Symbol" w:hAnsi="Symbol"/>
      </w:rPr>
    </w:lvl>
    <w:lvl w:ilvl="3" w:tplc="055CFECE">
      <w:start w:val="1"/>
      <w:numFmt w:val="bullet"/>
      <w:lvlText w:val=""/>
      <w:lvlJc w:val="left"/>
      <w:pPr>
        <w:ind w:left="1020" w:hanging="360"/>
      </w:pPr>
      <w:rPr>
        <w:rFonts w:ascii="Symbol" w:hAnsi="Symbol"/>
      </w:rPr>
    </w:lvl>
    <w:lvl w:ilvl="4" w:tplc="C38A0526">
      <w:start w:val="1"/>
      <w:numFmt w:val="bullet"/>
      <w:lvlText w:val=""/>
      <w:lvlJc w:val="left"/>
      <w:pPr>
        <w:ind w:left="1020" w:hanging="360"/>
      </w:pPr>
      <w:rPr>
        <w:rFonts w:ascii="Symbol" w:hAnsi="Symbol"/>
      </w:rPr>
    </w:lvl>
    <w:lvl w:ilvl="5" w:tplc="F7588612">
      <w:start w:val="1"/>
      <w:numFmt w:val="bullet"/>
      <w:lvlText w:val=""/>
      <w:lvlJc w:val="left"/>
      <w:pPr>
        <w:ind w:left="1020" w:hanging="360"/>
      </w:pPr>
      <w:rPr>
        <w:rFonts w:ascii="Symbol" w:hAnsi="Symbol"/>
      </w:rPr>
    </w:lvl>
    <w:lvl w:ilvl="6" w:tplc="C1B02B3E">
      <w:start w:val="1"/>
      <w:numFmt w:val="bullet"/>
      <w:lvlText w:val=""/>
      <w:lvlJc w:val="left"/>
      <w:pPr>
        <w:ind w:left="1020" w:hanging="360"/>
      </w:pPr>
      <w:rPr>
        <w:rFonts w:ascii="Symbol" w:hAnsi="Symbol"/>
      </w:rPr>
    </w:lvl>
    <w:lvl w:ilvl="7" w:tplc="403247FA">
      <w:start w:val="1"/>
      <w:numFmt w:val="bullet"/>
      <w:lvlText w:val=""/>
      <w:lvlJc w:val="left"/>
      <w:pPr>
        <w:ind w:left="1020" w:hanging="360"/>
      </w:pPr>
      <w:rPr>
        <w:rFonts w:ascii="Symbol" w:hAnsi="Symbol"/>
      </w:rPr>
    </w:lvl>
    <w:lvl w:ilvl="8" w:tplc="A28410D0">
      <w:start w:val="1"/>
      <w:numFmt w:val="bullet"/>
      <w:lvlText w:val=""/>
      <w:lvlJc w:val="left"/>
      <w:pPr>
        <w:ind w:left="1020" w:hanging="360"/>
      </w:pPr>
      <w:rPr>
        <w:rFonts w:ascii="Symbol" w:hAnsi="Symbol"/>
      </w:rPr>
    </w:lvl>
  </w:abstractNum>
  <w:abstractNum w:abstractNumId="6" w15:restartNumberingAfterBreak="0">
    <w:nsid w:val="18BF7FF5"/>
    <w:multiLevelType w:val="hybridMultilevel"/>
    <w:tmpl w:val="778E0642"/>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8" w15:restartNumberingAfterBreak="0">
    <w:nsid w:val="1A2B2364"/>
    <w:multiLevelType w:val="multilevel"/>
    <w:tmpl w:val="B58C6AB8"/>
    <w:lvl w:ilvl="0">
      <w:start w:val="3"/>
      <w:numFmt w:val="decimal"/>
      <w:lvlText w:val="%1"/>
      <w:lvlJc w:val="left"/>
      <w:pPr>
        <w:ind w:left="360" w:hanging="360"/>
      </w:pPr>
      <w:rPr>
        <w:rFonts w:hint="default"/>
        <w:b w:val="0"/>
      </w:rPr>
    </w:lvl>
    <w:lvl w:ilvl="1">
      <w:start w:val="6"/>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9" w15:restartNumberingAfterBreak="0">
    <w:nsid w:val="1CE5289D"/>
    <w:multiLevelType w:val="hybridMultilevel"/>
    <w:tmpl w:val="BE3C8BF4"/>
    <w:lvl w:ilvl="0" w:tplc="1AFC7966">
      <w:start w:val="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A328D5"/>
    <w:multiLevelType w:val="multilevel"/>
    <w:tmpl w:val="BE78A4F8"/>
    <w:numStyleLink w:val="Numberlist"/>
  </w:abstractNum>
  <w:abstractNum w:abstractNumId="11"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3092052"/>
    <w:multiLevelType w:val="hybridMultilevel"/>
    <w:tmpl w:val="FFFFFFFF"/>
    <w:lvl w:ilvl="0" w:tplc="C0E46B46">
      <w:start w:val="1"/>
      <w:numFmt w:val="bullet"/>
      <w:lvlText w:val="-"/>
      <w:lvlJc w:val="left"/>
      <w:pPr>
        <w:ind w:left="720" w:hanging="360"/>
      </w:pPr>
      <w:rPr>
        <w:rFonts w:ascii="Aptos" w:hAnsi="Aptos" w:hint="default"/>
      </w:rPr>
    </w:lvl>
    <w:lvl w:ilvl="1" w:tplc="EB329384">
      <w:start w:val="1"/>
      <w:numFmt w:val="bullet"/>
      <w:lvlText w:val="o"/>
      <w:lvlJc w:val="left"/>
      <w:pPr>
        <w:ind w:left="1440" w:hanging="360"/>
      </w:pPr>
      <w:rPr>
        <w:rFonts w:ascii="Courier New" w:hAnsi="Courier New" w:hint="default"/>
      </w:rPr>
    </w:lvl>
    <w:lvl w:ilvl="2" w:tplc="BDCE0EA8">
      <w:start w:val="1"/>
      <w:numFmt w:val="bullet"/>
      <w:lvlText w:val=""/>
      <w:lvlJc w:val="left"/>
      <w:pPr>
        <w:ind w:left="2160" w:hanging="360"/>
      </w:pPr>
      <w:rPr>
        <w:rFonts w:ascii="Wingdings" w:hAnsi="Wingdings" w:hint="default"/>
      </w:rPr>
    </w:lvl>
    <w:lvl w:ilvl="3" w:tplc="C518B004">
      <w:start w:val="1"/>
      <w:numFmt w:val="bullet"/>
      <w:lvlText w:val=""/>
      <w:lvlJc w:val="left"/>
      <w:pPr>
        <w:ind w:left="2880" w:hanging="360"/>
      </w:pPr>
      <w:rPr>
        <w:rFonts w:ascii="Symbol" w:hAnsi="Symbol" w:hint="default"/>
      </w:rPr>
    </w:lvl>
    <w:lvl w:ilvl="4" w:tplc="1C184C76">
      <w:start w:val="1"/>
      <w:numFmt w:val="bullet"/>
      <w:lvlText w:val="o"/>
      <w:lvlJc w:val="left"/>
      <w:pPr>
        <w:ind w:left="3600" w:hanging="360"/>
      </w:pPr>
      <w:rPr>
        <w:rFonts w:ascii="Courier New" w:hAnsi="Courier New" w:hint="default"/>
      </w:rPr>
    </w:lvl>
    <w:lvl w:ilvl="5" w:tplc="9CB8BEC8">
      <w:start w:val="1"/>
      <w:numFmt w:val="bullet"/>
      <w:lvlText w:val=""/>
      <w:lvlJc w:val="left"/>
      <w:pPr>
        <w:ind w:left="4320" w:hanging="360"/>
      </w:pPr>
      <w:rPr>
        <w:rFonts w:ascii="Wingdings" w:hAnsi="Wingdings" w:hint="default"/>
      </w:rPr>
    </w:lvl>
    <w:lvl w:ilvl="6" w:tplc="7EE6BBA2">
      <w:start w:val="1"/>
      <w:numFmt w:val="bullet"/>
      <w:lvlText w:val=""/>
      <w:lvlJc w:val="left"/>
      <w:pPr>
        <w:ind w:left="5040" w:hanging="360"/>
      </w:pPr>
      <w:rPr>
        <w:rFonts w:ascii="Symbol" w:hAnsi="Symbol" w:hint="default"/>
      </w:rPr>
    </w:lvl>
    <w:lvl w:ilvl="7" w:tplc="A92EBA8C">
      <w:start w:val="1"/>
      <w:numFmt w:val="bullet"/>
      <w:lvlText w:val="o"/>
      <w:lvlJc w:val="left"/>
      <w:pPr>
        <w:ind w:left="5760" w:hanging="360"/>
      </w:pPr>
      <w:rPr>
        <w:rFonts w:ascii="Courier New" w:hAnsi="Courier New" w:hint="default"/>
      </w:rPr>
    </w:lvl>
    <w:lvl w:ilvl="8" w:tplc="09405562">
      <w:start w:val="1"/>
      <w:numFmt w:val="bullet"/>
      <w:lvlText w:val=""/>
      <w:lvlJc w:val="left"/>
      <w:pPr>
        <w:ind w:left="6480" w:hanging="360"/>
      </w:pPr>
      <w:rPr>
        <w:rFonts w:ascii="Wingdings" w:hAnsi="Wingdings" w:hint="default"/>
      </w:rPr>
    </w:lvl>
  </w:abstractNum>
  <w:abstractNum w:abstractNumId="13" w15:restartNumberingAfterBreak="0">
    <w:nsid w:val="23A81D65"/>
    <w:multiLevelType w:val="hybridMultilevel"/>
    <w:tmpl w:val="A17C99CA"/>
    <w:lvl w:ilvl="0" w:tplc="5B88D842">
      <w:start w:val="1"/>
      <w:numFmt w:val="decimal"/>
      <w:lvlText w:val="%1."/>
      <w:lvlJc w:val="left"/>
      <w:pPr>
        <w:ind w:left="1020" w:hanging="360"/>
      </w:pPr>
    </w:lvl>
    <w:lvl w:ilvl="1" w:tplc="E520B78C">
      <w:start w:val="1"/>
      <w:numFmt w:val="decimal"/>
      <w:lvlText w:val="%2."/>
      <w:lvlJc w:val="left"/>
      <w:pPr>
        <w:ind w:left="1020" w:hanging="360"/>
      </w:pPr>
    </w:lvl>
    <w:lvl w:ilvl="2" w:tplc="227C75BC">
      <w:start w:val="1"/>
      <w:numFmt w:val="decimal"/>
      <w:lvlText w:val="%3."/>
      <w:lvlJc w:val="left"/>
      <w:pPr>
        <w:ind w:left="1020" w:hanging="360"/>
      </w:pPr>
    </w:lvl>
    <w:lvl w:ilvl="3" w:tplc="2E32C386">
      <w:start w:val="1"/>
      <w:numFmt w:val="decimal"/>
      <w:lvlText w:val="%4."/>
      <w:lvlJc w:val="left"/>
      <w:pPr>
        <w:ind w:left="1020" w:hanging="360"/>
      </w:pPr>
    </w:lvl>
    <w:lvl w:ilvl="4" w:tplc="68CCE7F4">
      <w:start w:val="1"/>
      <w:numFmt w:val="decimal"/>
      <w:lvlText w:val="%5."/>
      <w:lvlJc w:val="left"/>
      <w:pPr>
        <w:ind w:left="1020" w:hanging="360"/>
      </w:pPr>
    </w:lvl>
    <w:lvl w:ilvl="5" w:tplc="057CBEB6">
      <w:start w:val="1"/>
      <w:numFmt w:val="decimal"/>
      <w:lvlText w:val="%6."/>
      <w:lvlJc w:val="left"/>
      <w:pPr>
        <w:ind w:left="1020" w:hanging="360"/>
      </w:pPr>
    </w:lvl>
    <w:lvl w:ilvl="6" w:tplc="ECFC21A6">
      <w:start w:val="1"/>
      <w:numFmt w:val="decimal"/>
      <w:lvlText w:val="%7."/>
      <w:lvlJc w:val="left"/>
      <w:pPr>
        <w:ind w:left="1020" w:hanging="360"/>
      </w:pPr>
    </w:lvl>
    <w:lvl w:ilvl="7" w:tplc="35A20F2A">
      <w:start w:val="1"/>
      <w:numFmt w:val="decimal"/>
      <w:lvlText w:val="%8."/>
      <w:lvlJc w:val="left"/>
      <w:pPr>
        <w:ind w:left="1020" w:hanging="360"/>
      </w:pPr>
    </w:lvl>
    <w:lvl w:ilvl="8" w:tplc="2A184EC8">
      <w:start w:val="1"/>
      <w:numFmt w:val="decimal"/>
      <w:lvlText w:val="%9."/>
      <w:lvlJc w:val="left"/>
      <w:pPr>
        <w:ind w:left="1020" w:hanging="360"/>
      </w:pPr>
    </w:lvl>
  </w:abstractNum>
  <w:abstractNum w:abstractNumId="14" w15:restartNumberingAfterBreak="0">
    <w:nsid w:val="247B36A2"/>
    <w:multiLevelType w:val="hybridMultilevel"/>
    <w:tmpl w:val="8A08B880"/>
    <w:lvl w:ilvl="0" w:tplc="10CA6FAC">
      <w:start w:val="6"/>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1A1022"/>
    <w:multiLevelType w:val="hybridMultilevel"/>
    <w:tmpl w:val="2ACE66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531C40"/>
    <w:multiLevelType w:val="hybridMultilevel"/>
    <w:tmpl w:val="E96A2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4A15FE"/>
    <w:multiLevelType w:val="multilevel"/>
    <w:tmpl w:val="F36C17E8"/>
    <w:numStyleLink w:val="Headinglist"/>
  </w:abstractNum>
  <w:abstractNum w:abstractNumId="18" w15:restartNumberingAfterBreak="0">
    <w:nsid w:val="399A75AD"/>
    <w:multiLevelType w:val="hybridMultilevel"/>
    <w:tmpl w:val="6FAC8AC0"/>
    <w:lvl w:ilvl="0" w:tplc="687497A2">
      <w:start w:val="1"/>
      <w:numFmt w:val="bullet"/>
      <w:lvlText w:val=""/>
      <w:lvlJc w:val="left"/>
      <w:pPr>
        <w:ind w:left="720" w:hanging="360"/>
      </w:pPr>
      <w:rPr>
        <w:rFonts w:ascii="Symbol" w:hAnsi="Symbol"/>
      </w:rPr>
    </w:lvl>
    <w:lvl w:ilvl="1" w:tplc="B4F8FAEE">
      <w:start w:val="1"/>
      <w:numFmt w:val="bullet"/>
      <w:lvlText w:val=""/>
      <w:lvlJc w:val="left"/>
      <w:pPr>
        <w:ind w:left="720" w:hanging="360"/>
      </w:pPr>
      <w:rPr>
        <w:rFonts w:ascii="Symbol" w:hAnsi="Symbol"/>
      </w:rPr>
    </w:lvl>
    <w:lvl w:ilvl="2" w:tplc="3D2297DC">
      <w:start w:val="1"/>
      <w:numFmt w:val="bullet"/>
      <w:lvlText w:val=""/>
      <w:lvlJc w:val="left"/>
      <w:pPr>
        <w:ind w:left="720" w:hanging="360"/>
      </w:pPr>
      <w:rPr>
        <w:rFonts w:ascii="Symbol" w:hAnsi="Symbol"/>
      </w:rPr>
    </w:lvl>
    <w:lvl w:ilvl="3" w:tplc="44DAD59C">
      <w:start w:val="1"/>
      <w:numFmt w:val="bullet"/>
      <w:lvlText w:val=""/>
      <w:lvlJc w:val="left"/>
      <w:pPr>
        <w:ind w:left="720" w:hanging="360"/>
      </w:pPr>
      <w:rPr>
        <w:rFonts w:ascii="Symbol" w:hAnsi="Symbol"/>
      </w:rPr>
    </w:lvl>
    <w:lvl w:ilvl="4" w:tplc="4D9CDF6E">
      <w:start w:val="1"/>
      <w:numFmt w:val="bullet"/>
      <w:lvlText w:val=""/>
      <w:lvlJc w:val="left"/>
      <w:pPr>
        <w:ind w:left="720" w:hanging="360"/>
      </w:pPr>
      <w:rPr>
        <w:rFonts w:ascii="Symbol" w:hAnsi="Symbol"/>
      </w:rPr>
    </w:lvl>
    <w:lvl w:ilvl="5" w:tplc="365A9A24">
      <w:start w:val="1"/>
      <w:numFmt w:val="bullet"/>
      <w:lvlText w:val=""/>
      <w:lvlJc w:val="left"/>
      <w:pPr>
        <w:ind w:left="720" w:hanging="360"/>
      </w:pPr>
      <w:rPr>
        <w:rFonts w:ascii="Symbol" w:hAnsi="Symbol"/>
      </w:rPr>
    </w:lvl>
    <w:lvl w:ilvl="6" w:tplc="0750CF24">
      <w:start w:val="1"/>
      <w:numFmt w:val="bullet"/>
      <w:lvlText w:val=""/>
      <w:lvlJc w:val="left"/>
      <w:pPr>
        <w:ind w:left="720" w:hanging="360"/>
      </w:pPr>
      <w:rPr>
        <w:rFonts w:ascii="Symbol" w:hAnsi="Symbol"/>
      </w:rPr>
    </w:lvl>
    <w:lvl w:ilvl="7" w:tplc="375E669C">
      <w:start w:val="1"/>
      <w:numFmt w:val="bullet"/>
      <w:lvlText w:val=""/>
      <w:lvlJc w:val="left"/>
      <w:pPr>
        <w:ind w:left="720" w:hanging="360"/>
      </w:pPr>
      <w:rPr>
        <w:rFonts w:ascii="Symbol" w:hAnsi="Symbol"/>
      </w:rPr>
    </w:lvl>
    <w:lvl w:ilvl="8" w:tplc="C9B48BB4">
      <w:start w:val="1"/>
      <w:numFmt w:val="bullet"/>
      <w:lvlText w:val=""/>
      <w:lvlJc w:val="left"/>
      <w:pPr>
        <w:ind w:left="720" w:hanging="360"/>
      </w:pPr>
      <w:rPr>
        <w:rFonts w:ascii="Symbol" w:hAnsi="Symbol"/>
      </w:rPr>
    </w:lvl>
  </w:abstractNum>
  <w:abstractNum w:abstractNumId="19" w15:restartNumberingAfterBreak="0">
    <w:nsid w:val="3A7559E2"/>
    <w:multiLevelType w:val="hybridMultilevel"/>
    <w:tmpl w:val="300231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D0A7632"/>
    <w:multiLevelType w:val="hybridMultilevel"/>
    <w:tmpl w:val="5FCA1BB8"/>
    <w:lvl w:ilvl="0" w:tplc="73969C6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145109F"/>
    <w:multiLevelType w:val="hybridMultilevel"/>
    <w:tmpl w:val="5D3A0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7272C2"/>
    <w:multiLevelType w:val="hybridMultilevel"/>
    <w:tmpl w:val="A006A5B4"/>
    <w:lvl w:ilvl="0" w:tplc="5808C366">
      <w:start w:val="1"/>
      <w:numFmt w:val="bullet"/>
      <w:lvlText w:val=""/>
      <w:lvlJc w:val="left"/>
      <w:pPr>
        <w:ind w:left="1440" w:hanging="360"/>
      </w:pPr>
      <w:rPr>
        <w:rFonts w:ascii="Symbol" w:hAnsi="Symbol"/>
      </w:rPr>
    </w:lvl>
    <w:lvl w:ilvl="1" w:tplc="C360CDA2">
      <w:start w:val="1"/>
      <w:numFmt w:val="bullet"/>
      <w:lvlText w:val=""/>
      <w:lvlJc w:val="left"/>
      <w:pPr>
        <w:ind w:left="1440" w:hanging="360"/>
      </w:pPr>
      <w:rPr>
        <w:rFonts w:ascii="Symbol" w:hAnsi="Symbol"/>
      </w:rPr>
    </w:lvl>
    <w:lvl w:ilvl="2" w:tplc="40184588">
      <w:start w:val="1"/>
      <w:numFmt w:val="bullet"/>
      <w:lvlText w:val=""/>
      <w:lvlJc w:val="left"/>
      <w:pPr>
        <w:ind w:left="1440" w:hanging="360"/>
      </w:pPr>
      <w:rPr>
        <w:rFonts w:ascii="Symbol" w:hAnsi="Symbol"/>
      </w:rPr>
    </w:lvl>
    <w:lvl w:ilvl="3" w:tplc="C066C00C">
      <w:start w:val="1"/>
      <w:numFmt w:val="bullet"/>
      <w:lvlText w:val=""/>
      <w:lvlJc w:val="left"/>
      <w:pPr>
        <w:ind w:left="1440" w:hanging="360"/>
      </w:pPr>
      <w:rPr>
        <w:rFonts w:ascii="Symbol" w:hAnsi="Symbol"/>
      </w:rPr>
    </w:lvl>
    <w:lvl w:ilvl="4" w:tplc="0EC4F24E">
      <w:start w:val="1"/>
      <w:numFmt w:val="bullet"/>
      <w:lvlText w:val=""/>
      <w:lvlJc w:val="left"/>
      <w:pPr>
        <w:ind w:left="1440" w:hanging="360"/>
      </w:pPr>
      <w:rPr>
        <w:rFonts w:ascii="Symbol" w:hAnsi="Symbol"/>
      </w:rPr>
    </w:lvl>
    <w:lvl w:ilvl="5" w:tplc="379247A4">
      <w:start w:val="1"/>
      <w:numFmt w:val="bullet"/>
      <w:lvlText w:val=""/>
      <w:lvlJc w:val="left"/>
      <w:pPr>
        <w:ind w:left="1440" w:hanging="360"/>
      </w:pPr>
      <w:rPr>
        <w:rFonts w:ascii="Symbol" w:hAnsi="Symbol"/>
      </w:rPr>
    </w:lvl>
    <w:lvl w:ilvl="6" w:tplc="B4E8BFF4">
      <w:start w:val="1"/>
      <w:numFmt w:val="bullet"/>
      <w:lvlText w:val=""/>
      <w:lvlJc w:val="left"/>
      <w:pPr>
        <w:ind w:left="1440" w:hanging="360"/>
      </w:pPr>
      <w:rPr>
        <w:rFonts w:ascii="Symbol" w:hAnsi="Symbol"/>
      </w:rPr>
    </w:lvl>
    <w:lvl w:ilvl="7" w:tplc="8E68B98C">
      <w:start w:val="1"/>
      <w:numFmt w:val="bullet"/>
      <w:lvlText w:val=""/>
      <w:lvlJc w:val="left"/>
      <w:pPr>
        <w:ind w:left="1440" w:hanging="360"/>
      </w:pPr>
      <w:rPr>
        <w:rFonts w:ascii="Symbol" w:hAnsi="Symbol"/>
      </w:rPr>
    </w:lvl>
    <w:lvl w:ilvl="8" w:tplc="DE1A0F8C">
      <w:start w:val="1"/>
      <w:numFmt w:val="bullet"/>
      <w:lvlText w:val=""/>
      <w:lvlJc w:val="left"/>
      <w:pPr>
        <w:ind w:left="1440" w:hanging="360"/>
      </w:pPr>
      <w:rPr>
        <w:rFonts w:ascii="Symbol" w:hAnsi="Symbol"/>
      </w:rPr>
    </w:lvl>
  </w:abstractNum>
  <w:abstractNum w:abstractNumId="25"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6" w15:restartNumberingAfterBreak="0">
    <w:nsid w:val="58B96D66"/>
    <w:multiLevelType w:val="hybridMultilevel"/>
    <w:tmpl w:val="9042DEF4"/>
    <w:lvl w:ilvl="0" w:tplc="FFFFFFFF">
      <w:start w:val="1"/>
      <w:numFmt w:val="bullet"/>
      <w:lvlText w:val=""/>
      <w:lvlJc w:val="left"/>
      <w:pPr>
        <w:ind w:left="360" w:hanging="360"/>
      </w:pPr>
      <w:rPr>
        <w:rFonts w:ascii="Symbol" w:hAnsi="Symbol" w:hint="default"/>
        <w:color w:val="auto"/>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8"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9" w15:restartNumberingAfterBreak="0">
    <w:nsid w:val="5F8D5E1B"/>
    <w:multiLevelType w:val="hybridMultilevel"/>
    <w:tmpl w:val="09D8F57C"/>
    <w:lvl w:ilvl="0" w:tplc="30A6E1A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D291EA6"/>
    <w:multiLevelType w:val="multilevel"/>
    <w:tmpl w:val="E6303AF0"/>
    <w:lvl w:ilvl="0">
      <w:numFmt w:val="decimal"/>
      <w:lvlText w:val="%1."/>
      <w:lvlJc w:val="left"/>
      <w:pPr>
        <w:ind w:left="420" w:hanging="420"/>
      </w:pPr>
      <w:rPr>
        <w:rFonts w:hint="default"/>
      </w:rPr>
    </w:lvl>
    <w:lvl w:ilvl="1">
      <w:start w:val="1"/>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EA33409"/>
    <w:multiLevelType w:val="hybridMultilevel"/>
    <w:tmpl w:val="1868B9D6"/>
    <w:lvl w:ilvl="0" w:tplc="C7F8FD98">
      <w:start w:val="1"/>
      <w:numFmt w:val="bullet"/>
      <w:lvlText w:val=""/>
      <w:lvlJc w:val="left"/>
      <w:pPr>
        <w:ind w:left="720" w:hanging="360"/>
      </w:pPr>
      <w:rPr>
        <w:rFonts w:ascii="Symbol" w:hAnsi="Symbol"/>
      </w:rPr>
    </w:lvl>
    <w:lvl w:ilvl="1" w:tplc="602A81E8">
      <w:start w:val="1"/>
      <w:numFmt w:val="bullet"/>
      <w:lvlText w:val=""/>
      <w:lvlJc w:val="left"/>
      <w:pPr>
        <w:ind w:left="720" w:hanging="360"/>
      </w:pPr>
      <w:rPr>
        <w:rFonts w:ascii="Symbol" w:hAnsi="Symbol"/>
      </w:rPr>
    </w:lvl>
    <w:lvl w:ilvl="2" w:tplc="24B6C04C">
      <w:start w:val="1"/>
      <w:numFmt w:val="bullet"/>
      <w:lvlText w:val=""/>
      <w:lvlJc w:val="left"/>
      <w:pPr>
        <w:ind w:left="720" w:hanging="360"/>
      </w:pPr>
      <w:rPr>
        <w:rFonts w:ascii="Symbol" w:hAnsi="Symbol"/>
      </w:rPr>
    </w:lvl>
    <w:lvl w:ilvl="3" w:tplc="CD2226AC">
      <w:start w:val="1"/>
      <w:numFmt w:val="bullet"/>
      <w:lvlText w:val=""/>
      <w:lvlJc w:val="left"/>
      <w:pPr>
        <w:ind w:left="720" w:hanging="360"/>
      </w:pPr>
      <w:rPr>
        <w:rFonts w:ascii="Symbol" w:hAnsi="Symbol"/>
      </w:rPr>
    </w:lvl>
    <w:lvl w:ilvl="4" w:tplc="DD12A5F2">
      <w:start w:val="1"/>
      <w:numFmt w:val="bullet"/>
      <w:lvlText w:val=""/>
      <w:lvlJc w:val="left"/>
      <w:pPr>
        <w:ind w:left="720" w:hanging="360"/>
      </w:pPr>
      <w:rPr>
        <w:rFonts w:ascii="Symbol" w:hAnsi="Symbol"/>
      </w:rPr>
    </w:lvl>
    <w:lvl w:ilvl="5" w:tplc="9E26A008">
      <w:start w:val="1"/>
      <w:numFmt w:val="bullet"/>
      <w:lvlText w:val=""/>
      <w:lvlJc w:val="left"/>
      <w:pPr>
        <w:ind w:left="720" w:hanging="360"/>
      </w:pPr>
      <w:rPr>
        <w:rFonts w:ascii="Symbol" w:hAnsi="Symbol"/>
      </w:rPr>
    </w:lvl>
    <w:lvl w:ilvl="6" w:tplc="DF6265E6">
      <w:start w:val="1"/>
      <w:numFmt w:val="bullet"/>
      <w:lvlText w:val=""/>
      <w:lvlJc w:val="left"/>
      <w:pPr>
        <w:ind w:left="720" w:hanging="360"/>
      </w:pPr>
      <w:rPr>
        <w:rFonts w:ascii="Symbol" w:hAnsi="Symbol"/>
      </w:rPr>
    </w:lvl>
    <w:lvl w:ilvl="7" w:tplc="A6F0DE02">
      <w:start w:val="1"/>
      <w:numFmt w:val="bullet"/>
      <w:lvlText w:val=""/>
      <w:lvlJc w:val="left"/>
      <w:pPr>
        <w:ind w:left="720" w:hanging="360"/>
      </w:pPr>
      <w:rPr>
        <w:rFonts w:ascii="Symbol" w:hAnsi="Symbol"/>
      </w:rPr>
    </w:lvl>
    <w:lvl w:ilvl="8" w:tplc="7444F370">
      <w:start w:val="1"/>
      <w:numFmt w:val="bullet"/>
      <w:lvlText w:val=""/>
      <w:lvlJc w:val="left"/>
      <w:pPr>
        <w:ind w:left="720" w:hanging="360"/>
      </w:pPr>
      <w:rPr>
        <w:rFonts w:ascii="Symbol" w:hAnsi="Symbol"/>
      </w:rPr>
    </w:lvl>
  </w:abstractNum>
  <w:abstractNum w:abstractNumId="32" w15:restartNumberingAfterBreak="0">
    <w:nsid w:val="70180947"/>
    <w:multiLevelType w:val="hybridMultilevel"/>
    <w:tmpl w:val="20525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27F3AFC"/>
    <w:multiLevelType w:val="hybridMultilevel"/>
    <w:tmpl w:val="139000EA"/>
    <w:lvl w:ilvl="0" w:tplc="60A057FE">
      <w:start w:val="1"/>
      <w:numFmt w:val="bullet"/>
      <w:lvlText w:val=""/>
      <w:lvlJc w:val="left"/>
      <w:pPr>
        <w:ind w:left="720" w:hanging="360"/>
      </w:pPr>
      <w:rPr>
        <w:rFonts w:ascii="Symbol" w:hAnsi="Symbol"/>
      </w:rPr>
    </w:lvl>
    <w:lvl w:ilvl="1" w:tplc="1310C9A4">
      <w:start w:val="1"/>
      <w:numFmt w:val="bullet"/>
      <w:lvlText w:val=""/>
      <w:lvlJc w:val="left"/>
      <w:pPr>
        <w:ind w:left="720" w:hanging="360"/>
      </w:pPr>
      <w:rPr>
        <w:rFonts w:ascii="Symbol" w:hAnsi="Symbol"/>
      </w:rPr>
    </w:lvl>
    <w:lvl w:ilvl="2" w:tplc="4210D0EA">
      <w:start w:val="1"/>
      <w:numFmt w:val="bullet"/>
      <w:lvlText w:val=""/>
      <w:lvlJc w:val="left"/>
      <w:pPr>
        <w:ind w:left="720" w:hanging="360"/>
      </w:pPr>
      <w:rPr>
        <w:rFonts w:ascii="Symbol" w:hAnsi="Symbol"/>
      </w:rPr>
    </w:lvl>
    <w:lvl w:ilvl="3" w:tplc="2D4AE5D8">
      <w:start w:val="1"/>
      <w:numFmt w:val="bullet"/>
      <w:lvlText w:val=""/>
      <w:lvlJc w:val="left"/>
      <w:pPr>
        <w:ind w:left="720" w:hanging="360"/>
      </w:pPr>
      <w:rPr>
        <w:rFonts w:ascii="Symbol" w:hAnsi="Symbol"/>
      </w:rPr>
    </w:lvl>
    <w:lvl w:ilvl="4" w:tplc="49AA8016">
      <w:start w:val="1"/>
      <w:numFmt w:val="bullet"/>
      <w:lvlText w:val=""/>
      <w:lvlJc w:val="left"/>
      <w:pPr>
        <w:ind w:left="720" w:hanging="360"/>
      </w:pPr>
      <w:rPr>
        <w:rFonts w:ascii="Symbol" w:hAnsi="Symbol"/>
      </w:rPr>
    </w:lvl>
    <w:lvl w:ilvl="5" w:tplc="2BAE00BE">
      <w:start w:val="1"/>
      <w:numFmt w:val="bullet"/>
      <w:lvlText w:val=""/>
      <w:lvlJc w:val="left"/>
      <w:pPr>
        <w:ind w:left="720" w:hanging="360"/>
      </w:pPr>
      <w:rPr>
        <w:rFonts w:ascii="Symbol" w:hAnsi="Symbol"/>
      </w:rPr>
    </w:lvl>
    <w:lvl w:ilvl="6" w:tplc="D2CEDB6C">
      <w:start w:val="1"/>
      <w:numFmt w:val="bullet"/>
      <w:lvlText w:val=""/>
      <w:lvlJc w:val="left"/>
      <w:pPr>
        <w:ind w:left="720" w:hanging="360"/>
      </w:pPr>
      <w:rPr>
        <w:rFonts w:ascii="Symbol" w:hAnsi="Symbol"/>
      </w:rPr>
    </w:lvl>
    <w:lvl w:ilvl="7" w:tplc="7FB600FC">
      <w:start w:val="1"/>
      <w:numFmt w:val="bullet"/>
      <w:lvlText w:val=""/>
      <w:lvlJc w:val="left"/>
      <w:pPr>
        <w:ind w:left="720" w:hanging="360"/>
      </w:pPr>
      <w:rPr>
        <w:rFonts w:ascii="Symbol" w:hAnsi="Symbol"/>
      </w:rPr>
    </w:lvl>
    <w:lvl w:ilvl="8" w:tplc="FC1A3D50">
      <w:start w:val="1"/>
      <w:numFmt w:val="bullet"/>
      <w:lvlText w:val=""/>
      <w:lvlJc w:val="left"/>
      <w:pPr>
        <w:ind w:left="720" w:hanging="360"/>
      </w:pPr>
      <w:rPr>
        <w:rFonts w:ascii="Symbol" w:hAnsi="Symbol"/>
      </w:rPr>
    </w:lvl>
  </w:abstractNum>
  <w:abstractNum w:abstractNumId="34" w15:restartNumberingAfterBreak="0">
    <w:nsid w:val="72A62ADD"/>
    <w:multiLevelType w:val="hybridMultilevel"/>
    <w:tmpl w:val="430C78D8"/>
    <w:lvl w:ilvl="0" w:tplc="58CE537A">
      <w:start w:val="1"/>
      <w:numFmt w:val="decimal"/>
      <w:lvlText w:val="%1."/>
      <w:lvlJc w:val="left"/>
      <w:pPr>
        <w:ind w:left="1020" w:hanging="360"/>
      </w:pPr>
    </w:lvl>
    <w:lvl w:ilvl="1" w:tplc="00C0428E">
      <w:start w:val="1"/>
      <w:numFmt w:val="decimal"/>
      <w:lvlText w:val="%2."/>
      <w:lvlJc w:val="left"/>
      <w:pPr>
        <w:ind w:left="1020" w:hanging="360"/>
      </w:pPr>
    </w:lvl>
    <w:lvl w:ilvl="2" w:tplc="A88EEF9E">
      <w:start w:val="1"/>
      <w:numFmt w:val="decimal"/>
      <w:lvlText w:val="%3."/>
      <w:lvlJc w:val="left"/>
      <w:pPr>
        <w:ind w:left="1020" w:hanging="360"/>
      </w:pPr>
    </w:lvl>
    <w:lvl w:ilvl="3" w:tplc="249E09EE">
      <w:start w:val="1"/>
      <w:numFmt w:val="decimal"/>
      <w:lvlText w:val="%4."/>
      <w:lvlJc w:val="left"/>
      <w:pPr>
        <w:ind w:left="1020" w:hanging="360"/>
      </w:pPr>
    </w:lvl>
    <w:lvl w:ilvl="4" w:tplc="3C284BF0">
      <w:start w:val="1"/>
      <w:numFmt w:val="decimal"/>
      <w:lvlText w:val="%5."/>
      <w:lvlJc w:val="left"/>
      <w:pPr>
        <w:ind w:left="1020" w:hanging="360"/>
      </w:pPr>
    </w:lvl>
    <w:lvl w:ilvl="5" w:tplc="8FFC4804">
      <w:start w:val="1"/>
      <w:numFmt w:val="decimal"/>
      <w:lvlText w:val="%6."/>
      <w:lvlJc w:val="left"/>
      <w:pPr>
        <w:ind w:left="1020" w:hanging="360"/>
      </w:pPr>
    </w:lvl>
    <w:lvl w:ilvl="6" w:tplc="132A8CEA">
      <w:start w:val="1"/>
      <w:numFmt w:val="decimal"/>
      <w:lvlText w:val="%7."/>
      <w:lvlJc w:val="left"/>
      <w:pPr>
        <w:ind w:left="1020" w:hanging="360"/>
      </w:pPr>
    </w:lvl>
    <w:lvl w:ilvl="7" w:tplc="5C7EDB50">
      <w:start w:val="1"/>
      <w:numFmt w:val="decimal"/>
      <w:lvlText w:val="%8."/>
      <w:lvlJc w:val="left"/>
      <w:pPr>
        <w:ind w:left="1020" w:hanging="360"/>
      </w:pPr>
    </w:lvl>
    <w:lvl w:ilvl="8" w:tplc="3BC6A0A0">
      <w:start w:val="1"/>
      <w:numFmt w:val="decimal"/>
      <w:lvlText w:val="%9."/>
      <w:lvlJc w:val="left"/>
      <w:pPr>
        <w:ind w:left="1020" w:hanging="360"/>
      </w:pPr>
    </w:lvl>
  </w:abstractNum>
  <w:abstractNum w:abstractNumId="35" w15:restartNumberingAfterBreak="0">
    <w:nsid w:val="7AB82688"/>
    <w:multiLevelType w:val="hybridMultilevel"/>
    <w:tmpl w:val="E2FA3C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D521594"/>
    <w:multiLevelType w:val="hybridMultilevel"/>
    <w:tmpl w:val="23167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6021514">
    <w:abstractNumId w:val="21"/>
  </w:num>
  <w:num w:numId="2" w16cid:durableId="1995841587">
    <w:abstractNumId w:val="7"/>
  </w:num>
  <w:num w:numId="3" w16cid:durableId="316345877">
    <w:abstractNumId w:val="27"/>
  </w:num>
  <w:num w:numId="4" w16cid:durableId="435174907">
    <w:abstractNumId w:val="28"/>
  </w:num>
  <w:num w:numId="5" w16cid:durableId="106850135">
    <w:abstractNumId w:val="11"/>
  </w:num>
  <w:num w:numId="6" w16cid:durableId="1529374806">
    <w:abstractNumId w:val="17"/>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197C7D" w:themeColor="accent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b/>
          <w:bCs w:val="0"/>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 w16cid:durableId="69931477">
    <w:abstractNumId w:val="25"/>
  </w:num>
  <w:num w:numId="8" w16cid:durableId="1710959979">
    <w:abstractNumId w:val="10"/>
  </w:num>
  <w:num w:numId="9" w16cid:durableId="1309628347">
    <w:abstractNumId w:val="22"/>
  </w:num>
  <w:num w:numId="10" w16cid:durableId="143353248">
    <w:abstractNumId w:val="4"/>
  </w:num>
  <w:num w:numId="11" w16cid:durableId="2110619321">
    <w:abstractNumId w:val="17"/>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2" w16cid:durableId="1336348550">
    <w:abstractNumId w:val="26"/>
  </w:num>
  <w:num w:numId="13" w16cid:durableId="1284724780">
    <w:abstractNumId w:val="23"/>
  </w:num>
  <w:num w:numId="14" w16cid:durableId="2105765207">
    <w:abstractNumId w:val="6"/>
  </w:num>
  <w:num w:numId="15" w16cid:durableId="1104807111">
    <w:abstractNumId w:val="3"/>
  </w:num>
  <w:num w:numId="16" w16cid:durableId="1813594599">
    <w:abstractNumId w:val="14"/>
  </w:num>
  <w:num w:numId="17" w16cid:durableId="1176967008">
    <w:abstractNumId w:val="9"/>
  </w:num>
  <w:num w:numId="18" w16cid:durableId="340089775">
    <w:abstractNumId w:val="35"/>
  </w:num>
  <w:num w:numId="19" w16cid:durableId="89933334">
    <w:abstractNumId w:val="19"/>
  </w:num>
  <w:num w:numId="20" w16cid:durableId="485052117">
    <w:abstractNumId w:val="15"/>
  </w:num>
  <w:num w:numId="21" w16cid:durableId="1708674969">
    <w:abstractNumId w:val="34"/>
  </w:num>
  <w:num w:numId="22" w16cid:durableId="1540242919">
    <w:abstractNumId w:val="20"/>
  </w:num>
  <w:num w:numId="23" w16cid:durableId="72944082">
    <w:abstractNumId w:val="24"/>
  </w:num>
  <w:num w:numId="24" w16cid:durableId="1102997544">
    <w:abstractNumId w:val="5"/>
  </w:num>
  <w:num w:numId="25" w16cid:durableId="1110514642">
    <w:abstractNumId w:val="12"/>
  </w:num>
  <w:num w:numId="26" w16cid:durableId="482626317">
    <w:abstractNumId w:val="17"/>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197C7D" w:themeColor="accent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7" w16cid:durableId="2112359908">
    <w:abstractNumId w:val="17"/>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197C7D" w:themeColor="accent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8" w16cid:durableId="765418631">
    <w:abstractNumId w:val="16"/>
  </w:num>
  <w:num w:numId="29" w16cid:durableId="1214463772">
    <w:abstractNumId w:val="36"/>
  </w:num>
  <w:num w:numId="30" w16cid:durableId="1296911107">
    <w:abstractNumId w:val="29"/>
  </w:num>
  <w:num w:numId="31" w16cid:durableId="1627659535">
    <w:abstractNumId w:val="8"/>
  </w:num>
  <w:num w:numId="32" w16cid:durableId="1183321496">
    <w:abstractNumId w:val="13"/>
  </w:num>
  <w:num w:numId="33" w16cid:durableId="1985772975">
    <w:abstractNumId w:val="33"/>
  </w:num>
  <w:num w:numId="34" w16cid:durableId="930426900">
    <w:abstractNumId w:val="31"/>
  </w:num>
  <w:num w:numId="35" w16cid:durableId="561331424">
    <w:abstractNumId w:val="2"/>
  </w:num>
  <w:num w:numId="36" w16cid:durableId="1694578441">
    <w:abstractNumId w:val="18"/>
  </w:num>
  <w:num w:numId="37" w16cid:durableId="267587708">
    <w:abstractNumId w:val="17"/>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197C7D" w:themeColor="accent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8" w16cid:durableId="2054226554">
    <w:abstractNumId w:val="17"/>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197C7D" w:themeColor="accent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9" w16cid:durableId="756287871">
    <w:abstractNumId w:val="17"/>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197C7D" w:themeColor="accent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0" w16cid:durableId="329337139">
    <w:abstractNumId w:val="17"/>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197C7D" w:themeColor="accent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16cid:durableId="1985574551">
    <w:abstractNumId w:val="17"/>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197C7D" w:themeColor="accent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2" w16cid:durableId="347756599">
    <w:abstractNumId w:val="0"/>
  </w:num>
  <w:num w:numId="43" w16cid:durableId="175314826">
    <w:abstractNumId w:val="17"/>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197C7D" w:themeColor="accent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b/>
          <w:bCs w:val="0"/>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4" w16cid:durableId="2068845080">
    <w:abstractNumId w:val="1"/>
  </w:num>
  <w:num w:numId="45" w16cid:durableId="726803466">
    <w:abstractNumId w:val="32"/>
  </w:num>
  <w:num w:numId="46" w16cid:durableId="740955518">
    <w:abstractNumId w:val="17"/>
    <w:lvlOverride w:ilvl="0">
      <w:startOverride w:val="1"/>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197C7D" w:themeColor="accent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startOverride w:val="1"/>
      <w:lvl w:ilvl="1">
        <w:start w:val="1"/>
        <w:numFmt w:val="decimal"/>
        <w:pStyle w:val="Heading3"/>
        <w:lvlText w:val="%1.%2"/>
        <w:lvlJc w:val="left"/>
        <w:pPr>
          <w:ind w:left="964" w:hanging="964"/>
        </w:pPr>
        <w:rPr>
          <w:rFonts w:hint="default"/>
          <w:b/>
          <w:bCs w:val="0"/>
        </w:rPr>
      </w:lvl>
    </w:lvlOverride>
    <w:lvlOverride w:ilvl="2">
      <w:startOverride w:val="1"/>
      <w:lvl w:ilvl="2">
        <w:start w:val="1"/>
        <w:numFmt w:val="decimal"/>
        <w:pStyle w:val="Heading4"/>
        <w:lvlText w:val="%1.%2.%3"/>
        <w:lvlJc w:val="left"/>
        <w:pPr>
          <w:ind w:left="964" w:hanging="964"/>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2"/>
      <w:lvl w:ilvl="4">
        <w:start w:val="2"/>
        <w:numFmt w:val="lowerLetter"/>
        <w:lvlText w:val="%5."/>
        <w:lvlJc w:val="left"/>
        <w:pPr>
          <w:ind w:left="3600" w:hanging="360"/>
        </w:pPr>
        <w:rPr>
          <w:rFonts w:hint="default"/>
        </w:rPr>
      </w:lvl>
    </w:lvlOverride>
  </w:num>
  <w:num w:numId="47" w16cid:durableId="1666740422">
    <w:abstractNumId w:val="3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E9"/>
    <w:rsid w:val="00000104"/>
    <w:rsid w:val="000001B0"/>
    <w:rsid w:val="000001F3"/>
    <w:rsid w:val="00000296"/>
    <w:rsid w:val="000003DB"/>
    <w:rsid w:val="0000055E"/>
    <w:rsid w:val="000006B3"/>
    <w:rsid w:val="00000765"/>
    <w:rsid w:val="000007EC"/>
    <w:rsid w:val="000008A9"/>
    <w:rsid w:val="0000096E"/>
    <w:rsid w:val="00000A3A"/>
    <w:rsid w:val="00000B76"/>
    <w:rsid w:val="00000C63"/>
    <w:rsid w:val="00000E14"/>
    <w:rsid w:val="00000E41"/>
    <w:rsid w:val="00000E96"/>
    <w:rsid w:val="00000F5B"/>
    <w:rsid w:val="00001180"/>
    <w:rsid w:val="000011CF"/>
    <w:rsid w:val="0000130F"/>
    <w:rsid w:val="00001464"/>
    <w:rsid w:val="0000146A"/>
    <w:rsid w:val="000014AC"/>
    <w:rsid w:val="000014BD"/>
    <w:rsid w:val="000014C8"/>
    <w:rsid w:val="000014D1"/>
    <w:rsid w:val="00001582"/>
    <w:rsid w:val="00001585"/>
    <w:rsid w:val="0000197B"/>
    <w:rsid w:val="00001A17"/>
    <w:rsid w:val="00001BD0"/>
    <w:rsid w:val="00001C00"/>
    <w:rsid w:val="00001D2A"/>
    <w:rsid w:val="00001D3B"/>
    <w:rsid w:val="00001D6E"/>
    <w:rsid w:val="00001DC9"/>
    <w:rsid w:val="00002035"/>
    <w:rsid w:val="00002112"/>
    <w:rsid w:val="0000227D"/>
    <w:rsid w:val="000022BD"/>
    <w:rsid w:val="000023EF"/>
    <w:rsid w:val="00002563"/>
    <w:rsid w:val="00002767"/>
    <w:rsid w:val="000027CF"/>
    <w:rsid w:val="000028B3"/>
    <w:rsid w:val="0000291D"/>
    <w:rsid w:val="00002D49"/>
    <w:rsid w:val="00002D5E"/>
    <w:rsid w:val="00002E47"/>
    <w:rsid w:val="00002E96"/>
    <w:rsid w:val="00002EF3"/>
    <w:rsid w:val="00002F33"/>
    <w:rsid w:val="00002F34"/>
    <w:rsid w:val="00003047"/>
    <w:rsid w:val="0000307B"/>
    <w:rsid w:val="000030FF"/>
    <w:rsid w:val="00003245"/>
    <w:rsid w:val="00003400"/>
    <w:rsid w:val="00003592"/>
    <w:rsid w:val="00003742"/>
    <w:rsid w:val="000037C3"/>
    <w:rsid w:val="00003887"/>
    <w:rsid w:val="00003897"/>
    <w:rsid w:val="00003898"/>
    <w:rsid w:val="000038AC"/>
    <w:rsid w:val="000038B0"/>
    <w:rsid w:val="000038CB"/>
    <w:rsid w:val="000038DE"/>
    <w:rsid w:val="00003AA4"/>
    <w:rsid w:val="00003B2B"/>
    <w:rsid w:val="00003B97"/>
    <w:rsid w:val="00003C1C"/>
    <w:rsid w:val="00003CBD"/>
    <w:rsid w:val="00003CD5"/>
    <w:rsid w:val="00003D0E"/>
    <w:rsid w:val="00003DAC"/>
    <w:rsid w:val="00003EF5"/>
    <w:rsid w:val="00003FA2"/>
    <w:rsid w:val="000040A7"/>
    <w:rsid w:val="00004124"/>
    <w:rsid w:val="00004195"/>
    <w:rsid w:val="000042CD"/>
    <w:rsid w:val="0000435A"/>
    <w:rsid w:val="00004493"/>
    <w:rsid w:val="000044A6"/>
    <w:rsid w:val="000046A1"/>
    <w:rsid w:val="000046F9"/>
    <w:rsid w:val="0000477F"/>
    <w:rsid w:val="00004785"/>
    <w:rsid w:val="00004AE5"/>
    <w:rsid w:val="00004C5A"/>
    <w:rsid w:val="00004DEF"/>
    <w:rsid w:val="00004DF0"/>
    <w:rsid w:val="00004EFB"/>
    <w:rsid w:val="00004F21"/>
    <w:rsid w:val="00004F87"/>
    <w:rsid w:val="00004FFE"/>
    <w:rsid w:val="00005068"/>
    <w:rsid w:val="0000507B"/>
    <w:rsid w:val="0000513E"/>
    <w:rsid w:val="0000514F"/>
    <w:rsid w:val="0000528A"/>
    <w:rsid w:val="000053EB"/>
    <w:rsid w:val="000055D6"/>
    <w:rsid w:val="00005722"/>
    <w:rsid w:val="00005747"/>
    <w:rsid w:val="0000577F"/>
    <w:rsid w:val="000057D0"/>
    <w:rsid w:val="000057E7"/>
    <w:rsid w:val="0000583B"/>
    <w:rsid w:val="00005864"/>
    <w:rsid w:val="0000591A"/>
    <w:rsid w:val="00005921"/>
    <w:rsid w:val="00005A33"/>
    <w:rsid w:val="00005A45"/>
    <w:rsid w:val="00005B03"/>
    <w:rsid w:val="00005F23"/>
    <w:rsid w:val="0000609C"/>
    <w:rsid w:val="000060F1"/>
    <w:rsid w:val="00006151"/>
    <w:rsid w:val="0000633B"/>
    <w:rsid w:val="0000641A"/>
    <w:rsid w:val="000064B2"/>
    <w:rsid w:val="00006551"/>
    <w:rsid w:val="00006553"/>
    <w:rsid w:val="000065A9"/>
    <w:rsid w:val="00006609"/>
    <w:rsid w:val="0000669B"/>
    <w:rsid w:val="00006818"/>
    <w:rsid w:val="00006847"/>
    <w:rsid w:val="0000689E"/>
    <w:rsid w:val="000068AF"/>
    <w:rsid w:val="000069B7"/>
    <w:rsid w:val="00006A93"/>
    <w:rsid w:val="00006B97"/>
    <w:rsid w:val="00006CA0"/>
    <w:rsid w:val="00006D09"/>
    <w:rsid w:val="00006D11"/>
    <w:rsid w:val="00006DA6"/>
    <w:rsid w:val="00006DC7"/>
    <w:rsid w:val="00006DE0"/>
    <w:rsid w:val="00007016"/>
    <w:rsid w:val="00007048"/>
    <w:rsid w:val="0000705C"/>
    <w:rsid w:val="000070D7"/>
    <w:rsid w:val="00007125"/>
    <w:rsid w:val="00007184"/>
    <w:rsid w:val="0000718C"/>
    <w:rsid w:val="000071D1"/>
    <w:rsid w:val="000072AF"/>
    <w:rsid w:val="00007340"/>
    <w:rsid w:val="00007376"/>
    <w:rsid w:val="000073D0"/>
    <w:rsid w:val="00007551"/>
    <w:rsid w:val="00007584"/>
    <w:rsid w:val="00007585"/>
    <w:rsid w:val="00007651"/>
    <w:rsid w:val="000076CB"/>
    <w:rsid w:val="00007764"/>
    <w:rsid w:val="000077E9"/>
    <w:rsid w:val="00007928"/>
    <w:rsid w:val="00007A4D"/>
    <w:rsid w:val="00007A5E"/>
    <w:rsid w:val="00007A7F"/>
    <w:rsid w:val="00007B1E"/>
    <w:rsid w:val="00007E22"/>
    <w:rsid w:val="00007E51"/>
    <w:rsid w:val="00007EE4"/>
    <w:rsid w:val="00007F61"/>
    <w:rsid w:val="00010042"/>
    <w:rsid w:val="0001005D"/>
    <w:rsid w:val="000100A0"/>
    <w:rsid w:val="000101C8"/>
    <w:rsid w:val="0001031D"/>
    <w:rsid w:val="00010397"/>
    <w:rsid w:val="00010489"/>
    <w:rsid w:val="000104A6"/>
    <w:rsid w:val="00010679"/>
    <w:rsid w:val="000107FD"/>
    <w:rsid w:val="00010A1A"/>
    <w:rsid w:val="00010DB8"/>
    <w:rsid w:val="000110D8"/>
    <w:rsid w:val="000111DC"/>
    <w:rsid w:val="000111E0"/>
    <w:rsid w:val="0001130D"/>
    <w:rsid w:val="00011437"/>
    <w:rsid w:val="00011701"/>
    <w:rsid w:val="000119A2"/>
    <w:rsid w:val="00011A35"/>
    <w:rsid w:val="00011AC4"/>
    <w:rsid w:val="00011E6E"/>
    <w:rsid w:val="00011E91"/>
    <w:rsid w:val="00011F4B"/>
    <w:rsid w:val="00011F51"/>
    <w:rsid w:val="00011F78"/>
    <w:rsid w:val="00011FDE"/>
    <w:rsid w:val="00012057"/>
    <w:rsid w:val="00012070"/>
    <w:rsid w:val="0001223B"/>
    <w:rsid w:val="0001225E"/>
    <w:rsid w:val="000122BB"/>
    <w:rsid w:val="00012343"/>
    <w:rsid w:val="00012373"/>
    <w:rsid w:val="00012388"/>
    <w:rsid w:val="0001238F"/>
    <w:rsid w:val="000123F2"/>
    <w:rsid w:val="00012752"/>
    <w:rsid w:val="00012757"/>
    <w:rsid w:val="0001278A"/>
    <w:rsid w:val="000127F3"/>
    <w:rsid w:val="000128C6"/>
    <w:rsid w:val="0001297D"/>
    <w:rsid w:val="000129C5"/>
    <w:rsid w:val="000129FA"/>
    <w:rsid w:val="00012DD9"/>
    <w:rsid w:val="00012E61"/>
    <w:rsid w:val="0001310E"/>
    <w:rsid w:val="00013174"/>
    <w:rsid w:val="0001320D"/>
    <w:rsid w:val="00013306"/>
    <w:rsid w:val="00013350"/>
    <w:rsid w:val="00013473"/>
    <w:rsid w:val="00013477"/>
    <w:rsid w:val="0001363E"/>
    <w:rsid w:val="00013897"/>
    <w:rsid w:val="000138D6"/>
    <w:rsid w:val="000139CB"/>
    <w:rsid w:val="00013A57"/>
    <w:rsid w:val="00013AB5"/>
    <w:rsid w:val="00013ABB"/>
    <w:rsid w:val="00013B4A"/>
    <w:rsid w:val="00013BA3"/>
    <w:rsid w:val="00013BBC"/>
    <w:rsid w:val="00013CDB"/>
    <w:rsid w:val="00013D55"/>
    <w:rsid w:val="00013D65"/>
    <w:rsid w:val="00013E9A"/>
    <w:rsid w:val="00013EF1"/>
    <w:rsid w:val="00013F04"/>
    <w:rsid w:val="00014020"/>
    <w:rsid w:val="000140AC"/>
    <w:rsid w:val="0001420E"/>
    <w:rsid w:val="00014252"/>
    <w:rsid w:val="00014370"/>
    <w:rsid w:val="000143B4"/>
    <w:rsid w:val="000143D8"/>
    <w:rsid w:val="00014604"/>
    <w:rsid w:val="000146EF"/>
    <w:rsid w:val="0001480C"/>
    <w:rsid w:val="00014818"/>
    <w:rsid w:val="000148B7"/>
    <w:rsid w:val="000148CB"/>
    <w:rsid w:val="000148E7"/>
    <w:rsid w:val="00014943"/>
    <w:rsid w:val="00014A38"/>
    <w:rsid w:val="00014A4A"/>
    <w:rsid w:val="00014B31"/>
    <w:rsid w:val="00014B73"/>
    <w:rsid w:val="00014B8B"/>
    <w:rsid w:val="00014E11"/>
    <w:rsid w:val="00014E4F"/>
    <w:rsid w:val="000151FF"/>
    <w:rsid w:val="00015231"/>
    <w:rsid w:val="00015331"/>
    <w:rsid w:val="00015415"/>
    <w:rsid w:val="00015469"/>
    <w:rsid w:val="000154E4"/>
    <w:rsid w:val="000154EB"/>
    <w:rsid w:val="000155D2"/>
    <w:rsid w:val="00015639"/>
    <w:rsid w:val="00015678"/>
    <w:rsid w:val="000156EA"/>
    <w:rsid w:val="00015787"/>
    <w:rsid w:val="00015865"/>
    <w:rsid w:val="000159A6"/>
    <w:rsid w:val="00015AAC"/>
    <w:rsid w:val="00015BE4"/>
    <w:rsid w:val="00015BEC"/>
    <w:rsid w:val="00015D0A"/>
    <w:rsid w:val="00015D1D"/>
    <w:rsid w:val="00015D29"/>
    <w:rsid w:val="00015DCD"/>
    <w:rsid w:val="00015DFC"/>
    <w:rsid w:val="00015E30"/>
    <w:rsid w:val="00015E84"/>
    <w:rsid w:val="00015EC7"/>
    <w:rsid w:val="00015F17"/>
    <w:rsid w:val="00015F31"/>
    <w:rsid w:val="00015F57"/>
    <w:rsid w:val="0001611F"/>
    <w:rsid w:val="000161D1"/>
    <w:rsid w:val="000161F6"/>
    <w:rsid w:val="00016381"/>
    <w:rsid w:val="0001648B"/>
    <w:rsid w:val="0001656D"/>
    <w:rsid w:val="000165B8"/>
    <w:rsid w:val="00016606"/>
    <w:rsid w:val="000166A6"/>
    <w:rsid w:val="000166C1"/>
    <w:rsid w:val="0001676C"/>
    <w:rsid w:val="000167A2"/>
    <w:rsid w:val="00016888"/>
    <w:rsid w:val="00016898"/>
    <w:rsid w:val="000168EE"/>
    <w:rsid w:val="00016923"/>
    <w:rsid w:val="0001692E"/>
    <w:rsid w:val="0001693E"/>
    <w:rsid w:val="00016AA6"/>
    <w:rsid w:val="00016AF7"/>
    <w:rsid w:val="00016B7C"/>
    <w:rsid w:val="00016CB2"/>
    <w:rsid w:val="00016DDA"/>
    <w:rsid w:val="00016E5F"/>
    <w:rsid w:val="00016FD9"/>
    <w:rsid w:val="00016FFA"/>
    <w:rsid w:val="000170BD"/>
    <w:rsid w:val="00017121"/>
    <w:rsid w:val="00017178"/>
    <w:rsid w:val="00017200"/>
    <w:rsid w:val="00017206"/>
    <w:rsid w:val="00017209"/>
    <w:rsid w:val="0001721B"/>
    <w:rsid w:val="0001738A"/>
    <w:rsid w:val="0001739E"/>
    <w:rsid w:val="00017423"/>
    <w:rsid w:val="000174DD"/>
    <w:rsid w:val="000176E7"/>
    <w:rsid w:val="000176FB"/>
    <w:rsid w:val="000177F2"/>
    <w:rsid w:val="0001780B"/>
    <w:rsid w:val="00017929"/>
    <w:rsid w:val="00017A5C"/>
    <w:rsid w:val="00017B84"/>
    <w:rsid w:val="00017BC6"/>
    <w:rsid w:val="00017C20"/>
    <w:rsid w:val="00017D34"/>
    <w:rsid w:val="00017D6D"/>
    <w:rsid w:val="00017D7A"/>
    <w:rsid w:val="00017DEE"/>
    <w:rsid w:val="00017EBA"/>
    <w:rsid w:val="000200D7"/>
    <w:rsid w:val="000201A7"/>
    <w:rsid w:val="00020225"/>
    <w:rsid w:val="0002040C"/>
    <w:rsid w:val="0002041A"/>
    <w:rsid w:val="00020452"/>
    <w:rsid w:val="000204C2"/>
    <w:rsid w:val="0002052E"/>
    <w:rsid w:val="0002054E"/>
    <w:rsid w:val="00020581"/>
    <w:rsid w:val="000205E9"/>
    <w:rsid w:val="00020730"/>
    <w:rsid w:val="00020774"/>
    <w:rsid w:val="000208A8"/>
    <w:rsid w:val="000208B9"/>
    <w:rsid w:val="00020A18"/>
    <w:rsid w:val="00020B16"/>
    <w:rsid w:val="00020D8B"/>
    <w:rsid w:val="00021003"/>
    <w:rsid w:val="0002102B"/>
    <w:rsid w:val="00021202"/>
    <w:rsid w:val="00021242"/>
    <w:rsid w:val="00021274"/>
    <w:rsid w:val="000212A3"/>
    <w:rsid w:val="000212AF"/>
    <w:rsid w:val="00021442"/>
    <w:rsid w:val="0002150D"/>
    <w:rsid w:val="00021535"/>
    <w:rsid w:val="00021567"/>
    <w:rsid w:val="000216C1"/>
    <w:rsid w:val="000217DE"/>
    <w:rsid w:val="000218DB"/>
    <w:rsid w:val="00021AC6"/>
    <w:rsid w:val="00021AD2"/>
    <w:rsid w:val="00021AFD"/>
    <w:rsid w:val="00021B12"/>
    <w:rsid w:val="00021D35"/>
    <w:rsid w:val="00021DE0"/>
    <w:rsid w:val="00021E52"/>
    <w:rsid w:val="00021F1E"/>
    <w:rsid w:val="00021F3B"/>
    <w:rsid w:val="00022153"/>
    <w:rsid w:val="000222CE"/>
    <w:rsid w:val="000223AB"/>
    <w:rsid w:val="000224AB"/>
    <w:rsid w:val="000224D8"/>
    <w:rsid w:val="00022741"/>
    <w:rsid w:val="000228C7"/>
    <w:rsid w:val="000228D3"/>
    <w:rsid w:val="0002294F"/>
    <w:rsid w:val="000229F1"/>
    <w:rsid w:val="00022A77"/>
    <w:rsid w:val="00022A8F"/>
    <w:rsid w:val="00022CAB"/>
    <w:rsid w:val="00022CC9"/>
    <w:rsid w:val="00022CE4"/>
    <w:rsid w:val="00022E2A"/>
    <w:rsid w:val="00022F1E"/>
    <w:rsid w:val="00022FBC"/>
    <w:rsid w:val="0002301C"/>
    <w:rsid w:val="00023052"/>
    <w:rsid w:val="00023085"/>
    <w:rsid w:val="000230A3"/>
    <w:rsid w:val="0002313C"/>
    <w:rsid w:val="00023260"/>
    <w:rsid w:val="0002335E"/>
    <w:rsid w:val="000233A5"/>
    <w:rsid w:val="000233AC"/>
    <w:rsid w:val="000233FC"/>
    <w:rsid w:val="00023606"/>
    <w:rsid w:val="000236AD"/>
    <w:rsid w:val="000237D2"/>
    <w:rsid w:val="0002389E"/>
    <w:rsid w:val="00023ACF"/>
    <w:rsid w:val="00023C3C"/>
    <w:rsid w:val="00023DC3"/>
    <w:rsid w:val="00023DDA"/>
    <w:rsid w:val="00023E5A"/>
    <w:rsid w:val="00023E87"/>
    <w:rsid w:val="00023F47"/>
    <w:rsid w:val="00023FB2"/>
    <w:rsid w:val="00023FE3"/>
    <w:rsid w:val="0002401F"/>
    <w:rsid w:val="00024041"/>
    <w:rsid w:val="0002406B"/>
    <w:rsid w:val="000241E2"/>
    <w:rsid w:val="00024265"/>
    <w:rsid w:val="0002451A"/>
    <w:rsid w:val="0002455E"/>
    <w:rsid w:val="000245A1"/>
    <w:rsid w:val="00024616"/>
    <w:rsid w:val="0002468B"/>
    <w:rsid w:val="00024722"/>
    <w:rsid w:val="00024891"/>
    <w:rsid w:val="000249E5"/>
    <w:rsid w:val="000249F6"/>
    <w:rsid w:val="00024A9F"/>
    <w:rsid w:val="00024B58"/>
    <w:rsid w:val="00024C89"/>
    <w:rsid w:val="00024D9E"/>
    <w:rsid w:val="00024F1C"/>
    <w:rsid w:val="00024F23"/>
    <w:rsid w:val="00024F4C"/>
    <w:rsid w:val="00024FCC"/>
    <w:rsid w:val="00025056"/>
    <w:rsid w:val="00025084"/>
    <w:rsid w:val="00025239"/>
    <w:rsid w:val="00025319"/>
    <w:rsid w:val="00025324"/>
    <w:rsid w:val="00025372"/>
    <w:rsid w:val="000253CD"/>
    <w:rsid w:val="00025438"/>
    <w:rsid w:val="00025447"/>
    <w:rsid w:val="000254C0"/>
    <w:rsid w:val="000254DD"/>
    <w:rsid w:val="000254F5"/>
    <w:rsid w:val="000255DA"/>
    <w:rsid w:val="000256D3"/>
    <w:rsid w:val="000256EC"/>
    <w:rsid w:val="00025704"/>
    <w:rsid w:val="0002593F"/>
    <w:rsid w:val="0002595D"/>
    <w:rsid w:val="00025AC3"/>
    <w:rsid w:val="00025B9F"/>
    <w:rsid w:val="00025CB0"/>
    <w:rsid w:val="00025E54"/>
    <w:rsid w:val="00025E71"/>
    <w:rsid w:val="00025F9F"/>
    <w:rsid w:val="00025FB9"/>
    <w:rsid w:val="00026090"/>
    <w:rsid w:val="00026127"/>
    <w:rsid w:val="00026182"/>
    <w:rsid w:val="000261A0"/>
    <w:rsid w:val="000262F5"/>
    <w:rsid w:val="0002634A"/>
    <w:rsid w:val="0002639F"/>
    <w:rsid w:val="000264F3"/>
    <w:rsid w:val="0002653F"/>
    <w:rsid w:val="00026575"/>
    <w:rsid w:val="000265BB"/>
    <w:rsid w:val="00026665"/>
    <w:rsid w:val="00026695"/>
    <w:rsid w:val="000266A0"/>
    <w:rsid w:val="000266DD"/>
    <w:rsid w:val="0002670E"/>
    <w:rsid w:val="000267FA"/>
    <w:rsid w:val="000268EE"/>
    <w:rsid w:val="000269D5"/>
    <w:rsid w:val="00026B29"/>
    <w:rsid w:val="00026B5E"/>
    <w:rsid w:val="00026BDA"/>
    <w:rsid w:val="00026C5F"/>
    <w:rsid w:val="00026C62"/>
    <w:rsid w:val="00026C7B"/>
    <w:rsid w:val="00026CB2"/>
    <w:rsid w:val="00026DA8"/>
    <w:rsid w:val="00026E43"/>
    <w:rsid w:val="00026E67"/>
    <w:rsid w:val="00026EAE"/>
    <w:rsid w:val="0002701E"/>
    <w:rsid w:val="000270D0"/>
    <w:rsid w:val="0002711C"/>
    <w:rsid w:val="00027251"/>
    <w:rsid w:val="00027278"/>
    <w:rsid w:val="000272A1"/>
    <w:rsid w:val="0002732C"/>
    <w:rsid w:val="00027342"/>
    <w:rsid w:val="0002739B"/>
    <w:rsid w:val="0002744E"/>
    <w:rsid w:val="000274BB"/>
    <w:rsid w:val="000274FF"/>
    <w:rsid w:val="0002758C"/>
    <w:rsid w:val="000275BF"/>
    <w:rsid w:val="00027916"/>
    <w:rsid w:val="00027948"/>
    <w:rsid w:val="000279EB"/>
    <w:rsid w:val="00027A4B"/>
    <w:rsid w:val="00027A7D"/>
    <w:rsid w:val="00027ABA"/>
    <w:rsid w:val="00027C64"/>
    <w:rsid w:val="00027D24"/>
    <w:rsid w:val="00027E42"/>
    <w:rsid w:val="00027E85"/>
    <w:rsid w:val="0003000E"/>
    <w:rsid w:val="000300DE"/>
    <w:rsid w:val="00030277"/>
    <w:rsid w:val="00030371"/>
    <w:rsid w:val="0003040F"/>
    <w:rsid w:val="0003078F"/>
    <w:rsid w:val="000307C8"/>
    <w:rsid w:val="0003083D"/>
    <w:rsid w:val="000308F1"/>
    <w:rsid w:val="000309BD"/>
    <w:rsid w:val="000309C2"/>
    <w:rsid w:val="00030A5B"/>
    <w:rsid w:val="00030AA1"/>
    <w:rsid w:val="00030B09"/>
    <w:rsid w:val="00030B4D"/>
    <w:rsid w:val="00030B5B"/>
    <w:rsid w:val="00030B66"/>
    <w:rsid w:val="00030BAD"/>
    <w:rsid w:val="00030BF3"/>
    <w:rsid w:val="00030C90"/>
    <w:rsid w:val="00030D8F"/>
    <w:rsid w:val="00030E98"/>
    <w:rsid w:val="00030F2B"/>
    <w:rsid w:val="00031197"/>
    <w:rsid w:val="000311F3"/>
    <w:rsid w:val="0003127F"/>
    <w:rsid w:val="00031302"/>
    <w:rsid w:val="00031428"/>
    <w:rsid w:val="00031611"/>
    <w:rsid w:val="00031694"/>
    <w:rsid w:val="0003186D"/>
    <w:rsid w:val="00031A58"/>
    <w:rsid w:val="00031B00"/>
    <w:rsid w:val="00031CD5"/>
    <w:rsid w:val="00031D12"/>
    <w:rsid w:val="00031E4C"/>
    <w:rsid w:val="00031E6B"/>
    <w:rsid w:val="00031E71"/>
    <w:rsid w:val="00031F0F"/>
    <w:rsid w:val="00031F9A"/>
    <w:rsid w:val="000320F1"/>
    <w:rsid w:val="00032225"/>
    <w:rsid w:val="000322A0"/>
    <w:rsid w:val="000323B9"/>
    <w:rsid w:val="000323FF"/>
    <w:rsid w:val="000324AB"/>
    <w:rsid w:val="000325B2"/>
    <w:rsid w:val="00032626"/>
    <w:rsid w:val="00032637"/>
    <w:rsid w:val="00032668"/>
    <w:rsid w:val="00032778"/>
    <w:rsid w:val="00032807"/>
    <w:rsid w:val="0003287B"/>
    <w:rsid w:val="00032A36"/>
    <w:rsid w:val="00032AB3"/>
    <w:rsid w:val="00032B48"/>
    <w:rsid w:val="00032EDE"/>
    <w:rsid w:val="00032F04"/>
    <w:rsid w:val="0003314C"/>
    <w:rsid w:val="00033280"/>
    <w:rsid w:val="0003331E"/>
    <w:rsid w:val="00033486"/>
    <w:rsid w:val="0003348F"/>
    <w:rsid w:val="00033680"/>
    <w:rsid w:val="00033955"/>
    <w:rsid w:val="0003396B"/>
    <w:rsid w:val="0003397E"/>
    <w:rsid w:val="000339D0"/>
    <w:rsid w:val="00033B35"/>
    <w:rsid w:val="00033FA0"/>
    <w:rsid w:val="0003401D"/>
    <w:rsid w:val="0003421F"/>
    <w:rsid w:val="00034244"/>
    <w:rsid w:val="000342BD"/>
    <w:rsid w:val="0003436B"/>
    <w:rsid w:val="0003437E"/>
    <w:rsid w:val="0003441D"/>
    <w:rsid w:val="0003443B"/>
    <w:rsid w:val="000344BB"/>
    <w:rsid w:val="000344E2"/>
    <w:rsid w:val="000347E6"/>
    <w:rsid w:val="00034861"/>
    <w:rsid w:val="00034886"/>
    <w:rsid w:val="00034A5A"/>
    <w:rsid w:val="00034A7D"/>
    <w:rsid w:val="00034EF5"/>
    <w:rsid w:val="00034FA3"/>
    <w:rsid w:val="00035287"/>
    <w:rsid w:val="00035361"/>
    <w:rsid w:val="000353A6"/>
    <w:rsid w:val="00035404"/>
    <w:rsid w:val="0003557B"/>
    <w:rsid w:val="00035634"/>
    <w:rsid w:val="0003568E"/>
    <w:rsid w:val="000356E2"/>
    <w:rsid w:val="00035960"/>
    <w:rsid w:val="000359BA"/>
    <w:rsid w:val="000359D3"/>
    <w:rsid w:val="00035A08"/>
    <w:rsid w:val="00035A46"/>
    <w:rsid w:val="00035C20"/>
    <w:rsid w:val="00035CC1"/>
    <w:rsid w:val="00035EC7"/>
    <w:rsid w:val="00035F34"/>
    <w:rsid w:val="00035FA0"/>
    <w:rsid w:val="00036029"/>
    <w:rsid w:val="00036041"/>
    <w:rsid w:val="00036077"/>
    <w:rsid w:val="0003608D"/>
    <w:rsid w:val="00036106"/>
    <w:rsid w:val="00036126"/>
    <w:rsid w:val="000362A0"/>
    <w:rsid w:val="00036324"/>
    <w:rsid w:val="00036355"/>
    <w:rsid w:val="00036466"/>
    <w:rsid w:val="00036468"/>
    <w:rsid w:val="00036653"/>
    <w:rsid w:val="000368BE"/>
    <w:rsid w:val="000368CB"/>
    <w:rsid w:val="00036A79"/>
    <w:rsid w:val="00036AB0"/>
    <w:rsid w:val="00036AEA"/>
    <w:rsid w:val="00036B05"/>
    <w:rsid w:val="00036C04"/>
    <w:rsid w:val="00036C45"/>
    <w:rsid w:val="00036CFE"/>
    <w:rsid w:val="00036D76"/>
    <w:rsid w:val="00036DB7"/>
    <w:rsid w:val="0003716B"/>
    <w:rsid w:val="000371F7"/>
    <w:rsid w:val="00037351"/>
    <w:rsid w:val="00037455"/>
    <w:rsid w:val="000375E1"/>
    <w:rsid w:val="00037A25"/>
    <w:rsid w:val="00037A3B"/>
    <w:rsid w:val="00037B13"/>
    <w:rsid w:val="00037B77"/>
    <w:rsid w:val="00037C27"/>
    <w:rsid w:val="00037C8F"/>
    <w:rsid w:val="00037CBF"/>
    <w:rsid w:val="00037EEB"/>
    <w:rsid w:val="00037F09"/>
    <w:rsid w:val="00037F8C"/>
    <w:rsid w:val="00037FA1"/>
    <w:rsid w:val="00040033"/>
    <w:rsid w:val="0004004D"/>
    <w:rsid w:val="00040171"/>
    <w:rsid w:val="00040312"/>
    <w:rsid w:val="0004032F"/>
    <w:rsid w:val="000403FA"/>
    <w:rsid w:val="0004058A"/>
    <w:rsid w:val="00040711"/>
    <w:rsid w:val="000407C4"/>
    <w:rsid w:val="00040B0B"/>
    <w:rsid w:val="00040BE2"/>
    <w:rsid w:val="00040C47"/>
    <w:rsid w:val="00040C50"/>
    <w:rsid w:val="00040D72"/>
    <w:rsid w:val="00040E43"/>
    <w:rsid w:val="00040E70"/>
    <w:rsid w:val="00040EE9"/>
    <w:rsid w:val="00040F0A"/>
    <w:rsid w:val="00040FB0"/>
    <w:rsid w:val="00040FB5"/>
    <w:rsid w:val="00040FEF"/>
    <w:rsid w:val="0004107A"/>
    <w:rsid w:val="0004108D"/>
    <w:rsid w:val="00041258"/>
    <w:rsid w:val="00041409"/>
    <w:rsid w:val="0004141B"/>
    <w:rsid w:val="00041487"/>
    <w:rsid w:val="0004169E"/>
    <w:rsid w:val="000416B5"/>
    <w:rsid w:val="00041806"/>
    <w:rsid w:val="000418C3"/>
    <w:rsid w:val="000419CB"/>
    <w:rsid w:val="00041A7B"/>
    <w:rsid w:val="00041A8D"/>
    <w:rsid w:val="00041B5A"/>
    <w:rsid w:val="00041CA3"/>
    <w:rsid w:val="00041DA1"/>
    <w:rsid w:val="00041E4C"/>
    <w:rsid w:val="00041F25"/>
    <w:rsid w:val="00041F44"/>
    <w:rsid w:val="00041FA8"/>
    <w:rsid w:val="00041FB0"/>
    <w:rsid w:val="00042074"/>
    <w:rsid w:val="00042142"/>
    <w:rsid w:val="00042178"/>
    <w:rsid w:val="000421AB"/>
    <w:rsid w:val="00042451"/>
    <w:rsid w:val="000425E5"/>
    <w:rsid w:val="0004262F"/>
    <w:rsid w:val="00042633"/>
    <w:rsid w:val="000426A1"/>
    <w:rsid w:val="0004277A"/>
    <w:rsid w:val="00042800"/>
    <w:rsid w:val="000429DC"/>
    <w:rsid w:val="000429E2"/>
    <w:rsid w:val="000429F7"/>
    <w:rsid w:val="00042B48"/>
    <w:rsid w:val="00042B97"/>
    <w:rsid w:val="00042B9D"/>
    <w:rsid w:val="00042DC0"/>
    <w:rsid w:val="00042E22"/>
    <w:rsid w:val="00042E62"/>
    <w:rsid w:val="00042EEA"/>
    <w:rsid w:val="00042F43"/>
    <w:rsid w:val="00042FD7"/>
    <w:rsid w:val="00043114"/>
    <w:rsid w:val="000432E1"/>
    <w:rsid w:val="00043327"/>
    <w:rsid w:val="0004335C"/>
    <w:rsid w:val="00043372"/>
    <w:rsid w:val="00043433"/>
    <w:rsid w:val="0004355A"/>
    <w:rsid w:val="0004365E"/>
    <w:rsid w:val="000436FB"/>
    <w:rsid w:val="000437EC"/>
    <w:rsid w:val="000438B2"/>
    <w:rsid w:val="000438F5"/>
    <w:rsid w:val="000439E2"/>
    <w:rsid w:val="00043C15"/>
    <w:rsid w:val="00043CC5"/>
    <w:rsid w:val="00043D2D"/>
    <w:rsid w:val="00043E4A"/>
    <w:rsid w:val="00043EA1"/>
    <w:rsid w:val="00044021"/>
    <w:rsid w:val="000440AC"/>
    <w:rsid w:val="000440BB"/>
    <w:rsid w:val="000440D6"/>
    <w:rsid w:val="000441CD"/>
    <w:rsid w:val="00044219"/>
    <w:rsid w:val="00044229"/>
    <w:rsid w:val="00044237"/>
    <w:rsid w:val="0004423C"/>
    <w:rsid w:val="0004425B"/>
    <w:rsid w:val="000442BF"/>
    <w:rsid w:val="00044305"/>
    <w:rsid w:val="00044307"/>
    <w:rsid w:val="00044316"/>
    <w:rsid w:val="00044350"/>
    <w:rsid w:val="0004459B"/>
    <w:rsid w:val="000445A6"/>
    <w:rsid w:val="00044637"/>
    <w:rsid w:val="00044731"/>
    <w:rsid w:val="00044772"/>
    <w:rsid w:val="000447B3"/>
    <w:rsid w:val="000449D6"/>
    <w:rsid w:val="000449F2"/>
    <w:rsid w:val="00044A18"/>
    <w:rsid w:val="00044A5D"/>
    <w:rsid w:val="00044B3C"/>
    <w:rsid w:val="00044B4B"/>
    <w:rsid w:val="00044CC9"/>
    <w:rsid w:val="00044E45"/>
    <w:rsid w:val="00044E47"/>
    <w:rsid w:val="00044E4D"/>
    <w:rsid w:val="00044E5A"/>
    <w:rsid w:val="00044EC4"/>
    <w:rsid w:val="00044FE8"/>
    <w:rsid w:val="000450F1"/>
    <w:rsid w:val="00045150"/>
    <w:rsid w:val="00045152"/>
    <w:rsid w:val="000451CD"/>
    <w:rsid w:val="0004524C"/>
    <w:rsid w:val="000452AF"/>
    <w:rsid w:val="000452EB"/>
    <w:rsid w:val="00045434"/>
    <w:rsid w:val="0004545D"/>
    <w:rsid w:val="0004552A"/>
    <w:rsid w:val="0004559B"/>
    <w:rsid w:val="000456C5"/>
    <w:rsid w:val="000456EB"/>
    <w:rsid w:val="00045724"/>
    <w:rsid w:val="0004574D"/>
    <w:rsid w:val="00045868"/>
    <w:rsid w:val="000458BC"/>
    <w:rsid w:val="000459DF"/>
    <w:rsid w:val="00045B83"/>
    <w:rsid w:val="00045BC5"/>
    <w:rsid w:val="00045C0D"/>
    <w:rsid w:val="00045C28"/>
    <w:rsid w:val="00045D30"/>
    <w:rsid w:val="00045D44"/>
    <w:rsid w:val="00045DA3"/>
    <w:rsid w:val="00045E94"/>
    <w:rsid w:val="00045F3F"/>
    <w:rsid w:val="00045F65"/>
    <w:rsid w:val="00046123"/>
    <w:rsid w:val="00046293"/>
    <w:rsid w:val="000462F7"/>
    <w:rsid w:val="000463AF"/>
    <w:rsid w:val="00046588"/>
    <w:rsid w:val="00046624"/>
    <w:rsid w:val="0004699B"/>
    <w:rsid w:val="000469A6"/>
    <w:rsid w:val="000469BE"/>
    <w:rsid w:val="00046A26"/>
    <w:rsid w:val="00046ABF"/>
    <w:rsid w:val="00046C74"/>
    <w:rsid w:val="00046E96"/>
    <w:rsid w:val="00046E9F"/>
    <w:rsid w:val="00046ED9"/>
    <w:rsid w:val="00046F75"/>
    <w:rsid w:val="00046F78"/>
    <w:rsid w:val="00046FC8"/>
    <w:rsid w:val="00046FD4"/>
    <w:rsid w:val="00047099"/>
    <w:rsid w:val="00047205"/>
    <w:rsid w:val="000472A2"/>
    <w:rsid w:val="000473B5"/>
    <w:rsid w:val="000474D6"/>
    <w:rsid w:val="000474DD"/>
    <w:rsid w:val="00047554"/>
    <w:rsid w:val="00047752"/>
    <w:rsid w:val="0004787B"/>
    <w:rsid w:val="000478BA"/>
    <w:rsid w:val="00047A93"/>
    <w:rsid w:val="00047C0E"/>
    <w:rsid w:val="00047C4F"/>
    <w:rsid w:val="00047C76"/>
    <w:rsid w:val="00047E82"/>
    <w:rsid w:val="00047EAF"/>
    <w:rsid w:val="00050036"/>
    <w:rsid w:val="0005003B"/>
    <w:rsid w:val="00050204"/>
    <w:rsid w:val="000503B2"/>
    <w:rsid w:val="000506B2"/>
    <w:rsid w:val="00050718"/>
    <w:rsid w:val="000508B4"/>
    <w:rsid w:val="00050973"/>
    <w:rsid w:val="000509D3"/>
    <w:rsid w:val="00050AAA"/>
    <w:rsid w:val="00050C6E"/>
    <w:rsid w:val="00050CCA"/>
    <w:rsid w:val="00050DDE"/>
    <w:rsid w:val="00050E59"/>
    <w:rsid w:val="00050EC5"/>
    <w:rsid w:val="00050F3F"/>
    <w:rsid w:val="00050FEC"/>
    <w:rsid w:val="000510B1"/>
    <w:rsid w:val="00051116"/>
    <w:rsid w:val="00051224"/>
    <w:rsid w:val="0005131D"/>
    <w:rsid w:val="0005131E"/>
    <w:rsid w:val="000513C6"/>
    <w:rsid w:val="00051506"/>
    <w:rsid w:val="00051610"/>
    <w:rsid w:val="00051678"/>
    <w:rsid w:val="00051683"/>
    <w:rsid w:val="000516CD"/>
    <w:rsid w:val="00051C5F"/>
    <w:rsid w:val="00051CF3"/>
    <w:rsid w:val="00051D72"/>
    <w:rsid w:val="00051E23"/>
    <w:rsid w:val="00051E54"/>
    <w:rsid w:val="00051ED3"/>
    <w:rsid w:val="00051EE2"/>
    <w:rsid w:val="00051F03"/>
    <w:rsid w:val="00051F8F"/>
    <w:rsid w:val="00051F92"/>
    <w:rsid w:val="000522D3"/>
    <w:rsid w:val="00052338"/>
    <w:rsid w:val="000524FF"/>
    <w:rsid w:val="0005254F"/>
    <w:rsid w:val="00052633"/>
    <w:rsid w:val="0005266E"/>
    <w:rsid w:val="00052694"/>
    <w:rsid w:val="000526BE"/>
    <w:rsid w:val="000526C2"/>
    <w:rsid w:val="0005277A"/>
    <w:rsid w:val="0005278E"/>
    <w:rsid w:val="000527C9"/>
    <w:rsid w:val="000528D9"/>
    <w:rsid w:val="00052CB0"/>
    <w:rsid w:val="00052F16"/>
    <w:rsid w:val="000533C9"/>
    <w:rsid w:val="00053481"/>
    <w:rsid w:val="0005348D"/>
    <w:rsid w:val="000535A3"/>
    <w:rsid w:val="00053607"/>
    <w:rsid w:val="000536DD"/>
    <w:rsid w:val="0005393D"/>
    <w:rsid w:val="00053990"/>
    <w:rsid w:val="000539ED"/>
    <w:rsid w:val="00053B26"/>
    <w:rsid w:val="00053BA7"/>
    <w:rsid w:val="00053BD5"/>
    <w:rsid w:val="00053C1B"/>
    <w:rsid w:val="00053D11"/>
    <w:rsid w:val="00053D5D"/>
    <w:rsid w:val="00053E43"/>
    <w:rsid w:val="00053EA9"/>
    <w:rsid w:val="00053F5B"/>
    <w:rsid w:val="000540A7"/>
    <w:rsid w:val="000540D6"/>
    <w:rsid w:val="000541B6"/>
    <w:rsid w:val="000542C9"/>
    <w:rsid w:val="00054343"/>
    <w:rsid w:val="0005434E"/>
    <w:rsid w:val="00054362"/>
    <w:rsid w:val="000543D5"/>
    <w:rsid w:val="0005442D"/>
    <w:rsid w:val="00054464"/>
    <w:rsid w:val="000544DE"/>
    <w:rsid w:val="00054550"/>
    <w:rsid w:val="0005456B"/>
    <w:rsid w:val="000545C3"/>
    <w:rsid w:val="00054720"/>
    <w:rsid w:val="00054738"/>
    <w:rsid w:val="000547D0"/>
    <w:rsid w:val="00054865"/>
    <w:rsid w:val="00054907"/>
    <w:rsid w:val="00054941"/>
    <w:rsid w:val="00054A8B"/>
    <w:rsid w:val="00054AAE"/>
    <w:rsid w:val="00054B7A"/>
    <w:rsid w:val="00054BCB"/>
    <w:rsid w:val="00054C7C"/>
    <w:rsid w:val="00054DA3"/>
    <w:rsid w:val="00054E89"/>
    <w:rsid w:val="00054F9D"/>
    <w:rsid w:val="00054FA4"/>
    <w:rsid w:val="0005501E"/>
    <w:rsid w:val="00055074"/>
    <w:rsid w:val="00055289"/>
    <w:rsid w:val="00055296"/>
    <w:rsid w:val="00055368"/>
    <w:rsid w:val="000553D4"/>
    <w:rsid w:val="000554AD"/>
    <w:rsid w:val="0005562B"/>
    <w:rsid w:val="000557E3"/>
    <w:rsid w:val="00055960"/>
    <w:rsid w:val="000559F3"/>
    <w:rsid w:val="00055A88"/>
    <w:rsid w:val="00055AC9"/>
    <w:rsid w:val="00055D3C"/>
    <w:rsid w:val="00055DCC"/>
    <w:rsid w:val="00055DF3"/>
    <w:rsid w:val="00055E0B"/>
    <w:rsid w:val="00055EF0"/>
    <w:rsid w:val="00055EF4"/>
    <w:rsid w:val="000560F2"/>
    <w:rsid w:val="000562DB"/>
    <w:rsid w:val="0005631A"/>
    <w:rsid w:val="00056338"/>
    <w:rsid w:val="00056375"/>
    <w:rsid w:val="00056414"/>
    <w:rsid w:val="00056444"/>
    <w:rsid w:val="00056480"/>
    <w:rsid w:val="00056530"/>
    <w:rsid w:val="000565C3"/>
    <w:rsid w:val="000565FB"/>
    <w:rsid w:val="00056600"/>
    <w:rsid w:val="00056662"/>
    <w:rsid w:val="000566A3"/>
    <w:rsid w:val="000566BE"/>
    <w:rsid w:val="000566C7"/>
    <w:rsid w:val="00056734"/>
    <w:rsid w:val="00056786"/>
    <w:rsid w:val="00056829"/>
    <w:rsid w:val="000568D9"/>
    <w:rsid w:val="0005694F"/>
    <w:rsid w:val="00056B54"/>
    <w:rsid w:val="00056BC7"/>
    <w:rsid w:val="00056C5E"/>
    <w:rsid w:val="00056C83"/>
    <w:rsid w:val="00056E46"/>
    <w:rsid w:val="00056E66"/>
    <w:rsid w:val="00057006"/>
    <w:rsid w:val="000570AE"/>
    <w:rsid w:val="00057207"/>
    <w:rsid w:val="00057265"/>
    <w:rsid w:val="0005727B"/>
    <w:rsid w:val="000572F7"/>
    <w:rsid w:val="000572F8"/>
    <w:rsid w:val="000574B6"/>
    <w:rsid w:val="000575FD"/>
    <w:rsid w:val="000576D5"/>
    <w:rsid w:val="0005791F"/>
    <w:rsid w:val="00057988"/>
    <w:rsid w:val="000579A5"/>
    <w:rsid w:val="00057A8A"/>
    <w:rsid w:val="00057AF6"/>
    <w:rsid w:val="00057B9B"/>
    <w:rsid w:val="00057C13"/>
    <w:rsid w:val="00057C98"/>
    <w:rsid w:val="00057DD6"/>
    <w:rsid w:val="00057DF2"/>
    <w:rsid w:val="00057EBC"/>
    <w:rsid w:val="000604C7"/>
    <w:rsid w:val="000606D3"/>
    <w:rsid w:val="00060726"/>
    <w:rsid w:val="0006072E"/>
    <w:rsid w:val="000607DD"/>
    <w:rsid w:val="0006082C"/>
    <w:rsid w:val="00060855"/>
    <w:rsid w:val="00060901"/>
    <w:rsid w:val="0006091C"/>
    <w:rsid w:val="00060A57"/>
    <w:rsid w:val="00060A75"/>
    <w:rsid w:val="00060ACD"/>
    <w:rsid w:val="00060BC4"/>
    <w:rsid w:val="00060BE2"/>
    <w:rsid w:val="00060BFD"/>
    <w:rsid w:val="00060CA2"/>
    <w:rsid w:val="00060CA3"/>
    <w:rsid w:val="00060CD0"/>
    <w:rsid w:val="00060E66"/>
    <w:rsid w:val="00060E82"/>
    <w:rsid w:val="00061008"/>
    <w:rsid w:val="000611B7"/>
    <w:rsid w:val="000611DE"/>
    <w:rsid w:val="00061272"/>
    <w:rsid w:val="0006128D"/>
    <w:rsid w:val="0006130A"/>
    <w:rsid w:val="0006134B"/>
    <w:rsid w:val="000616BE"/>
    <w:rsid w:val="0006185F"/>
    <w:rsid w:val="0006187C"/>
    <w:rsid w:val="0006195F"/>
    <w:rsid w:val="00061BEE"/>
    <w:rsid w:val="00061C08"/>
    <w:rsid w:val="00061C17"/>
    <w:rsid w:val="00061C3C"/>
    <w:rsid w:val="00061CDC"/>
    <w:rsid w:val="00061D2E"/>
    <w:rsid w:val="00061DA5"/>
    <w:rsid w:val="00061E7C"/>
    <w:rsid w:val="00062082"/>
    <w:rsid w:val="000621D5"/>
    <w:rsid w:val="00062325"/>
    <w:rsid w:val="0006236E"/>
    <w:rsid w:val="00062387"/>
    <w:rsid w:val="000623AC"/>
    <w:rsid w:val="000623FE"/>
    <w:rsid w:val="0006241C"/>
    <w:rsid w:val="0006248C"/>
    <w:rsid w:val="000624B0"/>
    <w:rsid w:val="0006269E"/>
    <w:rsid w:val="00062768"/>
    <w:rsid w:val="00062788"/>
    <w:rsid w:val="00062AC8"/>
    <w:rsid w:val="00062BE1"/>
    <w:rsid w:val="00062D64"/>
    <w:rsid w:val="00062D93"/>
    <w:rsid w:val="00062ECB"/>
    <w:rsid w:val="00062F1B"/>
    <w:rsid w:val="00062F84"/>
    <w:rsid w:val="00063022"/>
    <w:rsid w:val="000630AA"/>
    <w:rsid w:val="000631CC"/>
    <w:rsid w:val="00063236"/>
    <w:rsid w:val="00063392"/>
    <w:rsid w:val="000634F2"/>
    <w:rsid w:val="00063584"/>
    <w:rsid w:val="000636AE"/>
    <w:rsid w:val="000636C9"/>
    <w:rsid w:val="00063824"/>
    <w:rsid w:val="00063867"/>
    <w:rsid w:val="00063897"/>
    <w:rsid w:val="00063912"/>
    <w:rsid w:val="0006393F"/>
    <w:rsid w:val="0006396A"/>
    <w:rsid w:val="00063AAA"/>
    <w:rsid w:val="00063ABE"/>
    <w:rsid w:val="00063B2D"/>
    <w:rsid w:val="00063C7A"/>
    <w:rsid w:val="00063CC3"/>
    <w:rsid w:val="00063CFE"/>
    <w:rsid w:val="00063D2F"/>
    <w:rsid w:val="00063D32"/>
    <w:rsid w:val="00063DAC"/>
    <w:rsid w:val="00063E94"/>
    <w:rsid w:val="00063FB5"/>
    <w:rsid w:val="00063FB6"/>
    <w:rsid w:val="00063FBE"/>
    <w:rsid w:val="00064027"/>
    <w:rsid w:val="000640FD"/>
    <w:rsid w:val="0006410F"/>
    <w:rsid w:val="00064173"/>
    <w:rsid w:val="00064192"/>
    <w:rsid w:val="00064226"/>
    <w:rsid w:val="00064231"/>
    <w:rsid w:val="0006443A"/>
    <w:rsid w:val="0006449E"/>
    <w:rsid w:val="000644B3"/>
    <w:rsid w:val="000644C2"/>
    <w:rsid w:val="00064530"/>
    <w:rsid w:val="0006461B"/>
    <w:rsid w:val="00064734"/>
    <w:rsid w:val="00064930"/>
    <w:rsid w:val="000649DF"/>
    <w:rsid w:val="00064A2C"/>
    <w:rsid w:val="00064A3C"/>
    <w:rsid w:val="00064AA6"/>
    <w:rsid w:val="00064B21"/>
    <w:rsid w:val="00064B70"/>
    <w:rsid w:val="00064B7A"/>
    <w:rsid w:val="00064EFD"/>
    <w:rsid w:val="00064F25"/>
    <w:rsid w:val="00064F30"/>
    <w:rsid w:val="00064FDE"/>
    <w:rsid w:val="00065183"/>
    <w:rsid w:val="000652CA"/>
    <w:rsid w:val="000652E0"/>
    <w:rsid w:val="0006531F"/>
    <w:rsid w:val="0006534F"/>
    <w:rsid w:val="0006536C"/>
    <w:rsid w:val="00065558"/>
    <w:rsid w:val="000655F5"/>
    <w:rsid w:val="000656A4"/>
    <w:rsid w:val="000656C9"/>
    <w:rsid w:val="00065755"/>
    <w:rsid w:val="000657B1"/>
    <w:rsid w:val="00065942"/>
    <w:rsid w:val="00065967"/>
    <w:rsid w:val="00065994"/>
    <w:rsid w:val="000659C3"/>
    <w:rsid w:val="000659DE"/>
    <w:rsid w:val="00065A3D"/>
    <w:rsid w:val="00065B4F"/>
    <w:rsid w:val="00065CCC"/>
    <w:rsid w:val="00065D2D"/>
    <w:rsid w:val="00065E40"/>
    <w:rsid w:val="00065E48"/>
    <w:rsid w:val="00065E53"/>
    <w:rsid w:val="00065EBF"/>
    <w:rsid w:val="00065EF4"/>
    <w:rsid w:val="0006624A"/>
    <w:rsid w:val="0006630D"/>
    <w:rsid w:val="00066336"/>
    <w:rsid w:val="0006640C"/>
    <w:rsid w:val="000664DC"/>
    <w:rsid w:val="0006651F"/>
    <w:rsid w:val="0006657F"/>
    <w:rsid w:val="000665F2"/>
    <w:rsid w:val="00066622"/>
    <w:rsid w:val="00066725"/>
    <w:rsid w:val="0006681E"/>
    <w:rsid w:val="0006699D"/>
    <w:rsid w:val="000669CE"/>
    <w:rsid w:val="00066B2E"/>
    <w:rsid w:val="00066B6C"/>
    <w:rsid w:val="00066D67"/>
    <w:rsid w:val="00066E16"/>
    <w:rsid w:val="00066EFA"/>
    <w:rsid w:val="00066F02"/>
    <w:rsid w:val="00066F20"/>
    <w:rsid w:val="00066F3A"/>
    <w:rsid w:val="00067116"/>
    <w:rsid w:val="00067245"/>
    <w:rsid w:val="00067277"/>
    <w:rsid w:val="000672A2"/>
    <w:rsid w:val="0006730F"/>
    <w:rsid w:val="00067319"/>
    <w:rsid w:val="000675D1"/>
    <w:rsid w:val="0006772C"/>
    <w:rsid w:val="00067749"/>
    <w:rsid w:val="0006784D"/>
    <w:rsid w:val="000678B0"/>
    <w:rsid w:val="00067948"/>
    <w:rsid w:val="00067A31"/>
    <w:rsid w:val="00067A51"/>
    <w:rsid w:val="00067AF1"/>
    <w:rsid w:val="00067B6D"/>
    <w:rsid w:val="00067D72"/>
    <w:rsid w:val="00067E82"/>
    <w:rsid w:val="00067ECD"/>
    <w:rsid w:val="00067F25"/>
    <w:rsid w:val="00067F5D"/>
    <w:rsid w:val="00067FD1"/>
    <w:rsid w:val="0007001E"/>
    <w:rsid w:val="0007013C"/>
    <w:rsid w:val="00070143"/>
    <w:rsid w:val="00070242"/>
    <w:rsid w:val="000703BD"/>
    <w:rsid w:val="000703E6"/>
    <w:rsid w:val="00070570"/>
    <w:rsid w:val="0007060E"/>
    <w:rsid w:val="0007063B"/>
    <w:rsid w:val="00070666"/>
    <w:rsid w:val="0007067E"/>
    <w:rsid w:val="000708BD"/>
    <w:rsid w:val="00070941"/>
    <w:rsid w:val="000709F3"/>
    <w:rsid w:val="00070AF1"/>
    <w:rsid w:val="00070B3C"/>
    <w:rsid w:val="00070D4A"/>
    <w:rsid w:val="00070D70"/>
    <w:rsid w:val="00070DCF"/>
    <w:rsid w:val="00070E18"/>
    <w:rsid w:val="00070F62"/>
    <w:rsid w:val="00071103"/>
    <w:rsid w:val="000711A9"/>
    <w:rsid w:val="00071209"/>
    <w:rsid w:val="0007122F"/>
    <w:rsid w:val="000712D0"/>
    <w:rsid w:val="0007132B"/>
    <w:rsid w:val="0007134B"/>
    <w:rsid w:val="0007153B"/>
    <w:rsid w:val="00071584"/>
    <w:rsid w:val="0007167F"/>
    <w:rsid w:val="00071681"/>
    <w:rsid w:val="0007185D"/>
    <w:rsid w:val="0007196F"/>
    <w:rsid w:val="00071C95"/>
    <w:rsid w:val="00071CC1"/>
    <w:rsid w:val="00071E23"/>
    <w:rsid w:val="00071E42"/>
    <w:rsid w:val="00071E51"/>
    <w:rsid w:val="00071EAB"/>
    <w:rsid w:val="00071F88"/>
    <w:rsid w:val="00071FAC"/>
    <w:rsid w:val="00071FED"/>
    <w:rsid w:val="00072003"/>
    <w:rsid w:val="0007205F"/>
    <w:rsid w:val="00072165"/>
    <w:rsid w:val="00072250"/>
    <w:rsid w:val="00072253"/>
    <w:rsid w:val="00072323"/>
    <w:rsid w:val="000724DB"/>
    <w:rsid w:val="0007255E"/>
    <w:rsid w:val="00072614"/>
    <w:rsid w:val="000726CB"/>
    <w:rsid w:val="0007271C"/>
    <w:rsid w:val="000727C9"/>
    <w:rsid w:val="00072878"/>
    <w:rsid w:val="0007299C"/>
    <w:rsid w:val="000729AA"/>
    <w:rsid w:val="00072A0A"/>
    <w:rsid w:val="00072A3E"/>
    <w:rsid w:val="00072DD7"/>
    <w:rsid w:val="00073092"/>
    <w:rsid w:val="000730D1"/>
    <w:rsid w:val="00073279"/>
    <w:rsid w:val="000732E8"/>
    <w:rsid w:val="0007331B"/>
    <w:rsid w:val="000735C2"/>
    <w:rsid w:val="00073679"/>
    <w:rsid w:val="0007377E"/>
    <w:rsid w:val="0007379C"/>
    <w:rsid w:val="0007385D"/>
    <w:rsid w:val="00073886"/>
    <w:rsid w:val="00073901"/>
    <w:rsid w:val="00073999"/>
    <w:rsid w:val="000739B9"/>
    <w:rsid w:val="00073A2A"/>
    <w:rsid w:val="00073B25"/>
    <w:rsid w:val="00073BB9"/>
    <w:rsid w:val="00073C8F"/>
    <w:rsid w:val="00073DCB"/>
    <w:rsid w:val="00073E36"/>
    <w:rsid w:val="00073EF5"/>
    <w:rsid w:val="00073FC0"/>
    <w:rsid w:val="00074105"/>
    <w:rsid w:val="00074298"/>
    <w:rsid w:val="00074302"/>
    <w:rsid w:val="00074428"/>
    <w:rsid w:val="00074434"/>
    <w:rsid w:val="00074577"/>
    <w:rsid w:val="0007462D"/>
    <w:rsid w:val="000746A3"/>
    <w:rsid w:val="00074980"/>
    <w:rsid w:val="00074A06"/>
    <w:rsid w:val="00074ADA"/>
    <w:rsid w:val="00074B0C"/>
    <w:rsid w:val="00074C5F"/>
    <w:rsid w:val="00074D4F"/>
    <w:rsid w:val="00074D9D"/>
    <w:rsid w:val="00074EF8"/>
    <w:rsid w:val="00074FE0"/>
    <w:rsid w:val="00075064"/>
    <w:rsid w:val="000750B4"/>
    <w:rsid w:val="00075113"/>
    <w:rsid w:val="00075182"/>
    <w:rsid w:val="000753A0"/>
    <w:rsid w:val="000753A6"/>
    <w:rsid w:val="00075499"/>
    <w:rsid w:val="00075610"/>
    <w:rsid w:val="000756B0"/>
    <w:rsid w:val="000758C6"/>
    <w:rsid w:val="00075984"/>
    <w:rsid w:val="000759BB"/>
    <w:rsid w:val="00075AEF"/>
    <w:rsid w:val="00075B33"/>
    <w:rsid w:val="00075BCD"/>
    <w:rsid w:val="00075C01"/>
    <w:rsid w:val="00075C3D"/>
    <w:rsid w:val="00075D72"/>
    <w:rsid w:val="00076023"/>
    <w:rsid w:val="0007608E"/>
    <w:rsid w:val="00076150"/>
    <w:rsid w:val="00076165"/>
    <w:rsid w:val="000761E4"/>
    <w:rsid w:val="0007626E"/>
    <w:rsid w:val="0007628D"/>
    <w:rsid w:val="00076293"/>
    <w:rsid w:val="00076294"/>
    <w:rsid w:val="000762AC"/>
    <w:rsid w:val="0007630E"/>
    <w:rsid w:val="000763CC"/>
    <w:rsid w:val="0007646E"/>
    <w:rsid w:val="000764CD"/>
    <w:rsid w:val="000767D3"/>
    <w:rsid w:val="0007686A"/>
    <w:rsid w:val="00076915"/>
    <w:rsid w:val="00076934"/>
    <w:rsid w:val="0007698E"/>
    <w:rsid w:val="000769AA"/>
    <w:rsid w:val="00076A43"/>
    <w:rsid w:val="00076AB2"/>
    <w:rsid w:val="00076C1C"/>
    <w:rsid w:val="00076D05"/>
    <w:rsid w:val="00076D2A"/>
    <w:rsid w:val="00076E7D"/>
    <w:rsid w:val="00076F58"/>
    <w:rsid w:val="00076FC2"/>
    <w:rsid w:val="00077157"/>
    <w:rsid w:val="0007717C"/>
    <w:rsid w:val="000771A5"/>
    <w:rsid w:val="000771FE"/>
    <w:rsid w:val="0007731D"/>
    <w:rsid w:val="0007732F"/>
    <w:rsid w:val="000773FA"/>
    <w:rsid w:val="000774AC"/>
    <w:rsid w:val="000774CA"/>
    <w:rsid w:val="000775CF"/>
    <w:rsid w:val="00077639"/>
    <w:rsid w:val="000776F5"/>
    <w:rsid w:val="00077717"/>
    <w:rsid w:val="000777A2"/>
    <w:rsid w:val="0007784E"/>
    <w:rsid w:val="0007786E"/>
    <w:rsid w:val="0007793A"/>
    <w:rsid w:val="00077947"/>
    <w:rsid w:val="000779E9"/>
    <w:rsid w:val="00077AC0"/>
    <w:rsid w:val="00077C31"/>
    <w:rsid w:val="00077D65"/>
    <w:rsid w:val="00077DA3"/>
    <w:rsid w:val="00077E0B"/>
    <w:rsid w:val="00077F00"/>
    <w:rsid w:val="00077F90"/>
    <w:rsid w:val="00077F9B"/>
    <w:rsid w:val="00077FF7"/>
    <w:rsid w:val="000800A1"/>
    <w:rsid w:val="0008015B"/>
    <w:rsid w:val="0008019A"/>
    <w:rsid w:val="000801BD"/>
    <w:rsid w:val="0008036B"/>
    <w:rsid w:val="00080396"/>
    <w:rsid w:val="00080411"/>
    <w:rsid w:val="000806A2"/>
    <w:rsid w:val="000806F5"/>
    <w:rsid w:val="000807D3"/>
    <w:rsid w:val="0008092B"/>
    <w:rsid w:val="00080A7E"/>
    <w:rsid w:val="00080BA7"/>
    <w:rsid w:val="00080D30"/>
    <w:rsid w:val="00080D69"/>
    <w:rsid w:val="00080E90"/>
    <w:rsid w:val="0008107D"/>
    <w:rsid w:val="000810C0"/>
    <w:rsid w:val="000810DF"/>
    <w:rsid w:val="0008126E"/>
    <w:rsid w:val="0008127D"/>
    <w:rsid w:val="0008132D"/>
    <w:rsid w:val="00081399"/>
    <w:rsid w:val="00081479"/>
    <w:rsid w:val="00081499"/>
    <w:rsid w:val="000814EE"/>
    <w:rsid w:val="0008159A"/>
    <w:rsid w:val="000815B0"/>
    <w:rsid w:val="000816B9"/>
    <w:rsid w:val="000816D6"/>
    <w:rsid w:val="000816E4"/>
    <w:rsid w:val="00081B0C"/>
    <w:rsid w:val="00081B66"/>
    <w:rsid w:val="00081BE0"/>
    <w:rsid w:val="00081C27"/>
    <w:rsid w:val="00081C65"/>
    <w:rsid w:val="00081C85"/>
    <w:rsid w:val="0008200A"/>
    <w:rsid w:val="00082176"/>
    <w:rsid w:val="0008220E"/>
    <w:rsid w:val="00082274"/>
    <w:rsid w:val="00082285"/>
    <w:rsid w:val="000822BF"/>
    <w:rsid w:val="00082313"/>
    <w:rsid w:val="00082373"/>
    <w:rsid w:val="0008237D"/>
    <w:rsid w:val="000824C0"/>
    <w:rsid w:val="000824DE"/>
    <w:rsid w:val="0008250D"/>
    <w:rsid w:val="00082531"/>
    <w:rsid w:val="000825E6"/>
    <w:rsid w:val="000825FA"/>
    <w:rsid w:val="000829D9"/>
    <w:rsid w:val="00082A24"/>
    <w:rsid w:val="00082AF1"/>
    <w:rsid w:val="00082B3C"/>
    <w:rsid w:val="00082BC5"/>
    <w:rsid w:val="00082C55"/>
    <w:rsid w:val="00082D22"/>
    <w:rsid w:val="00082D23"/>
    <w:rsid w:val="00083033"/>
    <w:rsid w:val="000830F0"/>
    <w:rsid w:val="000831A8"/>
    <w:rsid w:val="000831BB"/>
    <w:rsid w:val="000833C1"/>
    <w:rsid w:val="0008350F"/>
    <w:rsid w:val="000835DE"/>
    <w:rsid w:val="000836DB"/>
    <w:rsid w:val="0008375D"/>
    <w:rsid w:val="000837AB"/>
    <w:rsid w:val="000837E1"/>
    <w:rsid w:val="0008397D"/>
    <w:rsid w:val="00083993"/>
    <w:rsid w:val="00083AC2"/>
    <w:rsid w:val="00083B2C"/>
    <w:rsid w:val="00083B33"/>
    <w:rsid w:val="00083B36"/>
    <w:rsid w:val="00083C1D"/>
    <w:rsid w:val="00083C68"/>
    <w:rsid w:val="00083CAE"/>
    <w:rsid w:val="00083CE8"/>
    <w:rsid w:val="00083D12"/>
    <w:rsid w:val="00083DBF"/>
    <w:rsid w:val="00083EB0"/>
    <w:rsid w:val="00083F25"/>
    <w:rsid w:val="0008402C"/>
    <w:rsid w:val="00084043"/>
    <w:rsid w:val="00084085"/>
    <w:rsid w:val="00084099"/>
    <w:rsid w:val="0008411D"/>
    <w:rsid w:val="000841EE"/>
    <w:rsid w:val="000842F3"/>
    <w:rsid w:val="000843A0"/>
    <w:rsid w:val="000843EB"/>
    <w:rsid w:val="00084523"/>
    <w:rsid w:val="000845CC"/>
    <w:rsid w:val="000846CC"/>
    <w:rsid w:val="000847D9"/>
    <w:rsid w:val="00084823"/>
    <w:rsid w:val="000848A1"/>
    <w:rsid w:val="00084908"/>
    <w:rsid w:val="0008492E"/>
    <w:rsid w:val="00084A36"/>
    <w:rsid w:val="00084B80"/>
    <w:rsid w:val="00084B99"/>
    <w:rsid w:val="00084BC1"/>
    <w:rsid w:val="00084BCC"/>
    <w:rsid w:val="00084FB2"/>
    <w:rsid w:val="000851D0"/>
    <w:rsid w:val="0008520F"/>
    <w:rsid w:val="00085213"/>
    <w:rsid w:val="00085385"/>
    <w:rsid w:val="000854BF"/>
    <w:rsid w:val="000854E8"/>
    <w:rsid w:val="0008551A"/>
    <w:rsid w:val="00085695"/>
    <w:rsid w:val="000856C8"/>
    <w:rsid w:val="00085821"/>
    <w:rsid w:val="000859AE"/>
    <w:rsid w:val="00085B10"/>
    <w:rsid w:val="00085B86"/>
    <w:rsid w:val="00085B90"/>
    <w:rsid w:val="00085B94"/>
    <w:rsid w:val="00085C48"/>
    <w:rsid w:val="00085C9D"/>
    <w:rsid w:val="00085D75"/>
    <w:rsid w:val="00085DA7"/>
    <w:rsid w:val="00085DC2"/>
    <w:rsid w:val="00085E7C"/>
    <w:rsid w:val="00085F8A"/>
    <w:rsid w:val="00085FD3"/>
    <w:rsid w:val="00085FD9"/>
    <w:rsid w:val="00086010"/>
    <w:rsid w:val="0008605A"/>
    <w:rsid w:val="000860E3"/>
    <w:rsid w:val="000861BC"/>
    <w:rsid w:val="000861F8"/>
    <w:rsid w:val="00086290"/>
    <w:rsid w:val="0008634B"/>
    <w:rsid w:val="00086388"/>
    <w:rsid w:val="000863FB"/>
    <w:rsid w:val="00086406"/>
    <w:rsid w:val="00086411"/>
    <w:rsid w:val="000864D1"/>
    <w:rsid w:val="00086692"/>
    <w:rsid w:val="000866AD"/>
    <w:rsid w:val="00086836"/>
    <w:rsid w:val="0008685E"/>
    <w:rsid w:val="000868AD"/>
    <w:rsid w:val="000868CB"/>
    <w:rsid w:val="0008693A"/>
    <w:rsid w:val="000869AB"/>
    <w:rsid w:val="00086AC3"/>
    <w:rsid w:val="00086C70"/>
    <w:rsid w:val="00086CCA"/>
    <w:rsid w:val="00086D8F"/>
    <w:rsid w:val="00086DFD"/>
    <w:rsid w:val="00086E23"/>
    <w:rsid w:val="00086E36"/>
    <w:rsid w:val="00086E4E"/>
    <w:rsid w:val="00086E7C"/>
    <w:rsid w:val="00086FEB"/>
    <w:rsid w:val="00087018"/>
    <w:rsid w:val="000870A3"/>
    <w:rsid w:val="00087101"/>
    <w:rsid w:val="00087332"/>
    <w:rsid w:val="000874D1"/>
    <w:rsid w:val="000874E6"/>
    <w:rsid w:val="000874F9"/>
    <w:rsid w:val="0008756E"/>
    <w:rsid w:val="00087634"/>
    <w:rsid w:val="00087750"/>
    <w:rsid w:val="00087862"/>
    <w:rsid w:val="00087A96"/>
    <w:rsid w:val="00087AC7"/>
    <w:rsid w:val="00087AF8"/>
    <w:rsid w:val="00087BCC"/>
    <w:rsid w:val="00087C78"/>
    <w:rsid w:val="00087CE2"/>
    <w:rsid w:val="00087D43"/>
    <w:rsid w:val="00087DAD"/>
    <w:rsid w:val="00087DBB"/>
    <w:rsid w:val="00087E0B"/>
    <w:rsid w:val="00087E11"/>
    <w:rsid w:val="00087E53"/>
    <w:rsid w:val="00087E9E"/>
    <w:rsid w:val="0008DA60"/>
    <w:rsid w:val="00090038"/>
    <w:rsid w:val="00090400"/>
    <w:rsid w:val="0009042D"/>
    <w:rsid w:val="0009054C"/>
    <w:rsid w:val="0009069A"/>
    <w:rsid w:val="00090831"/>
    <w:rsid w:val="0009084D"/>
    <w:rsid w:val="000908E7"/>
    <w:rsid w:val="00090910"/>
    <w:rsid w:val="000909B8"/>
    <w:rsid w:val="000909E7"/>
    <w:rsid w:val="00090A17"/>
    <w:rsid w:val="00090A6B"/>
    <w:rsid w:val="00090B03"/>
    <w:rsid w:val="00090B16"/>
    <w:rsid w:val="00090C0E"/>
    <w:rsid w:val="00090C27"/>
    <w:rsid w:val="00090CBF"/>
    <w:rsid w:val="00090D0C"/>
    <w:rsid w:val="00090D3B"/>
    <w:rsid w:val="00090DFA"/>
    <w:rsid w:val="00090E54"/>
    <w:rsid w:val="00090EE4"/>
    <w:rsid w:val="00090EEF"/>
    <w:rsid w:val="00090F1D"/>
    <w:rsid w:val="00090F58"/>
    <w:rsid w:val="00090FCB"/>
    <w:rsid w:val="00090FE3"/>
    <w:rsid w:val="00090FF5"/>
    <w:rsid w:val="000910DF"/>
    <w:rsid w:val="00091125"/>
    <w:rsid w:val="00091133"/>
    <w:rsid w:val="00091161"/>
    <w:rsid w:val="000912B4"/>
    <w:rsid w:val="0009143A"/>
    <w:rsid w:val="00091508"/>
    <w:rsid w:val="00091692"/>
    <w:rsid w:val="000917C9"/>
    <w:rsid w:val="000917EF"/>
    <w:rsid w:val="0009193E"/>
    <w:rsid w:val="000919CA"/>
    <w:rsid w:val="00091A47"/>
    <w:rsid w:val="00091B33"/>
    <w:rsid w:val="00091BE9"/>
    <w:rsid w:val="00091D6E"/>
    <w:rsid w:val="00091DBA"/>
    <w:rsid w:val="00091DD7"/>
    <w:rsid w:val="00091E73"/>
    <w:rsid w:val="00091EE9"/>
    <w:rsid w:val="00091EF4"/>
    <w:rsid w:val="00091F2E"/>
    <w:rsid w:val="00091F33"/>
    <w:rsid w:val="00092178"/>
    <w:rsid w:val="00092424"/>
    <w:rsid w:val="0009249F"/>
    <w:rsid w:val="000924C5"/>
    <w:rsid w:val="00092559"/>
    <w:rsid w:val="00092600"/>
    <w:rsid w:val="0009286D"/>
    <w:rsid w:val="00092884"/>
    <w:rsid w:val="0009296F"/>
    <w:rsid w:val="00092AE1"/>
    <w:rsid w:val="00092B9D"/>
    <w:rsid w:val="00092CB6"/>
    <w:rsid w:val="00092D06"/>
    <w:rsid w:val="00092D76"/>
    <w:rsid w:val="00092E85"/>
    <w:rsid w:val="00092E9D"/>
    <w:rsid w:val="00092F37"/>
    <w:rsid w:val="00092F66"/>
    <w:rsid w:val="00092F87"/>
    <w:rsid w:val="00093015"/>
    <w:rsid w:val="00093068"/>
    <w:rsid w:val="000930D1"/>
    <w:rsid w:val="000930DA"/>
    <w:rsid w:val="0009328E"/>
    <w:rsid w:val="000932A6"/>
    <w:rsid w:val="00093365"/>
    <w:rsid w:val="00093379"/>
    <w:rsid w:val="000934BA"/>
    <w:rsid w:val="00093625"/>
    <w:rsid w:val="000937DB"/>
    <w:rsid w:val="0009386B"/>
    <w:rsid w:val="00093B0C"/>
    <w:rsid w:val="00093B4E"/>
    <w:rsid w:val="00093B9F"/>
    <w:rsid w:val="00093F97"/>
    <w:rsid w:val="00094072"/>
    <w:rsid w:val="0009411C"/>
    <w:rsid w:val="00094128"/>
    <w:rsid w:val="00094247"/>
    <w:rsid w:val="000942B5"/>
    <w:rsid w:val="000944E3"/>
    <w:rsid w:val="00094515"/>
    <w:rsid w:val="00094523"/>
    <w:rsid w:val="000945B7"/>
    <w:rsid w:val="00094661"/>
    <w:rsid w:val="00094665"/>
    <w:rsid w:val="000947B8"/>
    <w:rsid w:val="000947DF"/>
    <w:rsid w:val="000948C4"/>
    <w:rsid w:val="00094905"/>
    <w:rsid w:val="000949EB"/>
    <w:rsid w:val="00094A2F"/>
    <w:rsid w:val="00094B46"/>
    <w:rsid w:val="00094B9D"/>
    <w:rsid w:val="00094D06"/>
    <w:rsid w:val="00094E05"/>
    <w:rsid w:val="00094E3B"/>
    <w:rsid w:val="00094F70"/>
    <w:rsid w:val="00094F82"/>
    <w:rsid w:val="00094FB4"/>
    <w:rsid w:val="00094FE8"/>
    <w:rsid w:val="000950B3"/>
    <w:rsid w:val="000950D1"/>
    <w:rsid w:val="00095140"/>
    <w:rsid w:val="00095229"/>
    <w:rsid w:val="000952A2"/>
    <w:rsid w:val="00095443"/>
    <w:rsid w:val="00095555"/>
    <w:rsid w:val="00095569"/>
    <w:rsid w:val="00095570"/>
    <w:rsid w:val="0009559E"/>
    <w:rsid w:val="000956AF"/>
    <w:rsid w:val="0009577F"/>
    <w:rsid w:val="000957C9"/>
    <w:rsid w:val="0009588C"/>
    <w:rsid w:val="000958E3"/>
    <w:rsid w:val="00095A1F"/>
    <w:rsid w:val="00095C0D"/>
    <w:rsid w:val="00095C5B"/>
    <w:rsid w:val="00095D94"/>
    <w:rsid w:val="00095DF3"/>
    <w:rsid w:val="00095EAA"/>
    <w:rsid w:val="00096106"/>
    <w:rsid w:val="000961A8"/>
    <w:rsid w:val="0009621B"/>
    <w:rsid w:val="0009625B"/>
    <w:rsid w:val="00096374"/>
    <w:rsid w:val="000963CC"/>
    <w:rsid w:val="00096401"/>
    <w:rsid w:val="00096407"/>
    <w:rsid w:val="00096539"/>
    <w:rsid w:val="00096548"/>
    <w:rsid w:val="000965D5"/>
    <w:rsid w:val="00096691"/>
    <w:rsid w:val="00096798"/>
    <w:rsid w:val="0009681B"/>
    <w:rsid w:val="000968AB"/>
    <w:rsid w:val="00096969"/>
    <w:rsid w:val="000969AF"/>
    <w:rsid w:val="00096A6A"/>
    <w:rsid w:val="00096AE8"/>
    <w:rsid w:val="00096B28"/>
    <w:rsid w:val="00096B6A"/>
    <w:rsid w:val="00096E1F"/>
    <w:rsid w:val="00096F82"/>
    <w:rsid w:val="00096FEB"/>
    <w:rsid w:val="0009708B"/>
    <w:rsid w:val="00097098"/>
    <w:rsid w:val="000970E1"/>
    <w:rsid w:val="0009718B"/>
    <w:rsid w:val="00097263"/>
    <w:rsid w:val="00097317"/>
    <w:rsid w:val="0009742E"/>
    <w:rsid w:val="0009743A"/>
    <w:rsid w:val="000974C7"/>
    <w:rsid w:val="0009759F"/>
    <w:rsid w:val="0009762E"/>
    <w:rsid w:val="00097708"/>
    <w:rsid w:val="0009773B"/>
    <w:rsid w:val="00097812"/>
    <w:rsid w:val="000978A9"/>
    <w:rsid w:val="00097920"/>
    <w:rsid w:val="0009798E"/>
    <w:rsid w:val="00097B32"/>
    <w:rsid w:val="00097B56"/>
    <w:rsid w:val="00097BB6"/>
    <w:rsid w:val="00097C45"/>
    <w:rsid w:val="00097C74"/>
    <w:rsid w:val="00097CB7"/>
    <w:rsid w:val="00097DB7"/>
    <w:rsid w:val="00097DCE"/>
    <w:rsid w:val="00097DD3"/>
    <w:rsid w:val="00097E10"/>
    <w:rsid w:val="00097E5C"/>
    <w:rsid w:val="00097F15"/>
    <w:rsid w:val="00097FA8"/>
    <w:rsid w:val="00097FF8"/>
    <w:rsid w:val="000A0031"/>
    <w:rsid w:val="000A008E"/>
    <w:rsid w:val="000A00DD"/>
    <w:rsid w:val="000A00FC"/>
    <w:rsid w:val="000A0158"/>
    <w:rsid w:val="000A015A"/>
    <w:rsid w:val="000A01AC"/>
    <w:rsid w:val="000A0358"/>
    <w:rsid w:val="000A05C4"/>
    <w:rsid w:val="000A05F9"/>
    <w:rsid w:val="000A065C"/>
    <w:rsid w:val="000A0970"/>
    <w:rsid w:val="000A0A32"/>
    <w:rsid w:val="000A0BEB"/>
    <w:rsid w:val="000A0C7B"/>
    <w:rsid w:val="000A0D6F"/>
    <w:rsid w:val="000A0E6A"/>
    <w:rsid w:val="000A0ECA"/>
    <w:rsid w:val="000A1053"/>
    <w:rsid w:val="000A11A1"/>
    <w:rsid w:val="000A1204"/>
    <w:rsid w:val="000A122B"/>
    <w:rsid w:val="000A137C"/>
    <w:rsid w:val="000A140A"/>
    <w:rsid w:val="000A141F"/>
    <w:rsid w:val="000A146E"/>
    <w:rsid w:val="000A14AE"/>
    <w:rsid w:val="000A1703"/>
    <w:rsid w:val="000A170F"/>
    <w:rsid w:val="000A1711"/>
    <w:rsid w:val="000A17F1"/>
    <w:rsid w:val="000A1BA6"/>
    <w:rsid w:val="000A1C2F"/>
    <w:rsid w:val="000A1CD4"/>
    <w:rsid w:val="000A1E1F"/>
    <w:rsid w:val="000A1E61"/>
    <w:rsid w:val="000A2033"/>
    <w:rsid w:val="000A2196"/>
    <w:rsid w:val="000A22C4"/>
    <w:rsid w:val="000A22EE"/>
    <w:rsid w:val="000A247C"/>
    <w:rsid w:val="000A24A1"/>
    <w:rsid w:val="000A24E8"/>
    <w:rsid w:val="000A26B0"/>
    <w:rsid w:val="000A26BE"/>
    <w:rsid w:val="000A274F"/>
    <w:rsid w:val="000A2834"/>
    <w:rsid w:val="000A2A4E"/>
    <w:rsid w:val="000A2A98"/>
    <w:rsid w:val="000A2B22"/>
    <w:rsid w:val="000A2B71"/>
    <w:rsid w:val="000A2BB4"/>
    <w:rsid w:val="000A2C10"/>
    <w:rsid w:val="000A2DDC"/>
    <w:rsid w:val="000A306A"/>
    <w:rsid w:val="000A314E"/>
    <w:rsid w:val="000A33CD"/>
    <w:rsid w:val="000A33ED"/>
    <w:rsid w:val="000A35EE"/>
    <w:rsid w:val="000A35FC"/>
    <w:rsid w:val="000A3623"/>
    <w:rsid w:val="000A36CE"/>
    <w:rsid w:val="000A380F"/>
    <w:rsid w:val="000A3864"/>
    <w:rsid w:val="000A38A0"/>
    <w:rsid w:val="000A38CD"/>
    <w:rsid w:val="000A3BD7"/>
    <w:rsid w:val="000A3C2A"/>
    <w:rsid w:val="000A3C6D"/>
    <w:rsid w:val="000A3C82"/>
    <w:rsid w:val="000A3C97"/>
    <w:rsid w:val="000A3D8F"/>
    <w:rsid w:val="000A3E37"/>
    <w:rsid w:val="000A3F2E"/>
    <w:rsid w:val="000A3F74"/>
    <w:rsid w:val="000A3FB9"/>
    <w:rsid w:val="000A406E"/>
    <w:rsid w:val="000A41A2"/>
    <w:rsid w:val="000A42F6"/>
    <w:rsid w:val="000A439C"/>
    <w:rsid w:val="000A43B3"/>
    <w:rsid w:val="000A441D"/>
    <w:rsid w:val="000A44F9"/>
    <w:rsid w:val="000A463F"/>
    <w:rsid w:val="000A4798"/>
    <w:rsid w:val="000A4803"/>
    <w:rsid w:val="000A48FB"/>
    <w:rsid w:val="000A4911"/>
    <w:rsid w:val="000A491B"/>
    <w:rsid w:val="000A4AA4"/>
    <w:rsid w:val="000A4BAF"/>
    <w:rsid w:val="000A4D10"/>
    <w:rsid w:val="000A502C"/>
    <w:rsid w:val="000A50FF"/>
    <w:rsid w:val="000A5154"/>
    <w:rsid w:val="000A52E2"/>
    <w:rsid w:val="000A540B"/>
    <w:rsid w:val="000A548A"/>
    <w:rsid w:val="000A54EC"/>
    <w:rsid w:val="000A556A"/>
    <w:rsid w:val="000A56EB"/>
    <w:rsid w:val="000A57B8"/>
    <w:rsid w:val="000A5817"/>
    <w:rsid w:val="000A5851"/>
    <w:rsid w:val="000A5958"/>
    <w:rsid w:val="000A596E"/>
    <w:rsid w:val="000A59AD"/>
    <w:rsid w:val="000A5C9F"/>
    <w:rsid w:val="000A5CC9"/>
    <w:rsid w:val="000A5D46"/>
    <w:rsid w:val="000A5E98"/>
    <w:rsid w:val="000A5EC2"/>
    <w:rsid w:val="000A5FEE"/>
    <w:rsid w:val="000A6032"/>
    <w:rsid w:val="000A6080"/>
    <w:rsid w:val="000A60F7"/>
    <w:rsid w:val="000A6308"/>
    <w:rsid w:val="000A638C"/>
    <w:rsid w:val="000A64AA"/>
    <w:rsid w:val="000A64C2"/>
    <w:rsid w:val="000A652C"/>
    <w:rsid w:val="000A6844"/>
    <w:rsid w:val="000A684C"/>
    <w:rsid w:val="000A6863"/>
    <w:rsid w:val="000A6871"/>
    <w:rsid w:val="000A69D2"/>
    <w:rsid w:val="000A6ACD"/>
    <w:rsid w:val="000A6BE3"/>
    <w:rsid w:val="000A6CD2"/>
    <w:rsid w:val="000A6D07"/>
    <w:rsid w:val="000A6E44"/>
    <w:rsid w:val="000A6E5A"/>
    <w:rsid w:val="000A6F4B"/>
    <w:rsid w:val="000A6FC1"/>
    <w:rsid w:val="000A6FF5"/>
    <w:rsid w:val="000A702D"/>
    <w:rsid w:val="000A7062"/>
    <w:rsid w:val="000A7176"/>
    <w:rsid w:val="000A734F"/>
    <w:rsid w:val="000A7475"/>
    <w:rsid w:val="000A74AE"/>
    <w:rsid w:val="000A7708"/>
    <w:rsid w:val="000A778F"/>
    <w:rsid w:val="000A7795"/>
    <w:rsid w:val="000A77E2"/>
    <w:rsid w:val="000A789B"/>
    <w:rsid w:val="000A7936"/>
    <w:rsid w:val="000A793D"/>
    <w:rsid w:val="000A798A"/>
    <w:rsid w:val="000A7A67"/>
    <w:rsid w:val="000A7AAF"/>
    <w:rsid w:val="000A7B3C"/>
    <w:rsid w:val="000A7B4B"/>
    <w:rsid w:val="000A7B5E"/>
    <w:rsid w:val="000A7B64"/>
    <w:rsid w:val="000A7B6A"/>
    <w:rsid w:val="000A7F96"/>
    <w:rsid w:val="000B0067"/>
    <w:rsid w:val="000B0106"/>
    <w:rsid w:val="000B0116"/>
    <w:rsid w:val="000B0211"/>
    <w:rsid w:val="000B0330"/>
    <w:rsid w:val="000B035C"/>
    <w:rsid w:val="000B03CA"/>
    <w:rsid w:val="000B0445"/>
    <w:rsid w:val="000B04BA"/>
    <w:rsid w:val="000B05A9"/>
    <w:rsid w:val="000B05C8"/>
    <w:rsid w:val="000B0621"/>
    <w:rsid w:val="000B072C"/>
    <w:rsid w:val="000B07D4"/>
    <w:rsid w:val="000B085B"/>
    <w:rsid w:val="000B09C4"/>
    <w:rsid w:val="000B09C8"/>
    <w:rsid w:val="000B0B55"/>
    <w:rsid w:val="000B0DB9"/>
    <w:rsid w:val="000B0E2F"/>
    <w:rsid w:val="000B10D5"/>
    <w:rsid w:val="000B1182"/>
    <w:rsid w:val="000B134E"/>
    <w:rsid w:val="000B13F2"/>
    <w:rsid w:val="000B1438"/>
    <w:rsid w:val="000B1665"/>
    <w:rsid w:val="000B176B"/>
    <w:rsid w:val="000B17F1"/>
    <w:rsid w:val="000B1809"/>
    <w:rsid w:val="000B1942"/>
    <w:rsid w:val="000B196D"/>
    <w:rsid w:val="000B1A39"/>
    <w:rsid w:val="000B1A48"/>
    <w:rsid w:val="000B1A72"/>
    <w:rsid w:val="000B1AEA"/>
    <w:rsid w:val="000B1B57"/>
    <w:rsid w:val="000B1BF2"/>
    <w:rsid w:val="000B1C47"/>
    <w:rsid w:val="000B1DB0"/>
    <w:rsid w:val="000B2029"/>
    <w:rsid w:val="000B22EC"/>
    <w:rsid w:val="000B24B2"/>
    <w:rsid w:val="000B250A"/>
    <w:rsid w:val="000B25DC"/>
    <w:rsid w:val="000B25FA"/>
    <w:rsid w:val="000B2655"/>
    <w:rsid w:val="000B26C5"/>
    <w:rsid w:val="000B28E0"/>
    <w:rsid w:val="000B2945"/>
    <w:rsid w:val="000B29F0"/>
    <w:rsid w:val="000B2A05"/>
    <w:rsid w:val="000B2A20"/>
    <w:rsid w:val="000B2B7E"/>
    <w:rsid w:val="000B2BFF"/>
    <w:rsid w:val="000B2C5F"/>
    <w:rsid w:val="000B2C89"/>
    <w:rsid w:val="000B2D6C"/>
    <w:rsid w:val="000B2F07"/>
    <w:rsid w:val="000B30A7"/>
    <w:rsid w:val="000B3180"/>
    <w:rsid w:val="000B3292"/>
    <w:rsid w:val="000B32BB"/>
    <w:rsid w:val="000B32E3"/>
    <w:rsid w:val="000B33E2"/>
    <w:rsid w:val="000B352C"/>
    <w:rsid w:val="000B353D"/>
    <w:rsid w:val="000B3606"/>
    <w:rsid w:val="000B3775"/>
    <w:rsid w:val="000B3794"/>
    <w:rsid w:val="000B386D"/>
    <w:rsid w:val="000B3889"/>
    <w:rsid w:val="000B38A2"/>
    <w:rsid w:val="000B38C5"/>
    <w:rsid w:val="000B394C"/>
    <w:rsid w:val="000B39A8"/>
    <w:rsid w:val="000B3A0C"/>
    <w:rsid w:val="000B3CCD"/>
    <w:rsid w:val="000B4062"/>
    <w:rsid w:val="000B4211"/>
    <w:rsid w:val="000B4244"/>
    <w:rsid w:val="000B4245"/>
    <w:rsid w:val="000B43F2"/>
    <w:rsid w:val="000B4428"/>
    <w:rsid w:val="000B4605"/>
    <w:rsid w:val="000B47BF"/>
    <w:rsid w:val="000B47C3"/>
    <w:rsid w:val="000B47EB"/>
    <w:rsid w:val="000B482D"/>
    <w:rsid w:val="000B4861"/>
    <w:rsid w:val="000B486C"/>
    <w:rsid w:val="000B49EB"/>
    <w:rsid w:val="000B4A9A"/>
    <w:rsid w:val="000B4AB5"/>
    <w:rsid w:val="000B4B05"/>
    <w:rsid w:val="000B4C06"/>
    <w:rsid w:val="000B4C22"/>
    <w:rsid w:val="000B4C4A"/>
    <w:rsid w:val="000B4CD2"/>
    <w:rsid w:val="000B4D0F"/>
    <w:rsid w:val="000B4D46"/>
    <w:rsid w:val="000B4DDC"/>
    <w:rsid w:val="000B4E49"/>
    <w:rsid w:val="000B4EA2"/>
    <w:rsid w:val="000B4ECD"/>
    <w:rsid w:val="000B5022"/>
    <w:rsid w:val="000B50A5"/>
    <w:rsid w:val="000B513B"/>
    <w:rsid w:val="000B51DE"/>
    <w:rsid w:val="000B51E9"/>
    <w:rsid w:val="000B51F5"/>
    <w:rsid w:val="000B520C"/>
    <w:rsid w:val="000B5222"/>
    <w:rsid w:val="000B52A1"/>
    <w:rsid w:val="000B52DC"/>
    <w:rsid w:val="000B52EC"/>
    <w:rsid w:val="000B5306"/>
    <w:rsid w:val="000B5529"/>
    <w:rsid w:val="000B572C"/>
    <w:rsid w:val="000B5805"/>
    <w:rsid w:val="000B58F1"/>
    <w:rsid w:val="000B591F"/>
    <w:rsid w:val="000B595D"/>
    <w:rsid w:val="000B59B4"/>
    <w:rsid w:val="000B5A32"/>
    <w:rsid w:val="000B5B99"/>
    <w:rsid w:val="000B5E72"/>
    <w:rsid w:val="000B5E96"/>
    <w:rsid w:val="000B5EAB"/>
    <w:rsid w:val="000B6004"/>
    <w:rsid w:val="000B60B6"/>
    <w:rsid w:val="000B60BA"/>
    <w:rsid w:val="000B60E8"/>
    <w:rsid w:val="000B616C"/>
    <w:rsid w:val="000B6197"/>
    <w:rsid w:val="000B61CE"/>
    <w:rsid w:val="000B62EC"/>
    <w:rsid w:val="000B62FA"/>
    <w:rsid w:val="000B6394"/>
    <w:rsid w:val="000B6670"/>
    <w:rsid w:val="000B6782"/>
    <w:rsid w:val="000B681F"/>
    <w:rsid w:val="000B68B3"/>
    <w:rsid w:val="000B68EE"/>
    <w:rsid w:val="000B6B21"/>
    <w:rsid w:val="000B6BE2"/>
    <w:rsid w:val="000B6C8A"/>
    <w:rsid w:val="000B6CC0"/>
    <w:rsid w:val="000B6E78"/>
    <w:rsid w:val="000B6F4F"/>
    <w:rsid w:val="000B6F7F"/>
    <w:rsid w:val="000B6FA3"/>
    <w:rsid w:val="000B6FE2"/>
    <w:rsid w:val="000B6FEB"/>
    <w:rsid w:val="000B708E"/>
    <w:rsid w:val="000B709C"/>
    <w:rsid w:val="000B71B1"/>
    <w:rsid w:val="000B7232"/>
    <w:rsid w:val="000B73C0"/>
    <w:rsid w:val="000B76A4"/>
    <w:rsid w:val="000B7832"/>
    <w:rsid w:val="000B7972"/>
    <w:rsid w:val="000B797D"/>
    <w:rsid w:val="000B7D04"/>
    <w:rsid w:val="000B7DB6"/>
    <w:rsid w:val="000B7DBB"/>
    <w:rsid w:val="000B7FEB"/>
    <w:rsid w:val="000C00D4"/>
    <w:rsid w:val="000C00ED"/>
    <w:rsid w:val="000C015B"/>
    <w:rsid w:val="000C018E"/>
    <w:rsid w:val="000C022C"/>
    <w:rsid w:val="000C034E"/>
    <w:rsid w:val="000C0391"/>
    <w:rsid w:val="000C04CE"/>
    <w:rsid w:val="000C05B9"/>
    <w:rsid w:val="000C0709"/>
    <w:rsid w:val="000C092E"/>
    <w:rsid w:val="000C09D9"/>
    <w:rsid w:val="000C09E7"/>
    <w:rsid w:val="000C0A7E"/>
    <w:rsid w:val="000C0BA4"/>
    <w:rsid w:val="000C0BA9"/>
    <w:rsid w:val="000C0CD7"/>
    <w:rsid w:val="000C0F08"/>
    <w:rsid w:val="000C0F62"/>
    <w:rsid w:val="000C0FB8"/>
    <w:rsid w:val="000C120A"/>
    <w:rsid w:val="000C12D7"/>
    <w:rsid w:val="000C1339"/>
    <w:rsid w:val="000C1603"/>
    <w:rsid w:val="000C179D"/>
    <w:rsid w:val="000C17EA"/>
    <w:rsid w:val="000C17F3"/>
    <w:rsid w:val="000C1801"/>
    <w:rsid w:val="000C1833"/>
    <w:rsid w:val="000C192A"/>
    <w:rsid w:val="000C19F0"/>
    <w:rsid w:val="000C1B1F"/>
    <w:rsid w:val="000C1B78"/>
    <w:rsid w:val="000C1B92"/>
    <w:rsid w:val="000C1DD6"/>
    <w:rsid w:val="000C1E93"/>
    <w:rsid w:val="000C1EB7"/>
    <w:rsid w:val="000C1EB8"/>
    <w:rsid w:val="000C1ED5"/>
    <w:rsid w:val="000C1F4C"/>
    <w:rsid w:val="000C1F9F"/>
    <w:rsid w:val="000C205D"/>
    <w:rsid w:val="000C2286"/>
    <w:rsid w:val="000C2362"/>
    <w:rsid w:val="000C240D"/>
    <w:rsid w:val="000C2438"/>
    <w:rsid w:val="000C250D"/>
    <w:rsid w:val="000C253F"/>
    <w:rsid w:val="000C2600"/>
    <w:rsid w:val="000C2612"/>
    <w:rsid w:val="000C26AA"/>
    <w:rsid w:val="000C26DD"/>
    <w:rsid w:val="000C26F4"/>
    <w:rsid w:val="000C27FE"/>
    <w:rsid w:val="000C2840"/>
    <w:rsid w:val="000C28ED"/>
    <w:rsid w:val="000C28FF"/>
    <w:rsid w:val="000C291E"/>
    <w:rsid w:val="000C29B9"/>
    <w:rsid w:val="000C2A1C"/>
    <w:rsid w:val="000C2AD0"/>
    <w:rsid w:val="000C2C24"/>
    <w:rsid w:val="000C2C95"/>
    <w:rsid w:val="000C2D88"/>
    <w:rsid w:val="000C2D9E"/>
    <w:rsid w:val="000C2E15"/>
    <w:rsid w:val="000C2E26"/>
    <w:rsid w:val="000C2F57"/>
    <w:rsid w:val="000C304F"/>
    <w:rsid w:val="000C3253"/>
    <w:rsid w:val="000C32A1"/>
    <w:rsid w:val="000C3396"/>
    <w:rsid w:val="000C3652"/>
    <w:rsid w:val="000C3714"/>
    <w:rsid w:val="000C38B6"/>
    <w:rsid w:val="000C39E1"/>
    <w:rsid w:val="000C39E2"/>
    <w:rsid w:val="000C39ED"/>
    <w:rsid w:val="000C3A4B"/>
    <w:rsid w:val="000C3BBA"/>
    <w:rsid w:val="000C3BD6"/>
    <w:rsid w:val="000C3C71"/>
    <w:rsid w:val="000C3CD0"/>
    <w:rsid w:val="000C3CF7"/>
    <w:rsid w:val="000C3D60"/>
    <w:rsid w:val="000C3DF3"/>
    <w:rsid w:val="000C3EC5"/>
    <w:rsid w:val="000C4098"/>
    <w:rsid w:val="000C40A0"/>
    <w:rsid w:val="000C4153"/>
    <w:rsid w:val="000C4228"/>
    <w:rsid w:val="000C4317"/>
    <w:rsid w:val="000C435A"/>
    <w:rsid w:val="000C4441"/>
    <w:rsid w:val="000C4467"/>
    <w:rsid w:val="000C4525"/>
    <w:rsid w:val="000C46E8"/>
    <w:rsid w:val="000C4763"/>
    <w:rsid w:val="000C47A4"/>
    <w:rsid w:val="000C47AA"/>
    <w:rsid w:val="000C48BD"/>
    <w:rsid w:val="000C4BFF"/>
    <w:rsid w:val="000C4E11"/>
    <w:rsid w:val="000C4E95"/>
    <w:rsid w:val="000C4FB6"/>
    <w:rsid w:val="000C5064"/>
    <w:rsid w:val="000C50B4"/>
    <w:rsid w:val="000C50E5"/>
    <w:rsid w:val="000C5190"/>
    <w:rsid w:val="000C51C6"/>
    <w:rsid w:val="000C5291"/>
    <w:rsid w:val="000C52CB"/>
    <w:rsid w:val="000C52EB"/>
    <w:rsid w:val="000C532A"/>
    <w:rsid w:val="000C53E9"/>
    <w:rsid w:val="000C5489"/>
    <w:rsid w:val="000C54AF"/>
    <w:rsid w:val="000C54C1"/>
    <w:rsid w:val="000C5510"/>
    <w:rsid w:val="000C5526"/>
    <w:rsid w:val="000C55A7"/>
    <w:rsid w:val="000C5626"/>
    <w:rsid w:val="000C5692"/>
    <w:rsid w:val="000C5745"/>
    <w:rsid w:val="000C5837"/>
    <w:rsid w:val="000C5A4A"/>
    <w:rsid w:val="000C5A8E"/>
    <w:rsid w:val="000C5ADE"/>
    <w:rsid w:val="000C5B3C"/>
    <w:rsid w:val="000C5CCF"/>
    <w:rsid w:val="000C5FAD"/>
    <w:rsid w:val="000C5FC5"/>
    <w:rsid w:val="000C60DD"/>
    <w:rsid w:val="000C615B"/>
    <w:rsid w:val="000C6218"/>
    <w:rsid w:val="000C62C8"/>
    <w:rsid w:val="000C6446"/>
    <w:rsid w:val="000C6494"/>
    <w:rsid w:val="000C64B9"/>
    <w:rsid w:val="000C6645"/>
    <w:rsid w:val="000C680A"/>
    <w:rsid w:val="000C68DF"/>
    <w:rsid w:val="000C697B"/>
    <w:rsid w:val="000C6994"/>
    <w:rsid w:val="000C69B3"/>
    <w:rsid w:val="000C6C76"/>
    <w:rsid w:val="000C6C7E"/>
    <w:rsid w:val="000C6C84"/>
    <w:rsid w:val="000C6D86"/>
    <w:rsid w:val="000C6F28"/>
    <w:rsid w:val="000C70B7"/>
    <w:rsid w:val="000C7104"/>
    <w:rsid w:val="000C7214"/>
    <w:rsid w:val="000C72D0"/>
    <w:rsid w:val="000C73D1"/>
    <w:rsid w:val="000C73FA"/>
    <w:rsid w:val="000C74D1"/>
    <w:rsid w:val="000C7687"/>
    <w:rsid w:val="000C779F"/>
    <w:rsid w:val="000C785A"/>
    <w:rsid w:val="000C7869"/>
    <w:rsid w:val="000C7A6E"/>
    <w:rsid w:val="000C7ADA"/>
    <w:rsid w:val="000C7B4B"/>
    <w:rsid w:val="000C7B7F"/>
    <w:rsid w:val="000C7B9C"/>
    <w:rsid w:val="000C7BA0"/>
    <w:rsid w:val="000C7DA3"/>
    <w:rsid w:val="000C7DB4"/>
    <w:rsid w:val="000C7F69"/>
    <w:rsid w:val="000D0090"/>
    <w:rsid w:val="000D0151"/>
    <w:rsid w:val="000D024F"/>
    <w:rsid w:val="000D04D0"/>
    <w:rsid w:val="000D04FD"/>
    <w:rsid w:val="000D053D"/>
    <w:rsid w:val="000D056B"/>
    <w:rsid w:val="000D058C"/>
    <w:rsid w:val="000D05AF"/>
    <w:rsid w:val="000D066C"/>
    <w:rsid w:val="000D06A9"/>
    <w:rsid w:val="000D06C8"/>
    <w:rsid w:val="000D0772"/>
    <w:rsid w:val="000D0785"/>
    <w:rsid w:val="000D09C1"/>
    <w:rsid w:val="000D09D1"/>
    <w:rsid w:val="000D0A6B"/>
    <w:rsid w:val="000D0B18"/>
    <w:rsid w:val="000D0B89"/>
    <w:rsid w:val="000D0BA9"/>
    <w:rsid w:val="000D0BAF"/>
    <w:rsid w:val="000D0C4C"/>
    <w:rsid w:val="000D0DAC"/>
    <w:rsid w:val="000D0DAF"/>
    <w:rsid w:val="000D0DDA"/>
    <w:rsid w:val="000D0E21"/>
    <w:rsid w:val="000D0E9D"/>
    <w:rsid w:val="000D0FA5"/>
    <w:rsid w:val="000D10AB"/>
    <w:rsid w:val="000D10C0"/>
    <w:rsid w:val="000D12EB"/>
    <w:rsid w:val="000D13A2"/>
    <w:rsid w:val="000D144B"/>
    <w:rsid w:val="000D1479"/>
    <w:rsid w:val="000D163C"/>
    <w:rsid w:val="000D1651"/>
    <w:rsid w:val="000D1696"/>
    <w:rsid w:val="000D17F5"/>
    <w:rsid w:val="000D1851"/>
    <w:rsid w:val="000D189F"/>
    <w:rsid w:val="000D18A3"/>
    <w:rsid w:val="000D19BB"/>
    <w:rsid w:val="000D1AA1"/>
    <w:rsid w:val="000D1B25"/>
    <w:rsid w:val="000D1BB4"/>
    <w:rsid w:val="000D1BFD"/>
    <w:rsid w:val="000D1D4A"/>
    <w:rsid w:val="000D1ED2"/>
    <w:rsid w:val="000D1F87"/>
    <w:rsid w:val="000D2019"/>
    <w:rsid w:val="000D2183"/>
    <w:rsid w:val="000D225E"/>
    <w:rsid w:val="000D2282"/>
    <w:rsid w:val="000D22AA"/>
    <w:rsid w:val="000D22AE"/>
    <w:rsid w:val="000D23B8"/>
    <w:rsid w:val="000D2489"/>
    <w:rsid w:val="000D27F6"/>
    <w:rsid w:val="000D2948"/>
    <w:rsid w:val="000D2A40"/>
    <w:rsid w:val="000D2AD7"/>
    <w:rsid w:val="000D2BE2"/>
    <w:rsid w:val="000D2C54"/>
    <w:rsid w:val="000D2D3C"/>
    <w:rsid w:val="000D2D7C"/>
    <w:rsid w:val="000D3018"/>
    <w:rsid w:val="000D3033"/>
    <w:rsid w:val="000D30D8"/>
    <w:rsid w:val="000D310E"/>
    <w:rsid w:val="000D313C"/>
    <w:rsid w:val="000D321E"/>
    <w:rsid w:val="000D32D1"/>
    <w:rsid w:val="000D3356"/>
    <w:rsid w:val="000D33C0"/>
    <w:rsid w:val="000D35C1"/>
    <w:rsid w:val="000D3848"/>
    <w:rsid w:val="000D3852"/>
    <w:rsid w:val="000D3B0F"/>
    <w:rsid w:val="000D3B9D"/>
    <w:rsid w:val="000D3D13"/>
    <w:rsid w:val="000D3E04"/>
    <w:rsid w:val="000D3E26"/>
    <w:rsid w:val="000D3FFB"/>
    <w:rsid w:val="000D40AA"/>
    <w:rsid w:val="000D420D"/>
    <w:rsid w:val="000D423C"/>
    <w:rsid w:val="000D4278"/>
    <w:rsid w:val="000D43A7"/>
    <w:rsid w:val="000D4503"/>
    <w:rsid w:val="000D4540"/>
    <w:rsid w:val="000D45E8"/>
    <w:rsid w:val="000D462A"/>
    <w:rsid w:val="000D464B"/>
    <w:rsid w:val="000D473B"/>
    <w:rsid w:val="000D4753"/>
    <w:rsid w:val="000D4773"/>
    <w:rsid w:val="000D4885"/>
    <w:rsid w:val="000D48F9"/>
    <w:rsid w:val="000D4A12"/>
    <w:rsid w:val="000D4A8C"/>
    <w:rsid w:val="000D4ADA"/>
    <w:rsid w:val="000D4B25"/>
    <w:rsid w:val="000D4C5D"/>
    <w:rsid w:val="000D4CCB"/>
    <w:rsid w:val="000D4D00"/>
    <w:rsid w:val="000D4F25"/>
    <w:rsid w:val="000D5014"/>
    <w:rsid w:val="000D50C8"/>
    <w:rsid w:val="000D5112"/>
    <w:rsid w:val="000D512F"/>
    <w:rsid w:val="000D527E"/>
    <w:rsid w:val="000D5295"/>
    <w:rsid w:val="000D52FE"/>
    <w:rsid w:val="000D5357"/>
    <w:rsid w:val="000D53DF"/>
    <w:rsid w:val="000D54F8"/>
    <w:rsid w:val="000D5520"/>
    <w:rsid w:val="000D55B0"/>
    <w:rsid w:val="000D563F"/>
    <w:rsid w:val="000D5690"/>
    <w:rsid w:val="000D56C5"/>
    <w:rsid w:val="000D56F0"/>
    <w:rsid w:val="000D5734"/>
    <w:rsid w:val="000D57D9"/>
    <w:rsid w:val="000D5870"/>
    <w:rsid w:val="000D58BE"/>
    <w:rsid w:val="000D597B"/>
    <w:rsid w:val="000D5A84"/>
    <w:rsid w:val="000D5ABE"/>
    <w:rsid w:val="000D5AEB"/>
    <w:rsid w:val="000D5BC4"/>
    <w:rsid w:val="000D5D0D"/>
    <w:rsid w:val="000D5D81"/>
    <w:rsid w:val="000D5E1C"/>
    <w:rsid w:val="000D5F30"/>
    <w:rsid w:val="000D611F"/>
    <w:rsid w:val="000D6128"/>
    <w:rsid w:val="000D6370"/>
    <w:rsid w:val="000D668D"/>
    <w:rsid w:val="000D67BA"/>
    <w:rsid w:val="000D67BF"/>
    <w:rsid w:val="000D685E"/>
    <w:rsid w:val="000D690D"/>
    <w:rsid w:val="000D693D"/>
    <w:rsid w:val="000D6B62"/>
    <w:rsid w:val="000D6B84"/>
    <w:rsid w:val="000D6DD0"/>
    <w:rsid w:val="000D6E89"/>
    <w:rsid w:val="000D6F4F"/>
    <w:rsid w:val="000D7036"/>
    <w:rsid w:val="000D709B"/>
    <w:rsid w:val="000D72A0"/>
    <w:rsid w:val="000D72B5"/>
    <w:rsid w:val="000D72D3"/>
    <w:rsid w:val="000D733C"/>
    <w:rsid w:val="000D7479"/>
    <w:rsid w:val="000D7549"/>
    <w:rsid w:val="000D7674"/>
    <w:rsid w:val="000D7773"/>
    <w:rsid w:val="000D7809"/>
    <w:rsid w:val="000D7880"/>
    <w:rsid w:val="000D793D"/>
    <w:rsid w:val="000D7977"/>
    <w:rsid w:val="000D7BFF"/>
    <w:rsid w:val="000D7D65"/>
    <w:rsid w:val="000D7F30"/>
    <w:rsid w:val="000D7FBD"/>
    <w:rsid w:val="000E013D"/>
    <w:rsid w:val="000E0155"/>
    <w:rsid w:val="000E026F"/>
    <w:rsid w:val="000E02AF"/>
    <w:rsid w:val="000E0328"/>
    <w:rsid w:val="000E0396"/>
    <w:rsid w:val="000E04EC"/>
    <w:rsid w:val="000E0518"/>
    <w:rsid w:val="000E061E"/>
    <w:rsid w:val="000E0747"/>
    <w:rsid w:val="000E07AB"/>
    <w:rsid w:val="000E07E7"/>
    <w:rsid w:val="000E0828"/>
    <w:rsid w:val="000E089B"/>
    <w:rsid w:val="000E08B3"/>
    <w:rsid w:val="000E08E0"/>
    <w:rsid w:val="000E08E3"/>
    <w:rsid w:val="000E0A2B"/>
    <w:rsid w:val="000E0B75"/>
    <w:rsid w:val="000E0BEF"/>
    <w:rsid w:val="000E0DE9"/>
    <w:rsid w:val="000E0F5D"/>
    <w:rsid w:val="000E1074"/>
    <w:rsid w:val="000E108A"/>
    <w:rsid w:val="000E1235"/>
    <w:rsid w:val="000E12B3"/>
    <w:rsid w:val="000E134B"/>
    <w:rsid w:val="000E1375"/>
    <w:rsid w:val="000E13D7"/>
    <w:rsid w:val="000E14A6"/>
    <w:rsid w:val="000E152B"/>
    <w:rsid w:val="000E15B5"/>
    <w:rsid w:val="000E17B0"/>
    <w:rsid w:val="000E17BE"/>
    <w:rsid w:val="000E17C2"/>
    <w:rsid w:val="000E1880"/>
    <w:rsid w:val="000E18B8"/>
    <w:rsid w:val="000E1A01"/>
    <w:rsid w:val="000E1A15"/>
    <w:rsid w:val="000E1B93"/>
    <w:rsid w:val="000E1DAB"/>
    <w:rsid w:val="000E1F24"/>
    <w:rsid w:val="000E1F62"/>
    <w:rsid w:val="000E2179"/>
    <w:rsid w:val="000E21B2"/>
    <w:rsid w:val="000E21ED"/>
    <w:rsid w:val="000E2275"/>
    <w:rsid w:val="000E2280"/>
    <w:rsid w:val="000E232C"/>
    <w:rsid w:val="000E23D0"/>
    <w:rsid w:val="000E2829"/>
    <w:rsid w:val="000E287A"/>
    <w:rsid w:val="000E28FF"/>
    <w:rsid w:val="000E29B0"/>
    <w:rsid w:val="000E29E4"/>
    <w:rsid w:val="000E29E5"/>
    <w:rsid w:val="000E29ED"/>
    <w:rsid w:val="000E2BBD"/>
    <w:rsid w:val="000E2BD0"/>
    <w:rsid w:val="000E2C79"/>
    <w:rsid w:val="000E2C99"/>
    <w:rsid w:val="000E2E82"/>
    <w:rsid w:val="000E2FA1"/>
    <w:rsid w:val="000E2FAD"/>
    <w:rsid w:val="000E2FF3"/>
    <w:rsid w:val="000E300D"/>
    <w:rsid w:val="000E31A6"/>
    <w:rsid w:val="000E322C"/>
    <w:rsid w:val="000E328A"/>
    <w:rsid w:val="000E340B"/>
    <w:rsid w:val="000E363A"/>
    <w:rsid w:val="000E37FD"/>
    <w:rsid w:val="000E3908"/>
    <w:rsid w:val="000E393B"/>
    <w:rsid w:val="000E398D"/>
    <w:rsid w:val="000E39FE"/>
    <w:rsid w:val="000E3DD3"/>
    <w:rsid w:val="000E3F14"/>
    <w:rsid w:val="000E4009"/>
    <w:rsid w:val="000E40A6"/>
    <w:rsid w:val="000E4143"/>
    <w:rsid w:val="000E41AA"/>
    <w:rsid w:val="000E427E"/>
    <w:rsid w:val="000E429B"/>
    <w:rsid w:val="000E4366"/>
    <w:rsid w:val="000E4378"/>
    <w:rsid w:val="000E4740"/>
    <w:rsid w:val="000E47CD"/>
    <w:rsid w:val="000E498E"/>
    <w:rsid w:val="000E4A99"/>
    <w:rsid w:val="000E4B12"/>
    <w:rsid w:val="000E4C2C"/>
    <w:rsid w:val="000E4FCE"/>
    <w:rsid w:val="000E5027"/>
    <w:rsid w:val="000E5053"/>
    <w:rsid w:val="000E5075"/>
    <w:rsid w:val="000E508D"/>
    <w:rsid w:val="000E51D7"/>
    <w:rsid w:val="000E5247"/>
    <w:rsid w:val="000E54D3"/>
    <w:rsid w:val="000E55D4"/>
    <w:rsid w:val="000E55EF"/>
    <w:rsid w:val="000E5688"/>
    <w:rsid w:val="000E56F3"/>
    <w:rsid w:val="000E57BC"/>
    <w:rsid w:val="000E58D4"/>
    <w:rsid w:val="000E5928"/>
    <w:rsid w:val="000E5930"/>
    <w:rsid w:val="000E59D1"/>
    <w:rsid w:val="000E5A22"/>
    <w:rsid w:val="000E5A82"/>
    <w:rsid w:val="000E5B73"/>
    <w:rsid w:val="000E5BA6"/>
    <w:rsid w:val="000E5C2E"/>
    <w:rsid w:val="000E5D27"/>
    <w:rsid w:val="000E5DFB"/>
    <w:rsid w:val="000E5E86"/>
    <w:rsid w:val="000E6164"/>
    <w:rsid w:val="000E62C1"/>
    <w:rsid w:val="000E62C5"/>
    <w:rsid w:val="000E635E"/>
    <w:rsid w:val="000E63C0"/>
    <w:rsid w:val="000E6648"/>
    <w:rsid w:val="000E6778"/>
    <w:rsid w:val="000E678B"/>
    <w:rsid w:val="000E67E6"/>
    <w:rsid w:val="000E6819"/>
    <w:rsid w:val="000E69FE"/>
    <w:rsid w:val="000E6A07"/>
    <w:rsid w:val="000E6A5F"/>
    <w:rsid w:val="000E6B3B"/>
    <w:rsid w:val="000E6CBE"/>
    <w:rsid w:val="000E6D7F"/>
    <w:rsid w:val="000E6D94"/>
    <w:rsid w:val="000E6E76"/>
    <w:rsid w:val="000E700F"/>
    <w:rsid w:val="000E71D6"/>
    <w:rsid w:val="000E72F6"/>
    <w:rsid w:val="000E7323"/>
    <w:rsid w:val="000E73CC"/>
    <w:rsid w:val="000E74CC"/>
    <w:rsid w:val="000E7608"/>
    <w:rsid w:val="000E7629"/>
    <w:rsid w:val="000E76C3"/>
    <w:rsid w:val="000E76F4"/>
    <w:rsid w:val="000E774D"/>
    <w:rsid w:val="000E77DA"/>
    <w:rsid w:val="000E7911"/>
    <w:rsid w:val="000E7B40"/>
    <w:rsid w:val="000E7C6A"/>
    <w:rsid w:val="000E7C81"/>
    <w:rsid w:val="000E7DCE"/>
    <w:rsid w:val="000E7EC2"/>
    <w:rsid w:val="000E7EE8"/>
    <w:rsid w:val="000E7FBA"/>
    <w:rsid w:val="000F00A4"/>
    <w:rsid w:val="000F0135"/>
    <w:rsid w:val="000F01AF"/>
    <w:rsid w:val="000F023B"/>
    <w:rsid w:val="000F02CA"/>
    <w:rsid w:val="000F036E"/>
    <w:rsid w:val="000F0393"/>
    <w:rsid w:val="000F039A"/>
    <w:rsid w:val="000F05BD"/>
    <w:rsid w:val="000F0799"/>
    <w:rsid w:val="000F0A3A"/>
    <w:rsid w:val="000F0ADD"/>
    <w:rsid w:val="000F0AF5"/>
    <w:rsid w:val="000F0B13"/>
    <w:rsid w:val="000F0BCB"/>
    <w:rsid w:val="000F0D21"/>
    <w:rsid w:val="000F0F7B"/>
    <w:rsid w:val="000F102B"/>
    <w:rsid w:val="000F102F"/>
    <w:rsid w:val="000F1056"/>
    <w:rsid w:val="000F10FC"/>
    <w:rsid w:val="000F130E"/>
    <w:rsid w:val="000F145A"/>
    <w:rsid w:val="000F14B2"/>
    <w:rsid w:val="000F15C5"/>
    <w:rsid w:val="000F1781"/>
    <w:rsid w:val="000F18DF"/>
    <w:rsid w:val="000F1CC8"/>
    <w:rsid w:val="000F1F52"/>
    <w:rsid w:val="000F1F75"/>
    <w:rsid w:val="000F2093"/>
    <w:rsid w:val="000F2103"/>
    <w:rsid w:val="000F2127"/>
    <w:rsid w:val="000F2194"/>
    <w:rsid w:val="000F23E3"/>
    <w:rsid w:val="000F2447"/>
    <w:rsid w:val="000F24C4"/>
    <w:rsid w:val="000F24C6"/>
    <w:rsid w:val="000F2681"/>
    <w:rsid w:val="000F271F"/>
    <w:rsid w:val="000F2744"/>
    <w:rsid w:val="000F27CA"/>
    <w:rsid w:val="000F29F2"/>
    <w:rsid w:val="000F2A95"/>
    <w:rsid w:val="000F2BA1"/>
    <w:rsid w:val="000F2BF8"/>
    <w:rsid w:val="000F2C85"/>
    <w:rsid w:val="000F2D82"/>
    <w:rsid w:val="000F2E0E"/>
    <w:rsid w:val="000F2EA0"/>
    <w:rsid w:val="000F2FEB"/>
    <w:rsid w:val="000F3046"/>
    <w:rsid w:val="000F32AF"/>
    <w:rsid w:val="000F32E5"/>
    <w:rsid w:val="000F330E"/>
    <w:rsid w:val="000F33ED"/>
    <w:rsid w:val="000F3573"/>
    <w:rsid w:val="000F366D"/>
    <w:rsid w:val="000F36EA"/>
    <w:rsid w:val="000F36FA"/>
    <w:rsid w:val="000F37CF"/>
    <w:rsid w:val="000F37EE"/>
    <w:rsid w:val="000F37FA"/>
    <w:rsid w:val="000F3913"/>
    <w:rsid w:val="000F3A50"/>
    <w:rsid w:val="000F3A9D"/>
    <w:rsid w:val="000F3A9E"/>
    <w:rsid w:val="000F3B0D"/>
    <w:rsid w:val="000F3BBC"/>
    <w:rsid w:val="000F3C07"/>
    <w:rsid w:val="000F3D24"/>
    <w:rsid w:val="000F3D3C"/>
    <w:rsid w:val="000F3FE1"/>
    <w:rsid w:val="000F402E"/>
    <w:rsid w:val="000F4055"/>
    <w:rsid w:val="000F4105"/>
    <w:rsid w:val="000F412D"/>
    <w:rsid w:val="000F416C"/>
    <w:rsid w:val="000F4212"/>
    <w:rsid w:val="000F4291"/>
    <w:rsid w:val="000F42E0"/>
    <w:rsid w:val="000F43F2"/>
    <w:rsid w:val="000F481E"/>
    <w:rsid w:val="000F484B"/>
    <w:rsid w:val="000F4932"/>
    <w:rsid w:val="000F4A5C"/>
    <w:rsid w:val="000F4A8A"/>
    <w:rsid w:val="000F4C5C"/>
    <w:rsid w:val="000F4C9D"/>
    <w:rsid w:val="000F4F42"/>
    <w:rsid w:val="000F502F"/>
    <w:rsid w:val="000F513E"/>
    <w:rsid w:val="000F513F"/>
    <w:rsid w:val="000F518E"/>
    <w:rsid w:val="000F51FA"/>
    <w:rsid w:val="000F529C"/>
    <w:rsid w:val="000F5349"/>
    <w:rsid w:val="000F542E"/>
    <w:rsid w:val="000F54C4"/>
    <w:rsid w:val="000F5771"/>
    <w:rsid w:val="000F581E"/>
    <w:rsid w:val="000F592B"/>
    <w:rsid w:val="000F59CA"/>
    <w:rsid w:val="000F59D0"/>
    <w:rsid w:val="000F59E4"/>
    <w:rsid w:val="000F5E60"/>
    <w:rsid w:val="000F5F72"/>
    <w:rsid w:val="000F5F75"/>
    <w:rsid w:val="000F603E"/>
    <w:rsid w:val="000F62C7"/>
    <w:rsid w:val="000F6375"/>
    <w:rsid w:val="000F63B0"/>
    <w:rsid w:val="000F63D2"/>
    <w:rsid w:val="000F63DC"/>
    <w:rsid w:val="000F6417"/>
    <w:rsid w:val="000F6427"/>
    <w:rsid w:val="000F6459"/>
    <w:rsid w:val="000F6593"/>
    <w:rsid w:val="000F669B"/>
    <w:rsid w:val="000F6798"/>
    <w:rsid w:val="000F6837"/>
    <w:rsid w:val="000F6908"/>
    <w:rsid w:val="000F69C8"/>
    <w:rsid w:val="000F69D8"/>
    <w:rsid w:val="000F6A7C"/>
    <w:rsid w:val="000F6B95"/>
    <w:rsid w:val="000F6BC3"/>
    <w:rsid w:val="000F6C32"/>
    <w:rsid w:val="000F6CEF"/>
    <w:rsid w:val="000F6D5F"/>
    <w:rsid w:val="000F6E10"/>
    <w:rsid w:val="000F6F3C"/>
    <w:rsid w:val="000F709B"/>
    <w:rsid w:val="000F710B"/>
    <w:rsid w:val="000F72F4"/>
    <w:rsid w:val="000F7487"/>
    <w:rsid w:val="000F750A"/>
    <w:rsid w:val="000F7511"/>
    <w:rsid w:val="000F75D1"/>
    <w:rsid w:val="000F78EF"/>
    <w:rsid w:val="000F79E5"/>
    <w:rsid w:val="000F7AB7"/>
    <w:rsid w:val="000F7C17"/>
    <w:rsid w:val="000F7CCA"/>
    <w:rsid w:val="000FB86A"/>
    <w:rsid w:val="001000D9"/>
    <w:rsid w:val="00100191"/>
    <w:rsid w:val="0010037E"/>
    <w:rsid w:val="00100430"/>
    <w:rsid w:val="0010050F"/>
    <w:rsid w:val="00100582"/>
    <w:rsid w:val="001005BA"/>
    <w:rsid w:val="00100766"/>
    <w:rsid w:val="00100807"/>
    <w:rsid w:val="00100896"/>
    <w:rsid w:val="001008F5"/>
    <w:rsid w:val="00100919"/>
    <w:rsid w:val="00100928"/>
    <w:rsid w:val="0010098A"/>
    <w:rsid w:val="00100A11"/>
    <w:rsid w:val="00100AE7"/>
    <w:rsid w:val="00100AE8"/>
    <w:rsid w:val="00100C3D"/>
    <w:rsid w:val="00100DD2"/>
    <w:rsid w:val="00100EEC"/>
    <w:rsid w:val="00100F56"/>
    <w:rsid w:val="00100FC1"/>
    <w:rsid w:val="00101074"/>
    <w:rsid w:val="0010107A"/>
    <w:rsid w:val="001010FE"/>
    <w:rsid w:val="00101267"/>
    <w:rsid w:val="001012A4"/>
    <w:rsid w:val="001012FD"/>
    <w:rsid w:val="00101389"/>
    <w:rsid w:val="00101498"/>
    <w:rsid w:val="00101585"/>
    <w:rsid w:val="001015C9"/>
    <w:rsid w:val="001015F0"/>
    <w:rsid w:val="001016FE"/>
    <w:rsid w:val="0010177C"/>
    <w:rsid w:val="001017AA"/>
    <w:rsid w:val="001017AD"/>
    <w:rsid w:val="00101842"/>
    <w:rsid w:val="0010189C"/>
    <w:rsid w:val="0010196E"/>
    <w:rsid w:val="00101978"/>
    <w:rsid w:val="00101993"/>
    <w:rsid w:val="00101AB4"/>
    <w:rsid w:val="00101B29"/>
    <w:rsid w:val="00101C25"/>
    <w:rsid w:val="00101C42"/>
    <w:rsid w:val="00101D05"/>
    <w:rsid w:val="00101D4C"/>
    <w:rsid w:val="00101D9E"/>
    <w:rsid w:val="00101E2D"/>
    <w:rsid w:val="00101EE7"/>
    <w:rsid w:val="00101EFF"/>
    <w:rsid w:val="0010215B"/>
    <w:rsid w:val="00102160"/>
    <w:rsid w:val="001021C2"/>
    <w:rsid w:val="001022AA"/>
    <w:rsid w:val="0010230B"/>
    <w:rsid w:val="00102365"/>
    <w:rsid w:val="0010245F"/>
    <w:rsid w:val="00102511"/>
    <w:rsid w:val="00102528"/>
    <w:rsid w:val="001026DC"/>
    <w:rsid w:val="00102ABB"/>
    <w:rsid w:val="00102C2E"/>
    <w:rsid w:val="00102D6D"/>
    <w:rsid w:val="00102DCE"/>
    <w:rsid w:val="00102E3A"/>
    <w:rsid w:val="00102FAD"/>
    <w:rsid w:val="001030BA"/>
    <w:rsid w:val="0010312B"/>
    <w:rsid w:val="00103246"/>
    <w:rsid w:val="00103315"/>
    <w:rsid w:val="00103328"/>
    <w:rsid w:val="001034B8"/>
    <w:rsid w:val="0010365F"/>
    <w:rsid w:val="00103677"/>
    <w:rsid w:val="0010370B"/>
    <w:rsid w:val="00103754"/>
    <w:rsid w:val="00103803"/>
    <w:rsid w:val="00103969"/>
    <w:rsid w:val="001039A0"/>
    <w:rsid w:val="00103AB8"/>
    <w:rsid w:val="00103AE8"/>
    <w:rsid w:val="00103B35"/>
    <w:rsid w:val="00103B44"/>
    <w:rsid w:val="00103B67"/>
    <w:rsid w:val="00103D1A"/>
    <w:rsid w:val="00103E12"/>
    <w:rsid w:val="00103E45"/>
    <w:rsid w:val="00103F4C"/>
    <w:rsid w:val="001040DA"/>
    <w:rsid w:val="001040EC"/>
    <w:rsid w:val="00104145"/>
    <w:rsid w:val="00104357"/>
    <w:rsid w:val="001044DB"/>
    <w:rsid w:val="00104663"/>
    <w:rsid w:val="00104690"/>
    <w:rsid w:val="00104695"/>
    <w:rsid w:val="00104708"/>
    <w:rsid w:val="0010473F"/>
    <w:rsid w:val="00104764"/>
    <w:rsid w:val="001047B5"/>
    <w:rsid w:val="00104977"/>
    <w:rsid w:val="00104A49"/>
    <w:rsid w:val="00104A7C"/>
    <w:rsid w:val="00104AEE"/>
    <w:rsid w:val="00104AF7"/>
    <w:rsid w:val="00104BAA"/>
    <w:rsid w:val="00104C80"/>
    <w:rsid w:val="00104CAD"/>
    <w:rsid w:val="00104CF4"/>
    <w:rsid w:val="00104D51"/>
    <w:rsid w:val="00104D56"/>
    <w:rsid w:val="00104F14"/>
    <w:rsid w:val="00104F2C"/>
    <w:rsid w:val="00104F65"/>
    <w:rsid w:val="0010500B"/>
    <w:rsid w:val="0010501C"/>
    <w:rsid w:val="0010506D"/>
    <w:rsid w:val="0010508F"/>
    <w:rsid w:val="001050FC"/>
    <w:rsid w:val="00105199"/>
    <w:rsid w:val="001051EE"/>
    <w:rsid w:val="00105253"/>
    <w:rsid w:val="0010526C"/>
    <w:rsid w:val="0010532D"/>
    <w:rsid w:val="00105380"/>
    <w:rsid w:val="00105523"/>
    <w:rsid w:val="0010554D"/>
    <w:rsid w:val="00105577"/>
    <w:rsid w:val="00105636"/>
    <w:rsid w:val="0010572C"/>
    <w:rsid w:val="00105751"/>
    <w:rsid w:val="00105822"/>
    <w:rsid w:val="0010583B"/>
    <w:rsid w:val="0010584F"/>
    <w:rsid w:val="00105947"/>
    <w:rsid w:val="0010596B"/>
    <w:rsid w:val="00105AE3"/>
    <w:rsid w:val="00105B60"/>
    <w:rsid w:val="00105BED"/>
    <w:rsid w:val="00105D9D"/>
    <w:rsid w:val="00105F39"/>
    <w:rsid w:val="00105F8D"/>
    <w:rsid w:val="00105FB6"/>
    <w:rsid w:val="00106076"/>
    <w:rsid w:val="001060BB"/>
    <w:rsid w:val="0010619D"/>
    <w:rsid w:val="001061A7"/>
    <w:rsid w:val="0010629F"/>
    <w:rsid w:val="001062B7"/>
    <w:rsid w:val="001062FA"/>
    <w:rsid w:val="00106464"/>
    <w:rsid w:val="00106477"/>
    <w:rsid w:val="001065CD"/>
    <w:rsid w:val="0010663B"/>
    <w:rsid w:val="001066DA"/>
    <w:rsid w:val="0010671F"/>
    <w:rsid w:val="001067A7"/>
    <w:rsid w:val="001067C4"/>
    <w:rsid w:val="00106A49"/>
    <w:rsid w:val="00106B7D"/>
    <w:rsid w:val="00106BC3"/>
    <w:rsid w:val="00106C28"/>
    <w:rsid w:val="00106CC7"/>
    <w:rsid w:val="00106E39"/>
    <w:rsid w:val="00106F20"/>
    <w:rsid w:val="00106F75"/>
    <w:rsid w:val="00106FA4"/>
    <w:rsid w:val="0010705A"/>
    <w:rsid w:val="001071E1"/>
    <w:rsid w:val="00107231"/>
    <w:rsid w:val="001073E8"/>
    <w:rsid w:val="00107522"/>
    <w:rsid w:val="001075F4"/>
    <w:rsid w:val="00107749"/>
    <w:rsid w:val="0010774A"/>
    <w:rsid w:val="00107816"/>
    <w:rsid w:val="001079C6"/>
    <w:rsid w:val="00107BC7"/>
    <w:rsid w:val="00107C28"/>
    <w:rsid w:val="00107CA7"/>
    <w:rsid w:val="00107CBD"/>
    <w:rsid w:val="00107DCD"/>
    <w:rsid w:val="00107E21"/>
    <w:rsid w:val="00107E92"/>
    <w:rsid w:val="001102E6"/>
    <w:rsid w:val="001103A6"/>
    <w:rsid w:val="001105B1"/>
    <w:rsid w:val="0011060A"/>
    <w:rsid w:val="00110676"/>
    <w:rsid w:val="001108B5"/>
    <w:rsid w:val="00110922"/>
    <w:rsid w:val="0011094B"/>
    <w:rsid w:val="00110970"/>
    <w:rsid w:val="00110986"/>
    <w:rsid w:val="00110A6C"/>
    <w:rsid w:val="00110C4A"/>
    <w:rsid w:val="00110C5D"/>
    <w:rsid w:val="00110DB3"/>
    <w:rsid w:val="00110E91"/>
    <w:rsid w:val="00110EBB"/>
    <w:rsid w:val="00110F02"/>
    <w:rsid w:val="00111034"/>
    <w:rsid w:val="00111207"/>
    <w:rsid w:val="00111212"/>
    <w:rsid w:val="00111371"/>
    <w:rsid w:val="00111453"/>
    <w:rsid w:val="001114E5"/>
    <w:rsid w:val="00111637"/>
    <w:rsid w:val="00111908"/>
    <w:rsid w:val="001119A8"/>
    <w:rsid w:val="00111BEF"/>
    <w:rsid w:val="00111C17"/>
    <w:rsid w:val="00111D92"/>
    <w:rsid w:val="00111EAD"/>
    <w:rsid w:val="00111EC8"/>
    <w:rsid w:val="0011200C"/>
    <w:rsid w:val="00112073"/>
    <w:rsid w:val="00112157"/>
    <w:rsid w:val="00112462"/>
    <w:rsid w:val="001125A5"/>
    <w:rsid w:val="0011261A"/>
    <w:rsid w:val="001126A9"/>
    <w:rsid w:val="001126DB"/>
    <w:rsid w:val="00112735"/>
    <w:rsid w:val="00112770"/>
    <w:rsid w:val="001127EF"/>
    <w:rsid w:val="0011297E"/>
    <w:rsid w:val="00112A11"/>
    <w:rsid w:val="00112A24"/>
    <w:rsid w:val="00112A34"/>
    <w:rsid w:val="00112A77"/>
    <w:rsid w:val="00112AB3"/>
    <w:rsid w:val="00112B55"/>
    <w:rsid w:val="00112B6C"/>
    <w:rsid w:val="00112CEF"/>
    <w:rsid w:val="00112D00"/>
    <w:rsid w:val="00112D41"/>
    <w:rsid w:val="00112D53"/>
    <w:rsid w:val="00112D57"/>
    <w:rsid w:val="00112FA2"/>
    <w:rsid w:val="0011302D"/>
    <w:rsid w:val="00113076"/>
    <w:rsid w:val="0011322A"/>
    <w:rsid w:val="00113239"/>
    <w:rsid w:val="001132F4"/>
    <w:rsid w:val="0011399B"/>
    <w:rsid w:val="00113A84"/>
    <w:rsid w:val="00113ABC"/>
    <w:rsid w:val="00113ACA"/>
    <w:rsid w:val="00113B3A"/>
    <w:rsid w:val="00113B6D"/>
    <w:rsid w:val="00113BF1"/>
    <w:rsid w:val="00113CFE"/>
    <w:rsid w:val="00113D29"/>
    <w:rsid w:val="00113D4D"/>
    <w:rsid w:val="00113D96"/>
    <w:rsid w:val="00113DD5"/>
    <w:rsid w:val="00113DFD"/>
    <w:rsid w:val="00113E7E"/>
    <w:rsid w:val="00113EFB"/>
    <w:rsid w:val="00113EFD"/>
    <w:rsid w:val="00113FB2"/>
    <w:rsid w:val="00113FD3"/>
    <w:rsid w:val="00114002"/>
    <w:rsid w:val="001140E9"/>
    <w:rsid w:val="00114187"/>
    <w:rsid w:val="0011423F"/>
    <w:rsid w:val="001142D1"/>
    <w:rsid w:val="00114378"/>
    <w:rsid w:val="001144B6"/>
    <w:rsid w:val="0011451F"/>
    <w:rsid w:val="00114688"/>
    <w:rsid w:val="00114698"/>
    <w:rsid w:val="0011481A"/>
    <w:rsid w:val="001148E6"/>
    <w:rsid w:val="00114963"/>
    <w:rsid w:val="001149DD"/>
    <w:rsid w:val="001149FA"/>
    <w:rsid w:val="00114B2A"/>
    <w:rsid w:val="00114C2D"/>
    <w:rsid w:val="00114E0D"/>
    <w:rsid w:val="00114EE8"/>
    <w:rsid w:val="001151E5"/>
    <w:rsid w:val="001151ED"/>
    <w:rsid w:val="001151F6"/>
    <w:rsid w:val="001152F6"/>
    <w:rsid w:val="00115389"/>
    <w:rsid w:val="001153F3"/>
    <w:rsid w:val="00115404"/>
    <w:rsid w:val="0011544B"/>
    <w:rsid w:val="00115491"/>
    <w:rsid w:val="00115512"/>
    <w:rsid w:val="001155EA"/>
    <w:rsid w:val="001156FB"/>
    <w:rsid w:val="00115745"/>
    <w:rsid w:val="001157D5"/>
    <w:rsid w:val="0011591D"/>
    <w:rsid w:val="00115A5D"/>
    <w:rsid w:val="00115AA5"/>
    <w:rsid w:val="00115AB0"/>
    <w:rsid w:val="00115AE2"/>
    <w:rsid w:val="00115AE5"/>
    <w:rsid w:val="00115D3B"/>
    <w:rsid w:val="00115D78"/>
    <w:rsid w:val="00115DA2"/>
    <w:rsid w:val="00116022"/>
    <w:rsid w:val="0011615D"/>
    <w:rsid w:val="00116193"/>
    <w:rsid w:val="00116245"/>
    <w:rsid w:val="0011636C"/>
    <w:rsid w:val="0011648B"/>
    <w:rsid w:val="001164AA"/>
    <w:rsid w:val="0011651C"/>
    <w:rsid w:val="00116529"/>
    <w:rsid w:val="00116540"/>
    <w:rsid w:val="00116578"/>
    <w:rsid w:val="0011673C"/>
    <w:rsid w:val="001167A0"/>
    <w:rsid w:val="001167F7"/>
    <w:rsid w:val="00116819"/>
    <w:rsid w:val="00116A7C"/>
    <w:rsid w:val="00116A9E"/>
    <w:rsid w:val="00116B01"/>
    <w:rsid w:val="00116B29"/>
    <w:rsid w:val="00116B34"/>
    <w:rsid w:val="00116B4D"/>
    <w:rsid w:val="00116BF7"/>
    <w:rsid w:val="00116CB4"/>
    <w:rsid w:val="00116DED"/>
    <w:rsid w:val="00116DFC"/>
    <w:rsid w:val="00116E07"/>
    <w:rsid w:val="0011703E"/>
    <w:rsid w:val="0011705A"/>
    <w:rsid w:val="0011706C"/>
    <w:rsid w:val="001170EA"/>
    <w:rsid w:val="00117152"/>
    <w:rsid w:val="00117156"/>
    <w:rsid w:val="0011732C"/>
    <w:rsid w:val="00117372"/>
    <w:rsid w:val="0011738D"/>
    <w:rsid w:val="0011747E"/>
    <w:rsid w:val="00117600"/>
    <w:rsid w:val="00117702"/>
    <w:rsid w:val="001178E2"/>
    <w:rsid w:val="0011791D"/>
    <w:rsid w:val="0011792B"/>
    <w:rsid w:val="00117957"/>
    <w:rsid w:val="001179D9"/>
    <w:rsid w:val="00117A36"/>
    <w:rsid w:val="00117B4A"/>
    <w:rsid w:val="00117C1E"/>
    <w:rsid w:val="00117CD5"/>
    <w:rsid w:val="00117EDA"/>
    <w:rsid w:val="00117F0E"/>
    <w:rsid w:val="00117F10"/>
    <w:rsid w:val="00120060"/>
    <w:rsid w:val="00120168"/>
    <w:rsid w:val="0012026B"/>
    <w:rsid w:val="00120411"/>
    <w:rsid w:val="001204AF"/>
    <w:rsid w:val="001206AF"/>
    <w:rsid w:val="00120933"/>
    <w:rsid w:val="00120950"/>
    <w:rsid w:val="00120AF3"/>
    <w:rsid w:val="00120BE6"/>
    <w:rsid w:val="00120C2B"/>
    <w:rsid w:val="00120C79"/>
    <w:rsid w:val="00120CAE"/>
    <w:rsid w:val="00120CD0"/>
    <w:rsid w:val="00120E54"/>
    <w:rsid w:val="00120EF2"/>
    <w:rsid w:val="00120FAC"/>
    <w:rsid w:val="00120FB0"/>
    <w:rsid w:val="00121014"/>
    <w:rsid w:val="0012118A"/>
    <w:rsid w:val="001211BC"/>
    <w:rsid w:val="001211E7"/>
    <w:rsid w:val="0012129C"/>
    <w:rsid w:val="001214B5"/>
    <w:rsid w:val="001218F7"/>
    <w:rsid w:val="00121A0C"/>
    <w:rsid w:val="00121B65"/>
    <w:rsid w:val="00121BEC"/>
    <w:rsid w:val="00121C0A"/>
    <w:rsid w:val="00121C27"/>
    <w:rsid w:val="00121CDE"/>
    <w:rsid w:val="00121CE1"/>
    <w:rsid w:val="00121D08"/>
    <w:rsid w:val="00121D35"/>
    <w:rsid w:val="00121DB5"/>
    <w:rsid w:val="00121F4D"/>
    <w:rsid w:val="00121FBA"/>
    <w:rsid w:val="00121FD2"/>
    <w:rsid w:val="0012203D"/>
    <w:rsid w:val="001220B8"/>
    <w:rsid w:val="001221A6"/>
    <w:rsid w:val="00122253"/>
    <w:rsid w:val="00122325"/>
    <w:rsid w:val="00122368"/>
    <w:rsid w:val="00122438"/>
    <w:rsid w:val="001224C5"/>
    <w:rsid w:val="001225CB"/>
    <w:rsid w:val="00122635"/>
    <w:rsid w:val="00122694"/>
    <w:rsid w:val="001226A1"/>
    <w:rsid w:val="001227F3"/>
    <w:rsid w:val="00122818"/>
    <w:rsid w:val="00122830"/>
    <w:rsid w:val="001228A7"/>
    <w:rsid w:val="00122A45"/>
    <w:rsid w:val="00122B01"/>
    <w:rsid w:val="00122B04"/>
    <w:rsid w:val="00122B8D"/>
    <w:rsid w:val="00122C26"/>
    <w:rsid w:val="00122C39"/>
    <w:rsid w:val="00122C3B"/>
    <w:rsid w:val="00122D7A"/>
    <w:rsid w:val="00122FCE"/>
    <w:rsid w:val="00123022"/>
    <w:rsid w:val="00123033"/>
    <w:rsid w:val="00123069"/>
    <w:rsid w:val="0012306E"/>
    <w:rsid w:val="001230C1"/>
    <w:rsid w:val="001231DC"/>
    <w:rsid w:val="001231EB"/>
    <w:rsid w:val="0012328F"/>
    <w:rsid w:val="00123404"/>
    <w:rsid w:val="00123437"/>
    <w:rsid w:val="001234BD"/>
    <w:rsid w:val="001234FD"/>
    <w:rsid w:val="001235AD"/>
    <w:rsid w:val="00123779"/>
    <w:rsid w:val="001237AC"/>
    <w:rsid w:val="001238E3"/>
    <w:rsid w:val="0012395A"/>
    <w:rsid w:val="001239B8"/>
    <w:rsid w:val="00123A54"/>
    <w:rsid w:val="00123B51"/>
    <w:rsid w:val="00123B8A"/>
    <w:rsid w:val="00123BBF"/>
    <w:rsid w:val="00123BCA"/>
    <w:rsid w:val="00123CA6"/>
    <w:rsid w:val="00123CFB"/>
    <w:rsid w:val="00123D6F"/>
    <w:rsid w:val="00123E15"/>
    <w:rsid w:val="00123E92"/>
    <w:rsid w:val="00123EA6"/>
    <w:rsid w:val="00123F19"/>
    <w:rsid w:val="001241D4"/>
    <w:rsid w:val="001241F4"/>
    <w:rsid w:val="00124248"/>
    <w:rsid w:val="0012427B"/>
    <w:rsid w:val="00124354"/>
    <w:rsid w:val="0012439C"/>
    <w:rsid w:val="00124432"/>
    <w:rsid w:val="001244AA"/>
    <w:rsid w:val="001244FE"/>
    <w:rsid w:val="00124567"/>
    <w:rsid w:val="00124635"/>
    <w:rsid w:val="001247A6"/>
    <w:rsid w:val="001248D6"/>
    <w:rsid w:val="0012495F"/>
    <w:rsid w:val="00124967"/>
    <w:rsid w:val="0012498F"/>
    <w:rsid w:val="001249E3"/>
    <w:rsid w:val="00124A90"/>
    <w:rsid w:val="00124BBE"/>
    <w:rsid w:val="00124C02"/>
    <w:rsid w:val="00124C77"/>
    <w:rsid w:val="00124D59"/>
    <w:rsid w:val="00124EC4"/>
    <w:rsid w:val="00124EDA"/>
    <w:rsid w:val="00124FAE"/>
    <w:rsid w:val="00125013"/>
    <w:rsid w:val="00125070"/>
    <w:rsid w:val="001250A4"/>
    <w:rsid w:val="001251ED"/>
    <w:rsid w:val="0012524F"/>
    <w:rsid w:val="00125251"/>
    <w:rsid w:val="00125288"/>
    <w:rsid w:val="00125322"/>
    <w:rsid w:val="001255AC"/>
    <w:rsid w:val="00125621"/>
    <w:rsid w:val="001256B0"/>
    <w:rsid w:val="00125791"/>
    <w:rsid w:val="001257A5"/>
    <w:rsid w:val="001257CB"/>
    <w:rsid w:val="001258A6"/>
    <w:rsid w:val="001258E4"/>
    <w:rsid w:val="00125970"/>
    <w:rsid w:val="00125980"/>
    <w:rsid w:val="00125A64"/>
    <w:rsid w:val="00125ABD"/>
    <w:rsid w:val="00125B0E"/>
    <w:rsid w:val="00125BC6"/>
    <w:rsid w:val="00125BCB"/>
    <w:rsid w:val="00125BCE"/>
    <w:rsid w:val="00125C5F"/>
    <w:rsid w:val="00125C6C"/>
    <w:rsid w:val="00125CE9"/>
    <w:rsid w:val="00125D2A"/>
    <w:rsid w:val="00125D39"/>
    <w:rsid w:val="00125D84"/>
    <w:rsid w:val="00125EEA"/>
    <w:rsid w:val="00125FAE"/>
    <w:rsid w:val="00125FF4"/>
    <w:rsid w:val="00126015"/>
    <w:rsid w:val="00126036"/>
    <w:rsid w:val="0012606F"/>
    <w:rsid w:val="00126111"/>
    <w:rsid w:val="00126260"/>
    <w:rsid w:val="0012632A"/>
    <w:rsid w:val="001263DF"/>
    <w:rsid w:val="0012647F"/>
    <w:rsid w:val="00126483"/>
    <w:rsid w:val="001264B3"/>
    <w:rsid w:val="001264E1"/>
    <w:rsid w:val="0012668E"/>
    <w:rsid w:val="001266FD"/>
    <w:rsid w:val="00126724"/>
    <w:rsid w:val="001268F0"/>
    <w:rsid w:val="0012698C"/>
    <w:rsid w:val="00126A02"/>
    <w:rsid w:val="00126B77"/>
    <w:rsid w:val="00126E10"/>
    <w:rsid w:val="00126E16"/>
    <w:rsid w:val="00127084"/>
    <w:rsid w:val="0012708F"/>
    <w:rsid w:val="001270E2"/>
    <w:rsid w:val="00127270"/>
    <w:rsid w:val="00127301"/>
    <w:rsid w:val="0012763E"/>
    <w:rsid w:val="001276A5"/>
    <w:rsid w:val="001276D0"/>
    <w:rsid w:val="00127773"/>
    <w:rsid w:val="00127782"/>
    <w:rsid w:val="001277F5"/>
    <w:rsid w:val="0012783D"/>
    <w:rsid w:val="001279D0"/>
    <w:rsid w:val="00127A34"/>
    <w:rsid w:val="00127A62"/>
    <w:rsid w:val="00127A9C"/>
    <w:rsid w:val="00127AD8"/>
    <w:rsid w:val="00127B27"/>
    <w:rsid w:val="00127B61"/>
    <w:rsid w:val="00127CCB"/>
    <w:rsid w:val="00127DB0"/>
    <w:rsid w:val="00127DCC"/>
    <w:rsid w:val="00127DFC"/>
    <w:rsid w:val="00127E2A"/>
    <w:rsid w:val="00127E7C"/>
    <w:rsid w:val="00127EB7"/>
    <w:rsid w:val="00127F04"/>
    <w:rsid w:val="00127FAF"/>
    <w:rsid w:val="00127FCC"/>
    <w:rsid w:val="00130160"/>
    <w:rsid w:val="0013025E"/>
    <w:rsid w:val="001302BA"/>
    <w:rsid w:val="00130324"/>
    <w:rsid w:val="00130326"/>
    <w:rsid w:val="0013033F"/>
    <w:rsid w:val="00130353"/>
    <w:rsid w:val="001303E2"/>
    <w:rsid w:val="00130571"/>
    <w:rsid w:val="001305E6"/>
    <w:rsid w:val="001307AE"/>
    <w:rsid w:val="001308A1"/>
    <w:rsid w:val="00130937"/>
    <w:rsid w:val="0013097D"/>
    <w:rsid w:val="00130BD1"/>
    <w:rsid w:val="00130C9C"/>
    <w:rsid w:val="00130E05"/>
    <w:rsid w:val="00130FAA"/>
    <w:rsid w:val="0013102C"/>
    <w:rsid w:val="00131056"/>
    <w:rsid w:val="0013107B"/>
    <w:rsid w:val="00131415"/>
    <w:rsid w:val="00131465"/>
    <w:rsid w:val="001314BE"/>
    <w:rsid w:val="001314C3"/>
    <w:rsid w:val="001315B6"/>
    <w:rsid w:val="001316EC"/>
    <w:rsid w:val="001316EF"/>
    <w:rsid w:val="0013170E"/>
    <w:rsid w:val="001317DE"/>
    <w:rsid w:val="00131803"/>
    <w:rsid w:val="001318C8"/>
    <w:rsid w:val="001318D4"/>
    <w:rsid w:val="00131A5E"/>
    <w:rsid w:val="00131B54"/>
    <w:rsid w:val="00131E1A"/>
    <w:rsid w:val="00131EDC"/>
    <w:rsid w:val="00131F05"/>
    <w:rsid w:val="0013211D"/>
    <w:rsid w:val="0013232E"/>
    <w:rsid w:val="001323D6"/>
    <w:rsid w:val="001323F8"/>
    <w:rsid w:val="001324E1"/>
    <w:rsid w:val="0013258E"/>
    <w:rsid w:val="0013279F"/>
    <w:rsid w:val="001327D1"/>
    <w:rsid w:val="001329C6"/>
    <w:rsid w:val="00132A41"/>
    <w:rsid w:val="00132C2F"/>
    <w:rsid w:val="00132C92"/>
    <w:rsid w:val="00132D0D"/>
    <w:rsid w:val="00132D59"/>
    <w:rsid w:val="00132F1B"/>
    <w:rsid w:val="00132FEB"/>
    <w:rsid w:val="001330C4"/>
    <w:rsid w:val="00133143"/>
    <w:rsid w:val="00133293"/>
    <w:rsid w:val="001332E4"/>
    <w:rsid w:val="0013338A"/>
    <w:rsid w:val="00133460"/>
    <w:rsid w:val="001335DB"/>
    <w:rsid w:val="001336CF"/>
    <w:rsid w:val="0013372F"/>
    <w:rsid w:val="001337E3"/>
    <w:rsid w:val="001337E6"/>
    <w:rsid w:val="0013382D"/>
    <w:rsid w:val="00133894"/>
    <w:rsid w:val="001338B2"/>
    <w:rsid w:val="001339CB"/>
    <w:rsid w:val="00133B30"/>
    <w:rsid w:val="00133B9D"/>
    <w:rsid w:val="00133D40"/>
    <w:rsid w:val="00133D45"/>
    <w:rsid w:val="00133D7F"/>
    <w:rsid w:val="00134017"/>
    <w:rsid w:val="00134117"/>
    <w:rsid w:val="00134364"/>
    <w:rsid w:val="00134372"/>
    <w:rsid w:val="0013443F"/>
    <w:rsid w:val="0013462F"/>
    <w:rsid w:val="00134679"/>
    <w:rsid w:val="00134692"/>
    <w:rsid w:val="0013479F"/>
    <w:rsid w:val="001348F3"/>
    <w:rsid w:val="001349DC"/>
    <w:rsid w:val="001349F0"/>
    <w:rsid w:val="00134AF4"/>
    <w:rsid w:val="00134B8D"/>
    <w:rsid w:val="00134C13"/>
    <w:rsid w:val="00134CB9"/>
    <w:rsid w:val="00134D57"/>
    <w:rsid w:val="00134DA4"/>
    <w:rsid w:val="0013505C"/>
    <w:rsid w:val="00135174"/>
    <w:rsid w:val="001351E9"/>
    <w:rsid w:val="00135204"/>
    <w:rsid w:val="00135225"/>
    <w:rsid w:val="001352B4"/>
    <w:rsid w:val="00135524"/>
    <w:rsid w:val="001355BE"/>
    <w:rsid w:val="00135629"/>
    <w:rsid w:val="00135741"/>
    <w:rsid w:val="00135758"/>
    <w:rsid w:val="0013579C"/>
    <w:rsid w:val="001358A7"/>
    <w:rsid w:val="00135979"/>
    <w:rsid w:val="001359C3"/>
    <w:rsid w:val="00135AA3"/>
    <w:rsid w:val="00135AB2"/>
    <w:rsid w:val="00135BA0"/>
    <w:rsid w:val="00135C39"/>
    <w:rsid w:val="00135D58"/>
    <w:rsid w:val="00135DC2"/>
    <w:rsid w:val="00135E29"/>
    <w:rsid w:val="00135E66"/>
    <w:rsid w:val="00135ED1"/>
    <w:rsid w:val="00135EF1"/>
    <w:rsid w:val="00135F96"/>
    <w:rsid w:val="00135FAF"/>
    <w:rsid w:val="00136104"/>
    <w:rsid w:val="001361DE"/>
    <w:rsid w:val="0013627B"/>
    <w:rsid w:val="0013629A"/>
    <w:rsid w:val="00136304"/>
    <w:rsid w:val="0013630E"/>
    <w:rsid w:val="00136331"/>
    <w:rsid w:val="00136515"/>
    <w:rsid w:val="001366F3"/>
    <w:rsid w:val="00136744"/>
    <w:rsid w:val="001369AE"/>
    <w:rsid w:val="00136A26"/>
    <w:rsid w:val="00136A31"/>
    <w:rsid w:val="00136B00"/>
    <w:rsid w:val="00136B23"/>
    <w:rsid w:val="00136B48"/>
    <w:rsid w:val="00136B90"/>
    <w:rsid w:val="00136C0B"/>
    <w:rsid w:val="00136C44"/>
    <w:rsid w:val="00136E40"/>
    <w:rsid w:val="00136F3E"/>
    <w:rsid w:val="00136FD6"/>
    <w:rsid w:val="00137073"/>
    <w:rsid w:val="0013708F"/>
    <w:rsid w:val="00137236"/>
    <w:rsid w:val="0013752B"/>
    <w:rsid w:val="00137573"/>
    <w:rsid w:val="001375BA"/>
    <w:rsid w:val="001375CE"/>
    <w:rsid w:val="001376CD"/>
    <w:rsid w:val="001376FB"/>
    <w:rsid w:val="0013789C"/>
    <w:rsid w:val="00137910"/>
    <w:rsid w:val="00137953"/>
    <w:rsid w:val="00137974"/>
    <w:rsid w:val="001379A4"/>
    <w:rsid w:val="00137A99"/>
    <w:rsid w:val="00137BCC"/>
    <w:rsid w:val="00137BDF"/>
    <w:rsid w:val="00137CCA"/>
    <w:rsid w:val="00137CE7"/>
    <w:rsid w:val="00137D23"/>
    <w:rsid w:val="00137E84"/>
    <w:rsid w:val="00137ED2"/>
    <w:rsid w:val="0013CD09"/>
    <w:rsid w:val="001400A5"/>
    <w:rsid w:val="001400E7"/>
    <w:rsid w:val="001401BE"/>
    <w:rsid w:val="001402DF"/>
    <w:rsid w:val="001402F3"/>
    <w:rsid w:val="001403D5"/>
    <w:rsid w:val="00140501"/>
    <w:rsid w:val="00140537"/>
    <w:rsid w:val="001405CA"/>
    <w:rsid w:val="00140624"/>
    <w:rsid w:val="00140886"/>
    <w:rsid w:val="001408B5"/>
    <w:rsid w:val="00140924"/>
    <w:rsid w:val="00140965"/>
    <w:rsid w:val="001409E4"/>
    <w:rsid w:val="00140A66"/>
    <w:rsid w:val="00140ABA"/>
    <w:rsid w:val="00140C07"/>
    <w:rsid w:val="00140C0F"/>
    <w:rsid w:val="00140D6B"/>
    <w:rsid w:val="00140F16"/>
    <w:rsid w:val="00140F93"/>
    <w:rsid w:val="0014101A"/>
    <w:rsid w:val="0014105B"/>
    <w:rsid w:val="00141138"/>
    <w:rsid w:val="00141186"/>
    <w:rsid w:val="00141281"/>
    <w:rsid w:val="001413B5"/>
    <w:rsid w:val="001413E1"/>
    <w:rsid w:val="001413E2"/>
    <w:rsid w:val="00141457"/>
    <w:rsid w:val="001414D2"/>
    <w:rsid w:val="001414D4"/>
    <w:rsid w:val="00141557"/>
    <w:rsid w:val="00141704"/>
    <w:rsid w:val="00141761"/>
    <w:rsid w:val="00141948"/>
    <w:rsid w:val="0014197C"/>
    <w:rsid w:val="00141A33"/>
    <w:rsid w:val="00141A60"/>
    <w:rsid w:val="00141AE9"/>
    <w:rsid w:val="00141BA5"/>
    <w:rsid w:val="00141BF5"/>
    <w:rsid w:val="00141C70"/>
    <w:rsid w:val="00141CFB"/>
    <w:rsid w:val="00141D86"/>
    <w:rsid w:val="00141F0F"/>
    <w:rsid w:val="00141FD3"/>
    <w:rsid w:val="0014213F"/>
    <w:rsid w:val="001421E6"/>
    <w:rsid w:val="001423C2"/>
    <w:rsid w:val="001423D7"/>
    <w:rsid w:val="001423E6"/>
    <w:rsid w:val="0014240E"/>
    <w:rsid w:val="0014241F"/>
    <w:rsid w:val="00142597"/>
    <w:rsid w:val="00142647"/>
    <w:rsid w:val="00142697"/>
    <w:rsid w:val="001426E3"/>
    <w:rsid w:val="00142745"/>
    <w:rsid w:val="00142766"/>
    <w:rsid w:val="001427FA"/>
    <w:rsid w:val="001428BF"/>
    <w:rsid w:val="00142979"/>
    <w:rsid w:val="001429CE"/>
    <w:rsid w:val="00142A74"/>
    <w:rsid w:val="00142B09"/>
    <w:rsid w:val="00142BE9"/>
    <w:rsid w:val="00142C27"/>
    <w:rsid w:val="00142C50"/>
    <w:rsid w:val="00142CF5"/>
    <w:rsid w:val="00142D28"/>
    <w:rsid w:val="00142DDE"/>
    <w:rsid w:val="00142E7C"/>
    <w:rsid w:val="00142F6A"/>
    <w:rsid w:val="00142F73"/>
    <w:rsid w:val="00142FAC"/>
    <w:rsid w:val="00142FE4"/>
    <w:rsid w:val="00143051"/>
    <w:rsid w:val="00143080"/>
    <w:rsid w:val="00143096"/>
    <w:rsid w:val="00143105"/>
    <w:rsid w:val="00143284"/>
    <w:rsid w:val="001432A9"/>
    <w:rsid w:val="001433A4"/>
    <w:rsid w:val="001433B7"/>
    <w:rsid w:val="001433EC"/>
    <w:rsid w:val="00143650"/>
    <w:rsid w:val="00143653"/>
    <w:rsid w:val="00143A36"/>
    <w:rsid w:val="00143D47"/>
    <w:rsid w:val="00143D63"/>
    <w:rsid w:val="00143DA0"/>
    <w:rsid w:val="00143DBB"/>
    <w:rsid w:val="00143EA5"/>
    <w:rsid w:val="001440A5"/>
    <w:rsid w:val="00144206"/>
    <w:rsid w:val="00144262"/>
    <w:rsid w:val="00144293"/>
    <w:rsid w:val="00144421"/>
    <w:rsid w:val="001444DB"/>
    <w:rsid w:val="00144707"/>
    <w:rsid w:val="001449CF"/>
    <w:rsid w:val="001449D8"/>
    <w:rsid w:val="00144A3E"/>
    <w:rsid w:val="00144B16"/>
    <w:rsid w:val="00144BCE"/>
    <w:rsid w:val="00144CED"/>
    <w:rsid w:val="00144DEE"/>
    <w:rsid w:val="00144E56"/>
    <w:rsid w:val="00144E98"/>
    <w:rsid w:val="00144F88"/>
    <w:rsid w:val="001450B9"/>
    <w:rsid w:val="00145183"/>
    <w:rsid w:val="001453AD"/>
    <w:rsid w:val="00145628"/>
    <w:rsid w:val="001458FA"/>
    <w:rsid w:val="00145910"/>
    <w:rsid w:val="0014592B"/>
    <w:rsid w:val="00145944"/>
    <w:rsid w:val="00145ADA"/>
    <w:rsid w:val="00145B67"/>
    <w:rsid w:val="00145C40"/>
    <w:rsid w:val="00145D90"/>
    <w:rsid w:val="00145DC2"/>
    <w:rsid w:val="00145F9B"/>
    <w:rsid w:val="0014603F"/>
    <w:rsid w:val="001461FA"/>
    <w:rsid w:val="00146326"/>
    <w:rsid w:val="0014641D"/>
    <w:rsid w:val="001464C0"/>
    <w:rsid w:val="001464E3"/>
    <w:rsid w:val="001465D7"/>
    <w:rsid w:val="001465F2"/>
    <w:rsid w:val="001466EC"/>
    <w:rsid w:val="001468D4"/>
    <w:rsid w:val="001469F7"/>
    <w:rsid w:val="00146B2E"/>
    <w:rsid w:val="00146C75"/>
    <w:rsid w:val="00146D36"/>
    <w:rsid w:val="00146D4F"/>
    <w:rsid w:val="00146D7E"/>
    <w:rsid w:val="00146DDE"/>
    <w:rsid w:val="00146DFA"/>
    <w:rsid w:val="00146E42"/>
    <w:rsid w:val="00146E5A"/>
    <w:rsid w:val="00146E97"/>
    <w:rsid w:val="00146F56"/>
    <w:rsid w:val="00147069"/>
    <w:rsid w:val="0014706F"/>
    <w:rsid w:val="00147099"/>
    <w:rsid w:val="001472BD"/>
    <w:rsid w:val="001472DD"/>
    <w:rsid w:val="0014730C"/>
    <w:rsid w:val="00147388"/>
    <w:rsid w:val="001473D2"/>
    <w:rsid w:val="001474A0"/>
    <w:rsid w:val="00147544"/>
    <w:rsid w:val="00147590"/>
    <w:rsid w:val="001475F6"/>
    <w:rsid w:val="0014768D"/>
    <w:rsid w:val="001476B8"/>
    <w:rsid w:val="00147824"/>
    <w:rsid w:val="001478E9"/>
    <w:rsid w:val="0014790F"/>
    <w:rsid w:val="0014791D"/>
    <w:rsid w:val="00147956"/>
    <w:rsid w:val="00147A40"/>
    <w:rsid w:val="00147A4E"/>
    <w:rsid w:val="00147A5E"/>
    <w:rsid w:val="00147B2E"/>
    <w:rsid w:val="00147C8A"/>
    <w:rsid w:val="00147CBF"/>
    <w:rsid w:val="00147D29"/>
    <w:rsid w:val="00147F17"/>
    <w:rsid w:val="00149734"/>
    <w:rsid w:val="0015006C"/>
    <w:rsid w:val="00150192"/>
    <w:rsid w:val="001502B1"/>
    <w:rsid w:val="001502D5"/>
    <w:rsid w:val="001503CF"/>
    <w:rsid w:val="00150585"/>
    <w:rsid w:val="00150752"/>
    <w:rsid w:val="0015090C"/>
    <w:rsid w:val="0015091B"/>
    <w:rsid w:val="0015093F"/>
    <w:rsid w:val="001509C0"/>
    <w:rsid w:val="00150A47"/>
    <w:rsid w:val="00150B65"/>
    <w:rsid w:val="00150CEF"/>
    <w:rsid w:val="00150DDE"/>
    <w:rsid w:val="00150E49"/>
    <w:rsid w:val="00150F38"/>
    <w:rsid w:val="00150FA2"/>
    <w:rsid w:val="00150FCC"/>
    <w:rsid w:val="00151035"/>
    <w:rsid w:val="001510D7"/>
    <w:rsid w:val="0015120C"/>
    <w:rsid w:val="00151240"/>
    <w:rsid w:val="0015133B"/>
    <w:rsid w:val="001514B9"/>
    <w:rsid w:val="0015154A"/>
    <w:rsid w:val="0015154C"/>
    <w:rsid w:val="00151577"/>
    <w:rsid w:val="001515C3"/>
    <w:rsid w:val="00151613"/>
    <w:rsid w:val="0015161B"/>
    <w:rsid w:val="00151639"/>
    <w:rsid w:val="00151653"/>
    <w:rsid w:val="0015165C"/>
    <w:rsid w:val="0015165E"/>
    <w:rsid w:val="00151669"/>
    <w:rsid w:val="001516DD"/>
    <w:rsid w:val="00151777"/>
    <w:rsid w:val="001518CE"/>
    <w:rsid w:val="001518FA"/>
    <w:rsid w:val="00151A90"/>
    <w:rsid w:val="00151AF1"/>
    <w:rsid w:val="00151B92"/>
    <w:rsid w:val="00151C2F"/>
    <w:rsid w:val="00151C38"/>
    <w:rsid w:val="00151C61"/>
    <w:rsid w:val="00151CF1"/>
    <w:rsid w:val="00151D5C"/>
    <w:rsid w:val="00151D92"/>
    <w:rsid w:val="00151DA9"/>
    <w:rsid w:val="00151EB9"/>
    <w:rsid w:val="00151FB2"/>
    <w:rsid w:val="00152035"/>
    <w:rsid w:val="00152127"/>
    <w:rsid w:val="00152228"/>
    <w:rsid w:val="00152242"/>
    <w:rsid w:val="00152247"/>
    <w:rsid w:val="0015225B"/>
    <w:rsid w:val="0015231F"/>
    <w:rsid w:val="0015236B"/>
    <w:rsid w:val="0015237B"/>
    <w:rsid w:val="001523BE"/>
    <w:rsid w:val="00152528"/>
    <w:rsid w:val="00152562"/>
    <w:rsid w:val="00152589"/>
    <w:rsid w:val="001525E9"/>
    <w:rsid w:val="00152625"/>
    <w:rsid w:val="001526DA"/>
    <w:rsid w:val="00152763"/>
    <w:rsid w:val="001527EC"/>
    <w:rsid w:val="0015296A"/>
    <w:rsid w:val="001529A1"/>
    <w:rsid w:val="00152A0E"/>
    <w:rsid w:val="00152A6E"/>
    <w:rsid w:val="00152B04"/>
    <w:rsid w:val="00152B4E"/>
    <w:rsid w:val="00152B8F"/>
    <w:rsid w:val="00152C79"/>
    <w:rsid w:val="00152D82"/>
    <w:rsid w:val="00152DB9"/>
    <w:rsid w:val="00152F50"/>
    <w:rsid w:val="00153011"/>
    <w:rsid w:val="00153033"/>
    <w:rsid w:val="001530D4"/>
    <w:rsid w:val="001531AD"/>
    <w:rsid w:val="001533B1"/>
    <w:rsid w:val="001533BA"/>
    <w:rsid w:val="00153599"/>
    <w:rsid w:val="001535A2"/>
    <w:rsid w:val="001535BC"/>
    <w:rsid w:val="00153853"/>
    <w:rsid w:val="00153987"/>
    <w:rsid w:val="00153A45"/>
    <w:rsid w:val="00153C36"/>
    <w:rsid w:val="00153CC1"/>
    <w:rsid w:val="00153CED"/>
    <w:rsid w:val="00153E80"/>
    <w:rsid w:val="00153F79"/>
    <w:rsid w:val="00153F9B"/>
    <w:rsid w:val="00153FF9"/>
    <w:rsid w:val="00153FFA"/>
    <w:rsid w:val="00154286"/>
    <w:rsid w:val="001542B2"/>
    <w:rsid w:val="00154391"/>
    <w:rsid w:val="00154492"/>
    <w:rsid w:val="00154493"/>
    <w:rsid w:val="0015454F"/>
    <w:rsid w:val="0015457A"/>
    <w:rsid w:val="001545C6"/>
    <w:rsid w:val="001545EC"/>
    <w:rsid w:val="0015466C"/>
    <w:rsid w:val="001546D9"/>
    <w:rsid w:val="00154775"/>
    <w:rsid w:val="00154833"/>
    <w:rsid w:val="0015489D"/>
    <w:rsid w:val="0015490A"/>
    <w:rsid w:val="0015496D"/>
    <w:rsid w:val="001549CC"/>
    <w:rsid w:val="00154A8F"/>
    <w:rsid w:val="00154B95"/>
    <w:rsid w:val="00154CCD"/>
    <w:rsid w:val="00154CF1"/>
    <w:rsid w:val="00154D18"/>
    <w:rsid w:val="00154D93"/>
    <w:rsid w:val="00154DFC"/>
    <w:rsid w:val="00154FD3"/>
    <w:rsid w:val="001550CC"/>
    <w:rsid w:val="001551C7"/>
    <w:rsid w:val="00155205"/>
    <w:rsid w:val="00155250"/>
    <w:rsid w:val="0015525B"/>
    <w:rsid w:val="001552B7"/>
    <w:rsid w:val="00155399"/>
    <w:rsid w:val="0015549B"/>
    <w:rsid w:val="001554AC"/>
    <w:rsid w:val="001554EB"/>
    <w:rsid w:val="001555F8"/>
    <w:rsid w:val="00155698"/>
    <w:rsid w:val="00155822"/>
    <w:rsid w:val="001558B5"/>
    <w:rsid w:val="001558BA"/>
    <w:rsid w:val="001558CB"/>
    <w:rsid w:val="001558EF"/>
    <w:rsid w:val="00155905"/>
    <w:rsid w:val="00155987"/>
    <w:rsid w:val="00155A2D"/>
    <w:rsid w:val="00155B52"/>
    <w:rsid w:val="00155C63"/>
    <w:rsid w:val="00155DBD"/>
    <w:rsid w:val="00155E96"/>
    <w:rsid w:val="00155F96"/>
    <w:rsid w:val="00156041"/>
    <w:rsid w:val="001560F1"/>
    <w:rsid w:val="001562CF"/>
    <w:rsid w:val="001563E7"/>
    <w:rsid w:val="00156410"/>
    <w:rsid w:val="0015642B"/>
    <w:rsid w:val="0015652F"/>
    <w:rsid w:val="0015653B"/>
    <w:rsid w:val="0015660E"/>
    <w:rsid w:val="0015663E"/>
    <w:rsid w:val="00156655"/>
    <w:rsid w:val="001566E3"/>
    <w:rsid w:val="00156808"/>
    <w:rsid w:val="0015686E"/>
    <w:rsid w:val="00156970"/>
    <w:rsid w:val="00156A4F"/>
    <w:rsid w:val="00156A6A"/>
    <w:rsid w:val="00156AA7"/>
    <w:rsid w:val="00156B9E"/>
    <w:rsid w:val="00156E51"/>
    <w:rsid w:val="00156EE5"/>
    <w:rsid w:val="00156EE9"/>
    <w:rsid w:val="00156FB5"/>
    <w:rsid w:val="00157012"/>
    <w:rsid w:val="001570A0"/>
    <w:rsid w:val="00157130"/>
    <w:rsid w:val="0015719B"/>
    <w:rsid w:val="001571CF"/>
    <w:rsid w:val="001571F4"/>
    <w:rsid w:val="001572A8"/>
    <w:rsid w:val="001572E1"/>
    <w:rsid w:val="00157350"/>
    <w:rsid w:val="0015763D"/>
    <w:rsid w:val="00157736"/>
    <w:rsid w:val="001578AC"/>
    <w:rsid w:val="001578DC"/>
    <w:rsid w:val="00157911"/>
    <w:rsid w:val="00157981"/>
    <w:rsid w:val="00157A94"/>
    <w:rsid w:val="00157AEC"/>
    <w:rsid w:val="00157DF9"/>
    <w:rsid w:val="00157E4B"/>
    <w:rsid w:val="00157E5D"/>
    <w:rsid w:val="00157ED5"/>
    <w:rsid w:val="00157ED9"/>
    <w:rsid w:val="00157F48"/>
    <w:rsid w:val="00157F52"/>
    <w:rsid w:val="00157FD7"/>
    <w:rsid w:val="00160087"/>
    <w:rsid w:val="00160100"/>
    <w:rsid w:val="0016012C"/>
    <w:rsid w:val="001602AA"/>
    <w:rsid w:val="0016049D"/>
    <w:rsid w:val="001604AA"/>
    <w:rsid w:val="00160763"/>
    <w:rsid w:val="00160993"/>
    <w:rsid w:val="00160A39"/>
    <w:rsid w:val="00160A7B"/>
    <w:rsid w:val="00160CEB"/>
    <w:rsid w:val="00160D24"/>
    <w:rsid w:val="00160D36"/>
    <w:rsid w:val="00160EB5"/>
    <w:rsid w:val="0016102A"/>
    <w:rsid w:val="00161266"/>
    <w:rsid w:val="001612CF"/>
    <w:rsid w:val="001612F4"/>
    <w:rsid w:val="00161373"/>
    <w:rsid w:val="00161438"/>
    <w:rsid w:val="0016145A"/>
    <w:rsid w:val="001614C5"/>
    <w:rsid w:val="00161574"/>
    <w:rsid w:val="001615C4"/>
    <w:rsid w:val="001615CA"/>
    <w:rsid w:val="001616B8"/>
    <w:rsid w:val="001617D2"/>
    <w:rsid w:val="0016184D"/>
    <w:rsid w:val="001619A2"/>
    <w:rsid w:val="00161A6C"/>
    <w:rsid w:val="00161ABD"/>
    <w:rsid w:val="00161CF5"/>
    <w:rsid w:val="00161DA2"/>
    <w:rsid w:val="00161DC6"/>
    <w:rsid w:val="0016212B"/>
    <w:rsid w:val="00162140"/>
    <w:rsid w:val="00162193"/>
    <w:rsid w:val="001622A3"/>
    <w:rsid w:val="00162385"/>
    <w:rsid w:val="001623DC"/>
    <w:rsid w:val="0016269B"/>
    <w:rsid w:val="001626E2"/>
    <w:rsid w:val="00162894"/>
    <w:rsid w:val="001628CC"/>
    <w:rsid w:val="001629F5"/>
    <w:rsid w:val="00162A73"/>
    <w:rsid w:val="00162B0B"/>
    <w:rsid w:val="00162BE1"/>
    <w:rsid w:val="00162C52"/>
    <w:rsid w:val="00162C98"/>
    <w:rsid w:val="00162CA3"/>
    <w:rsid w:val="00162CBE"/>
    <w:rsid w:val="00162D36"/>
    <w:rsid w:val="00162DF9"/>
    <w:rsid w:val="00162E66"/>
    <w:rsid w:val="00162FFC"/>
    <w:rsid w:val="00163043"/>
    <w:rsid w:val="001632C3"/>
    <w:rsid w:val="001633D4"/>
    <w:rsid w:val="0016355B"/>
    <w:rsid w:val="0016384E"/>
    <w:rsid w:val="0016387E"/>
    <w:rsid w:val="00163927"/>
    <w:rsid w:val="00163DBC"/>
    <w:rsid w:val="00163DF5"/>
    <w:rsid w:val="00163E3A"/>
    <w:rsid w:val="00163F57"/>
    <w:rsid w:val="00163F62"/>
    <w:rsid w:val="00163F76"/>
    <w:rsid w:val="00164172"/>
    <w:rsid w:val="001641ED"/>
    <w:rsid w:val="001643A3"/>
    <w:rsid w:val="001643AB"/>
    <w:rsid w:val="001643C8"/>
    <w:rsid w:val="0016451E"/>
    <w:rsid w:val="0016473D"/>
    <w:rsid w:val="00164863"/>
    <w:rsid w:val="00164949"/>
    <w:rsid w:val="001649AD"/>
    <w:rsid w:val="001649D2"/>
    <w:rsid w:val="001649E6"/>
    <w:rsid w:val="00164AB4"/>
    <w:rsid w:val="00164AEF"/>
    <w:rsid w:val="00164BE0"/>
    <w:rsid w:val="00164C3E"/>
    <w:rsid w:val="00164D8D"/>
    <w:rsid w:val="00164DEA"/>
    <w:rsid w:val="00164DF0"/>
    <w:rsid w:val="00164DF9"/>
    <w:rsid w:val="00164E22"/>
    <w:rsid w:val="0016509A"/>
    <w:rsid w:val="001651E3"/>
    <w:rsid w:val="00165202"/>
    <w:rsid w:val="00165288"/>
    <w:rsid w:val="001652F3"/>
    <w:rsid w:val="00165320"/>
    <w:rsid w:val="00165392"/>
    <w:rsid w:val="00165515"/>
    <w:rsid w:val="00165525"/>
    <w:rsid w:val="00165537"/>
    <w:rsid w:val="00165558"/>
    <w:rsid w:val="0016559D"/>
    <w:rsid w:val="00165605"/>
    <w:rsid w:val="0016565A"/>
    <w:rsid w:val="0016567D"/>
    <w:rsid w:val="001656C0"/>
    <w:rsid w:val="001656EA"/>
    <w:rsid w:val="0016580C"/>
    <w:rsid w:val="00165876"/>
    <w:rsid w:val="0016595E"/>
    <w:rsid w:val="00165B3D"/>
    <w:rsid w:val="00165B9E"/>
    <w:rsid w:val="00165C23"/>
    <w:rsid w:val="00165C62"/>
    <w:rsid w:val="00165C7F"/>
    <w:rsid w:val="00165D12"/>
    <w:rsid w:val="00165D43"/>
    <w:rsid w:val="0016603B"/>
    <w:rsid w:val="0016604D"/>
    <w:rsid w:val="001660DB"/>
    <w:rsid w:val="001660FF"/>
    <w:rsid w:val="00166166"/>
    <w:rsid w:val="0016648E"/>
    <w:rsid w:val="0016651D"/>
    <w:rsid w:val="0016672E"/>
    <w:rsid w:val="00166816"/>
    <w:rsid w:val="00166859"/>
    <w:rsid w:val="0016687F"/>
    <w:rsid w:val="00166985"/>
    <w:rsid w:val="00166A30"/>
    <w:rsid w:val="00166AA7"/>
    <w:rsid w:val="00166AE5"/>
    <w:rsid w:val="00166C5D"/>
    <w:rsid w:val="00166CF2"/>
    <w:rsid w:val="00166D23"/>
    <w:rsid w:val="00166D3D"/>
    <w:rsid w:val="00166D3E"/>
    <w:rsid w:val="00166D85"/>
    <w:rsid w:val="00166DDC"/>
    <w:rsid w:val="00166E58"/>
    <w:rsid w:val="00166E93"/>
    <w:rsid w:val="00166F0C"/>
    <w:rsid w:val="00166F7D"/>
    <w:rsid w:val="00166F9E"/>
    <w:rsid w:val="001671A4"/>
    <w:rsid w:val="00167267"/>
    <w:rsid w:val="001672AC"/>
    <w:rsid w:val="001675AD"/>
    <w:rsid w:val="0016764A"/>
    <w:rsid w:val="001677BD"/>
    <w:rsid w:val="00167857"/>
    <w:rsid w:val="0016797B"/>
    <w:rsid w:val="00167A77"/>
    <w:rsid w:val="00167AE8"/>
    <w:rsid w:val="00167C40"/>
    <w:rsid w:val="00167C7E"/>
    <w:rsid w:val="00167D05"/>
    <w:rsid w:val="00167D60"/>
    <w:rsid w:val="00167DEE"/>
    <w:rsid w:val="00167EB3"/>
    <w:rsid w:val="00167EEF"/>
    <w:rsid w:val="00167F65"/>
    <w:rsid w:val="00167FB0"/>
    <w:rsid w:val="00170136"/>
    <w:rsid w:val="00170225"/>
    <w:rsid w:val="001702AB"/>
    <w:rsid w:val="001702C3"/>
    <w:rsid w:val="0017030C"/>
    <w:rsid w:val="00170324"/>
    <w:rsid w:val="001703E4"/>
    <w:rsid w:val="0017046D"/>
    <w:rsid w:val="001704B2"/>
    <w:rsid w:val="00170624"/>
    <w:rsid w:val="00170869"/>
    <w:rsid w:val="001708A1"/>
    <w:rsid w:val="001708A9"/>
    <w:rsid w:val="001708F5"/>
    <w:rsid w:val="00170946"/>
    <w:rsid w:val="001709F4"/>
    <w:rsid w:val="00170A1E"/>
    <w:rsid w:val="00170ABF"/>
    <w:rsid w:val="00170AC1"/>
    <w:rsid w:val="00170B54"/>
    <w:rsid w:val="00170C05"/>
    <w:rsid w:val="00170C73"/>
    <w:rsid w:val="00170CB6"/>
    <w:rsid w:val="00170CE7"/>
    <w:rsid w:val="00170D97"/>
    <w:rsid w:val="00170DA2"/>
    <w:rsid w:val="00170DFA"/>
    <w:rsid w:val="00170E1F"/>
    <w:rsid w:val="00170E8F"/>
    <w:rsid w:val="00170F3F"/>
    <w:rsid w:val="0017103E"/>
    <w:rsid w:val="00171062"/>
    <w:rsid w:val="00171109"/>
    <w:rsid w:val="001711AA"/>
    <w:rsid w:val="001711FD"/>
    <w:rsid w:val="001712FA"/>
    <w:rsid w:val="0017145C"/>
    <w:rsid w:val="00171521"/>
    <w:rsid w:val="0017156A"/>
    <w:rsid w:val="001715CB"/>
    <w:rsid w:val="0017162B"/>
    <w:rsid w:val="00171645"/>
    <w:rsid w:val="001716D3"/>
    <w:rsid w:val="00171863"/>
    <w:rsid w:val="00171920"/>
    <w:rsid w:val="00171A3A"/>
    <w:rsid w:val="00171AFA"/>
    <w:rsid w:val="00171B0A"/>
    <w:rsid w:val="00171B12"/>
    <w:rsid w:val="00171C50"/>
    <w:rsid w:val="00171CB5"/>
    <w:rsid w:val="00171D00"/>
    <w:rsid w:val="00171DD5"/>
    <w:rsid w:val="00171E78"/>
    <w:rsid w:val="00171E95"/>
    <w:rsid w:val="0017207A"/>
    <w:rsid w:val="0017212E"/>
    <w:rsid w:val="001721C4"/>
    <w:rsid w:val="00172205"/>
    <w:rsid w:val="001722F1"/>
    <w:rsid w:val="00172348"/>
    <w:rsid w:val="00172385"/>
    <w:rsid w:val="001725DA"/>
    <w:rsid w:val="00172693"/>
    <w:rsid w:val="00172807"/>
    <w:rsid w:val="001728DB"/>
    <w:rsid w:val="00172A3C"/>
    <w:rsid w:val="00172ABA"/>
    <w:rsid w:val="00172B9B"/>
    <w:rsid w:val="00172C93"/>
    <w:rsid w:val="00172CF8"/>
    <w:rsid w:val="00172D5C"/>
    <w:rsid w:val="00172DBB"/>
    <w:rsid w:val="00172E2B"/>
    <w:rsid w:val="001730DF"/>
    <w:rsid w:val="001730FE"/>
    <w:rsid w:val="00173171"/>
    <w:rsid w:val="0017327B"/>
    <w:rsid w:val="001733BA"/>
    <w:rsid w:val="001733BD"/>
    <w:rsid w:val="001734D0"/>
    <w:rsid w:val="001735A8"/>
    <w:rsid w:val="00173692"/>
    <w:rsid w:val="0017371A"/>
    <w:rsid w:val="00173806"/>
    <w:rsid w:val="00173B33"/>
    <w:rsid w:val="00173BC6"/>
    <w:rsid w:val="00173C1E"/>
    <w:rsid w:val="00173E37"/>
    <w:rsid w:val="00173E38"/>
    <w:rsid w:val="00173E51"/>
    <w:rsid w:val="00173E9B"/>
    <w:rsid w:val="00173ECF"/>
    <w:rsid w:val="00173ED1"/>
    <w:rsid w:val="00173EE5"/>
    <w:rsid w:val="00173EF0"/>
    <w:rsid w:val="00173FC2"/>
    <w:rsid w:val="001741D6"/>
    <w:rsid w:val="001742F3"/>
    <w:rsid w:val="00174391"/>
    <w:rsid w:val="00174503"/>
    <w:rsid w:val="001745C5"/>
    <w:rsid w:val="001745CD"/>
    <w:rsid w:val="001745E9"/>
    <w:rsid w:val="00174619"/>
    <w:rsid w:val="00174664"/>
    <w:rsid w:val="001747CB"/>
    <w:rsid w:val="0017480B"/>
    <w:rsid w:val="00174B4D"/>
    <w:rsid w:val="00174BE2"/>
    <w:rsid w:val="00174EAE"/>
    <w:rsid w:val="0017505C"/>
    <w:rsid w:val="0017511F"/>
    <w:rsid w:val="0017514A"/>
    <w:rsid w:val="001751A8"/>
    <w:rsid w:val="0017539B"/>
    <w:rsid w:val="0017541B"/>
    <w:rsid w:val="0017541C"/>
    <w:rsid w:val="0017548C"/>
    <w:rsid w:val="001754B9"/>
    <w:rsid w:val="00175506"/>
    <w:rsid w:val="00175585"/>
    <w:rsid w:val="001755ED"/>
    <w:rsid w:val="00175729"/>
    <w:rsid w:val="0017581C"/>
    <w:rsid w:val="00175A38"/>
    <w:rsid w:val="00175A3F"/>
    <w:rsid w:val="00175A54"/>
    <w:rsid w:val="00175B16"/>
    <w:rsid w:val="00175B69"/>
    <w:rsid w:val="00175B8D"/>
    <w:rsid w:val="00175C28"/>
    <w:rsid w:val="00175CF4"/>
    <w:rsid w:val="00175D64"/>
    <w:rsid w:val="00175DFE"/>
    <w:rsid w:val="00175E11"/>
    <w:rsid w:val="00175F8F"/>
    <w:rsid w:val="00175FF3"/>
    <w:rsid w:val="00176032"/>
    <w:rsid w:val="00176055"/>
    <w:rsid w:val="00176084"/>
    <w:rsid w:val="00176273"/>
    <w:rsid w:val="001762AE"/>
    <w:rsid w:val="0017637D"/>
    <w:rsid w:val="001763ED"/>
    <w:rsid w:val="00176594"/>
    <w:rsid w:val="001765B1"/>
    <w:rsid w:val="001765E2"/>
    <w:rsid w:val="001765FA"/>
    <w:rsid w:val="0017670E"/>
    <w:rsid w:val="0017673B"/>
    <w:rsid w:val="00176996"/>
    <w:rsid w:val="0017699B"/>
    <w:rsid w:val="0017699C"/>
    <w:rsid w:val="00176A6B"/>
    <w:rsid w:val="00176C45"/>
    <w:rsid w:val="00176CCE"/>
    <w:rsid w:val="00176D86"/>
    <w:rsid w:val="00176E63"/>
    <w:rsid w:val="00176E76"/>
    <w:rsid w:val="00176F1B"/>
    <w:rsid w:val="00176F4F"/>
    <w:rsid w:val="00176F5B"/>
    <w:rsid w:val="00176FF8"/>
    <w:rsid w:val="0017700D"/>
    <w:rsid w:val="001770B1"/>
    <w:rsid w:val="001773DC"/>
    <w:rsid w:val="00177582"/>
    <w:rsid w:val="001776CA"/>
    <w:rsid w:val="00177718"/>
    <w:rsid w:val="00177753"/>
    <w:rsid w:val="00177778"/>
    <w:rsid w:val="001777A5"/>
    <w:rsid w:val="00177812"/>
    <w:rsid w:val="0017786E"/>
    <w:rsid w:val="00177987"/>
    <w:rsid w:val="0017798C"/>
    <w:rsid w:val="00177A3C"/>
    <w:rsid w:val="00177AD1"/>
    <w:rsid w:val="00177BF1"/>
    <w:rsid w:val="00177C4D"/>
    <w:rsid w:val="00177D54"/>
    <w:rsid w:val="00177D84"/>
    <w:rsid w:val="00177DC6"/>
    <w:rsid w:val="00177E1C"/>
    <w:rsid w:val="00177FBA"/>
    <w:rsid w:val="00177FCA"/>
    <w:rsid w:val="0018010B"/>
    <w:rsid w:val="0018010F"/>
    <w:rsid w:val="00180145"/>
    <w:rsid w:val="00180218"/>
    <w:rsid w:val="00180248"/>
    <w:rsid w:val="00180352"/>
    <w:rsid w:val="001803FA"/>
    <w:rsid w:val="0018048B"/>
    <w:rsid w:val="001804A6"/>
    <w:rsid w:val="00180552"/>
    <w:rsid w:val="0018057A"/>
    <w:rsid w:val="00180580"/>
    <w:rsid w:val="00180615"/>
    <w:rsid w:val="00180671"/>
    <w:rsid w:val="00180746"/>
    <w:rsid w:val="00180773"/>
    <w:rsid w:val="001808E3"/>
    <w:rsid w:val="00180AF0"/>
    <w:rsid w:val="00180B21"/>
    <w:rsid w:val="00180B74"/>
    <w:rsid w:val="00180BBA"/>
    <w:rsid w:val="00180C07"/>
    <w:rsid w:val="00180C9F"/>
    <w:rsid w:val="00180E75"/>
    <w:rsid w:val="00180EA8"/>
    <w:rsid w:val="00180F48"/>
    <w:rsid w:val="00180FEE"/>
    <w:rsid w:val="00181026"/>
    <w:rsid w:val="00181086"/>
    <w:rsid w:val="001810B3"/>
    <w:rsid w:val="00181166"/>
    <w:rsid w:val="00181172"/>
    <w:rsid w:val="001811A5"/>
    <w:rsid w:val="001811D0"/>
    <w:rsid w:val="00181293"/>
    <w:rsid w:val="00181365"/>
    <w:rsid w:val="00181545"/>
    <w:rsid w:val="0018156F"/>
    <w:rsid w:val="001816E8"/>
    <w:rsid w:val="00181756"/>
    <w:rsid w:val="001817AD"/>
    <w:rsid w:val="001817F1"/>
    <w:rsid w:val="001819EE"/>
    <w:rsid w:val="00181AA2"/>
    <w:rsid w:val="00181D18"/>
    <w:rsid w:val="00181D26"/>
    <w:rsid w:val="00181D6B"/>
    <w:rsid w:val="00181DEB"/>
    <w:rsid w:val="00181E37"/>
    <w:rsid w:val="00181F34"/>
    <w:rsid w:val="00181FA4"/>
    <w:rsid w:val="0018203D"/>
    <w:rsid w:val="00182062"/>
    <w:rsid w:val="00182119"/>
    <w:rsid w:val="001824F7"/>
    <w:rsid w:val="001824FB"/>
    <w:rsid w:val="0018252F"/>
    <w:rsid w:val="001826C1"/>
    <w:rsid w:val="00182785"/>
    <w:rsid w:val="00182904"/>
    <w:rsid w:val="0018291C"/>
    <w:rsid w:val="00182986"/>
    <w:rsid w:val="00182B17"/>
    <w:rsid w:val="00182BEC"/>
    <w:rsid w:val="00182C16"/>
    <w:rsid w:val="00182CA8"/>
    <w:rsid w:val="00182F30"/>
    <w:rsid w:val="00182F60"/>
    <w:rsid w:val="001831DA"/>
    <w:rsid w:val="001831E2"/>
    <w:rsid w:val="0018338A"/>
    <w:rsid w:val="001833C3"/>
    <w:rsid w:val="001833F0"/>
    <w:rsid w:val="001834B2"/>
    <w:rsid w:val="001834E8"/>
    <w:rsid w:val="0018355B"/>
    <w:rsid w:val="0018356A"/>
    <w:rsid w:val="0018357E"/>
    <w:rsid w:val="00183717"/>
    <w:rsid w:val="00183731"/>
    <w:rsid w:val="001837D3"/>
    <w:rsid w:val="001837ED"/>
    <w:rsid w:val="001838CF"/>
    <w:rsid w:val="001838E8"/>
    <w:rsid w:val="001839A7"/>
    <w:rsid w:val="001839E9"/>
    <w:rsid w:val="00183A46"/>
    <w:rsid w:val="00183B49"/>
    <w:rsid w:val="00183BA3"/>
    <w:rsid w:val="00183BAE"/>
    <w:rsid w:val="00183D44"/>
    <w:rsid w:val="00183F78"/>
    <w:rsid w:val="00183F8A"/>
    <w:rsid w:val="0018407F"/>
    <w:rsid w:val="00184146"/>
    <w:rsid w:val="0018414D"/>
    <w:rsid w:val="0018419E"/>
    <w:rsid w:val="0018434D"/>
    <w:rsid w:val="00184583"/>
    <w:rsid w:val="00184660"/>
    <w:rsid w:val="001846CB"/>
    <w:rsid w:val="00184724"/>
    <w:rsid w:val="0018483C"/>
    <w:rsid w:val="0018485C"/>
    <w:rsid w:val="001849DA"/>
    <w:rsid w:val="00184AF5"/>
    <w:rsid w:val="00184BDF"/>
    <w:rsid w:val="00184C5F"/>
    <w:rsid w:val="00184C6D"/>
    <w:rsid w:val="00184CE6"/>
    <w:rsid w:val="00184D4B"/>
    <w:rsid w:val="00184E1F"/>
    <w:rsid w:val="00184F65"/>
    <w:rsid w:val="0018500D"/>
    <w:rsid w:val="0018506E"/>
    <w:rsid w:val="00185141"/>
    <w:rsid w:val="001851DF"/>
    <w:rsid w:val="00185206"/>
    <w:rsid w:val="001852BB"/>
    <w:rsid w:val="0018536A"/>
    <w:rsid w:val="001853A6"/>
    <w:rsid w:val="00185497"/>
    <w:rsid w:val="001854C3"/>
    <w:rsid w:val="0018565E"/>
    <w:rsid w:val="001856AD"/>
    <w:rsid w:val="00185747"/>
    <w:rsid w:val="00185786"/>
    <w:rsid w:val="001857DA"/>
    <w:rsid w:val="00185853"/>
    <w:rsid w:val="001858ED"/>
    <w:rsid w:val="00185920"/>
    <w:rsid w:val="00185927"/>
    <w:rsid w:val="00185933"/>
    <w:rsid w:val="00185AA4"/>
    <w:rsid w:val="00185B7D"/>
    <w:rsid w:val="00185BF3"/>
    <w:rsid w:val="00185D47"/>
    <w:rsid w:val="00185DB3"/>
    <w:rsid w:val="00185E01"/>
    <w:rsid w:val="00186202"/>
    <w:rsid w:val="00186276"/>
    <w:rsid w:val="001862D5"/>
    <w:rsid w:val="001862EF"/>
    <w:rsid w:val="00186395"/>
    <w:rsid w:val="001863B6"/>
    <w:rsid w:val="001864B1"/>
    <w:rsid w:val="00186636"/>
    <w:rsid w:val="0018667B"/>
    <w:rsid w:val="0018673F"/>
    <w:rsid w:val="00186763"/>
    <w:rsid w:val="001867F7"/>
    <w:rsid w:val="00186863"/>
    <w:rsid w:val="00186937"/>
    <w:rsid w:val="001869DF"/>
    <w:rsid w:val="00186A14"/>
    <w:rsid w:val="00186B10"/>
    <w:rsid w:val="00186B5C"/>
    <w:rsid w:val="00186CB0"/>
    <w:rsid w:val="00186D37"/>
    <w:rsid w:val="00186E43"/>
    <w:rsid w:val="00186E98"/>
    <w:rsid w:val="00186FA3"/>
    <w:rsid w:val="00186FA6"/>
    <w:rsid w:val="001870B1"/>
    <w:rsid w:val="00187153"/>
    <w:rsid w:val="001871DB"/>
    <w:rsid w:val="0018726B"/>
    <w:rsid w:val="00187344"/>
    <w:rsid w:val="0018734F"/>
    <w:rsid w:val="00187505"/>
    <w:rsid w:val="0018767D"/>
    <w:rsid w:val="00187709"/>
    <w:rsid w:val="00187799"/>
    <w:rsid w:val="001877BB"/>
    <w:rsid w:val="00187A09"/>
    <w:rsid w:val="00187B05"/>
    <w:rsid w:val="00187B3A"/>
    <w:rsid w:val="00187CCE"/>
    <w:rsid w:val="00187D9C"/>
    <w:rsid w:val="00187EAB"/>
    <w:rsid w:val="00187F27"/>
    <w:rsid w:val="00187F5F"/>
    <w:rsid w:val="00190041"/>
    <w:rsid w:val="001901FC"/>
    <w:rsid w:val="001902B5"/>
    <w:rsid w:val="001902CB"/>
    <w:rsid w:val="001904C4"/>
    <w:rsid w:val="00190504"/>
    <w:rsid w:val="00190558"/>
    <w:rsid w:val="00190694"/>
    <w:rsid w:val="001906FA"/>
    <w:rsid w:val="0019070C"/>
    <w:rsid w:val="001907C0"/>
    <w:rsid w:val="00190873"/>
    <w:rsid w:val="001908FB"/>
    <w:rsid w:val="001909FC"/>
    <w:rsid w:val="00190B5D"/>
    <w:rsid w:val="00190BB1"/>
    <w:rsid w:val="00190BCC"/>
    <w:rsid w:val="00190BF9"/>
    <w:rsid w:val="00190C23"/>
    <w:rsid w:val="00190C35"/>
    <w:rsid w:val="00190D2D"/>
    <w:rsid w:val="00190DEE"/>
    <w:rsid w:val="00190F3B"/>
    <w:rsid w:val="00190F9A"/>
    <w:rsid w:val="0019102F"/>
    <w:rsid w:val="0019118A"/>
    <w:rsid w:val="001911BA"/>
    <w:rsid w:val="00191269"/>
    <w:rsid w:val="0019138A"/>
    <w:rsid w:val="001913B5"/>
    <w:rsid w:val="00191442"/>
    <w:rsid w:val="0019159F"/>
    <w:rsid w:val="001915DF"/>
    <w:rsid w:val="001915F8"/>
    <w:rsid w:val="00191665"/>
    <w:rsid w:val="0019171C"/>
    <w:rsid w:val="001917DE"/>
    <w:rsid w:val="0019190D"/>
    <w:rsid w:val="00191913"/>
    <w:rsid w:val="00191969"/>
    <w:rsid w:val="001919B4"/>
    <w:rsid w:val="001919CB"/>
    <w:rsid w:val="00191B6D"/>
    <w:rsid w:val="00191B9C"/>
    <w:rsid w:val="00191BE8"/>
    <w:rsid w:val="00191CEB"/>
    <w:rsid w:val="00191D03"/>
    <w:rsid w:val="00191DB8"/>
    <w:rsid w:val="00191E7F"/>
    <w:rsid w:val="00191E9A"/>
    <w:rsid w:val="00191F2E"/>
    <w:rsid w:val="00191FFA"/>
    <w:rsid w:val="001920C3"/>
    <w:rsid w:val="00192228"/>
    <w:rsid w:val="001922D5"/>
    <w:rsid w:val="00192416"/>
    <w:rsid w:val="00192423"/>
    <w:rsid w:val="0019245A"/>
    <w:rsid w:val="00192462"/>
    <w:rsid w:val="001924BD"/>
    <w:rsid w:val="001925BC"/>
    <w:rsid w:val="001925D8"/>
    <w:rsid w:val="0019269C"/>
    <w:rsid w:val="00192724"/>
    <w:rsid w:val="0019277F"/>
    <w:rsid w:val="001928FC"/>
    <w:rsid w:val="00192900"/>
    <w:rsid w:val="00192969"/>
    <w:rsid w:val="00192A73"/>
    <w:rsid w:val="00192B3A"/>
    <w:rsid w:val="00192B51"/>
    <w:rsid w:val="00192B5D"/>
    <w:rsid w:val="00192CFB"/>
    <w:rsid w:val="00192D8D"/>
    <w:rsid w:val="00192E41"/>
    <w:rsid w:val="00192E85"/>
    <w:rsid w:val="00192EF3"/>
    <w:rsid w:val="001930CF"/>
    <w:rsid w:val="001931F4"/>
    <w:rsid w:val="00193206"/>
    <w:rsid w:val="00193263"/>
    <w:rsid w:val="0019331D"/>
    <w:rsid w:val="001934E5"/>
    <w:rsid w:val="00193511"/>
    <w:rsid w:val="0019354A"/>
    <w:rsid w:val="001935AD"/>
    <w:rsid w:val="001935FF"/>
    <w:rsid w:val="0019372B"/>
    <w:rsid w:val="0019375C"/>
    <w:rsid w:val="001938A5"/>
    <w:rsid w:val="00193934"/>
    <w:rsid w:val="0019397D"/>
    <w:rsid w:val="0019398F"/>
    <w:rsid w:val="001939D3"/>
    <w:rsid w:val="00193AC9"/>
    <w:rsid w:val="00193ADD"/>
    <w:rsid w:val="00193CB8"/>
    <w:rsid w:val="00193D44"/>
    <w:rsid w:val="00193E78"/>
    <w:rsid w:val="00193E9F"/>
    <w:rsid w:val="00193F2D"/>
    <w:rsid w:val="00194049"/>
    <w:rsid w:val="0019413F"/>
    <w:rsid w:val="0019423B"/>
    <w:rsid w:val="001943DD"/>
    <w:rsid w:val="001943E8"/>
    <w:rsid w:val="0019441A"/>
    <w:rsid w:val="001944D5"/>
    <w:rsid w:val="0019453A"/>
    <w:rsid w:val="00194614"/>
    <w:rsid w:val="001946C5"/>
    <w:rsid w:val="0019472E"/>
    <w:rsid w:val="001947B1"/>
    <w:rsid w:val="00194883"/>
    <w:rsid w:val="00194891"/>
    <w:rsid w:val="0019491D"/>
    <w:rsid w:val="0019494B"/>
    <w:rsid w:val="00194AC5"/>
    <w:rsid w:val="00194AF8"/>
    <w:rsid w:val="00194B5E"/>
    <w:rsid w:val="00194CDA"/>
    <w:rsid w:val="00194EBF"/>
    <w:rsid w:val="00194F93"/>
    <w:rsid w:val="00194FF3"/>
    <w:rsid w:val="0019501C"/>
    <w:rsid w:val="00195135"/>
    <w:rsid w:val="0019519F"/>
    <w:rsid w:val="001951C9"/>
    <w:rsid w:val="00195391"/>
    <w:rsid w:val="00195488"/>
    <w:rsid w:val="001957CA"/>
    <w:rsid w:val="00195991"/>
    <w:rsid w:val="00195A1A"/>
    <w:rsid w:val="00195A83"/>
    <w:rsid w:val="00195B56"/>
    <w:rsid w:val="00195CFC"/>
    <w:rsid w:val="00195DA6"/>
    <w:rsid w:val="00195EE8"/>
    <w:rsid w:val="00195F61"/>
    <w:rsid w:val="00196024"/>
    <w:rsid w:val="0019609E"/>
    <w:rsid w:val="0019619F"/>
    <w:rsid w:val="00196279"/>
    <w:rsid w:val="0019637B"/>
    <w:rsid w:val="001964C0"/>
    <w:rsid w:val="00196509"/>
    <w:rsid w:val="001965B9"/>
    <w:rsid w:val="0019679A"/>
    <w:rsid w:val="001967F8"/>
    <w:rsid w:val="0019686B"/>
    <w:rsid w:val="0019688A"/>
    <w:rsid w:val="0019692D"/>
    <w:rsid w:val="00196A2C"/>
    <w:rsid w:val="00196AC8"/>
    <w:rsid w:val="00196AD6"/>
    <w:rsid w:val="00196B82"/>
    <w:rsid w:val="00196C08"/>
    <w:rsid w:val="00196C92"/>
    <w:rsid w:val="00196CE4"/>
    <w:rsid w:val="00196D7C"/>
    <w:rsid w:val="00197006"/>
    <w:rsid w:val="001970EC"/>
    <w:rsid w:val="001971D6"/>
    <w:rsid w:val="001972E1"/>
    <w:rsid w:val="0019732C"/>
    <w:rsid w:val="00197335"/>
    <w:rsid w:val="001973AD"/>
    <w:rsid w:val="00197470"/>
    <w:rsid w:val="001974B6"/>
    <w:rsid w:val="001974BE"/>
    <w:rsid w:val="0019751B"/>
    <w:rsid w:val="001975A0"/>
    <w:rsid w:val="0019766F"/>
    <w:rsid w:val="001976A5"/>
    <w:rsid w:val="001976B3"/>
    <w:rsid w:val="001976E3"/>
    <w:rsid w:val="001977A0"/>
    <w:rsid w:val="00197876"/>
    <w:rsid w:val="00197955"/>
    <w:rsid w:val="00197B5C"/>
    <w:rsid w:val="00197C40"/>
    <w:rsid w:val="00197CC3"/>
    <w:rsid w:val="00197D03"/>
    <w:rsid w:val="00197E46"/>
    <w:rsid w:val="00197EB7"/>
    <w:rsid w:val="001A038F"/>
    <w:rsid w:val="001A044B"/>
    <w:rsid w:val="001A0488"/>
    <w:rsid w:val="001A0518"/>
    <w:rsid w:val="001A0550"/>
    <w:rsid w:val="001A06A1"/>
    <w:rsid w:val="001A08FB"/>
    <w:rsid w:val="001A0902"/>
    <w:rsid w:val="001A0A3E"/>
    <w:rsid w:val="001A0A9D"/>
    <w:rsid w:val="001A0AEE"/>
    <w:rsid w:val="001A0B24"/>
    <w:rsid w:val="001A0B72"/>
    <w:rsid w:val="001A0BA9"/>
    <w:rsid w:val="001A0BC4"/>
    <w:rsid w:val="001A0E45"/>
    <w:rsid w:val="001A0FE3"/>
    <w:rsid w:val="001A1042"/>
    <w:rsid w:val="001A11A2"/>
    <w:rsid w:val="001A1222"/>
    <w:rsid w:val="001A123C"/>
    <w:rsid w:val="001A12C7"/>
    <w:rsid w:val="001A12F9"/>
    <w:rsid w:val="001A1348"/>
    <w:rsid w:val="001A14BB"/>
    <w:rsid w:val="001A15F9"/>
    <w:rsid w:val="001A1692"/>
    <w:rsid w:val="001A176B"/>
    <w:rsid w:val="001A1877"/>
    <w:rsid w:val="001A190A"/>
    <w:rsid w:val="001A1A76"/>
    <w:rsid w:val="001A1AFA"/>
    <w:rsid w:val="001A1B14"/>
    <w:rsid w:val="001A1BD7"/>
    <w:rsid w:val="001A1BDA"/>
    <w:rsid w:val="001A1C57"/>
    <w:rsid w:val="001A1C9A"/>
    <w:rsid w:val="001A1CB1"/>
    <w:rsid w:val="001A1D86"/>
    <w:rsid w:val="001A1E7A"/>
    <w:rsid w:val="001A1FAD"/>
    <w:rsid w:val="001A2097"/>
    <w:rsid w:val="001A2195"/>
    <w:rsid w:val="001A21EB"/>
    <w:rsid w:val="001A225E"/>
    <w:rsid w:val="001A2343"/>
    <w:rsid w:val="001A24D6"/>
    <w:rsid w:val="001A2555"/>
    <w:rsid w:val="001A25D2"/>
    <w:rsid w:val="001A2620"/>
    <w:rsid w:val="001A268E"/>
    <w:rsid w:val="001A26B9"/>
    <w:rsid w:val="001A272D"/>
    <w:rsid w:val="001A2779"/>
    <w:rsid w:val="001A2807"/>
    <w:rsid w:val="001A28AA"/>
    <w:rsid w:val="001A2981"/>
    <w:rsid w:val="001A29FB"/>
    <w:rsid w:val="001A2A45"/>
    <w:rsid w:val="001A2A58"/>
    <w:rsid w:val="001A2A77"/>
    <w:rsid w:val="001A2B08"/>
    <w:rsid w:val="001A2BDA"/>
    <w:rsid w:val="001A2BE8"/>
    <w:rsid w:val="001A2DC3"/>
    <w:rsid w:val="001A2E3F"/>
    <w:rsid w:val="001A2F1C"/>
    <w:rsid w:val="001A2FF8"/>
    <w:rsid w:val="001A3001"/>
    <w:rsid w:val="001A307D"/>
    <w:rsid w:val="001A3127"/>
    <w:rsid w:val="001A3202"/>
    <w:rsid w:val="001A332D"/>
    <w:rsid w:val="001A3369"/>
    <w:rsid w:val="001A36C2"/>
    <w:rsid w:val="001A36DD"/>
    <w:rsid w:val="001A38DC"/>
    <w:rsid w:val="001A395D"/>
    <w:rsid w:val="001A3A26"/>
    <w:rsid w:val="001A3AB9"/>
    <w:rsid w:val="001A3D43"/>
    <w:rsid w:val="001A3F2C"/>
    <w:rsid w:val="001A405A"/>
    <w:rsid w:val="001A4178"/>
    <w:rsid w:val="001A422D"/>
    <w:rsid w:val="001A4333"/>
    <w:rsid w:val="001A458C"/>
    <w:rsid w:val="001A45F3"/>
    <w:rsid w:val="001A4682"/>
    <w:rsid w:val="001A477C"/>
    <w:rsid w:val="001A4895"/>
    <w:rsid w:val="001A48B8"/>
    <w:rsid w:val="001A49AE"/>
    <w:rsid w:val="001A4A74"/>
    <w:rsid w:val="001A4AEE"/>
    <w:rsid w:val="001A4B51"/>
    <w:rsid w:val="001A4B9E"/>
    <w:rsid w:val="001A4D19"/>
    <w:rsid w:val="001A4D4C"/>
    <w:rsid w:val="001A4E05"/>
    <w:rsid w:val="001A4E53"/>
    <w:rsid w:val="001A5067"/>
    <w:rsid w:val="001A5068"/>
    <w:rsid w:val="001A50DE"/>
    <w:rsid w:val="001A5296"/>
    <w:rsid w:val="001A5350"/>
    <w:rsid w:val="001A539C"/>
    <w:rsid w:val="001A5456"/>
    <w:rsid w:val="001A54AE"/>
    <w:rsid w:val="001A55B0"/>
    <w:rsid w:val="001A5618"/>
    <w:rsid w:val="001A567D"/>
    <w:rsid w:val="001A58E7"/>
    <w:rsid w:val="001A59C9"/>
    <w:rsid w:val="001A5AA4"/>
    <w:rsid w:val="001A5B8F"/>
    <w:rsid w:val="001A5C76"/>
    <w:rsid w:val="001A5D39"/>
    <w:rsid w:val="001A5D87"/>
    <w:rsid w:val="001A5F2E"/>
    <w:rsid w:val="001A607B"/>
    <w:rsid w:val="001A61E3"/>
    <w:rsid w:val="001A61ED"/>
    <w:rsid w:val="001A6298"/>
    <w:rsid w:val="001A64C9"/>
    <w:rsid w:val="001A652A"/>
    <w:rsid w:val="001A6790"/>
    <w:rsid w:val="001A6831"/>
    <w:rsid w:val="001A6850"/>
    <w:rsid w:val="001A6860"/>
    <w:rsid w:val="001A698C"/>
    <w:rsid w:val="001A69BD"/>
    <w:rsid w:val="001A6A58"/>
    <w:rsid w:val="001A6A8A"/>
    <w:rsid w:val="001A6B95"/>
    <w:rsid w:val="001A6C06"/>
    <w:rsid w:val="001A6D54"/>
    <w:rsid w:val="001A6DE3"/>
    <w:rsid w:val="001A6E22"/>
    <w:rsid w:val="001A6E60"/>
    <w:rsid w:val="001A6E62"/>
    <w:rsid w:val="001A6F42"/>
    <w:rsid w:val="001A71C8"/>
    <w:rsid w:val="001A724C"/>
    <w:rsid w:val="001A728D"/>
    <w:rsid w:val="001A72B2"/>
    <w:rsid w:val="001A7342"/>
    <w:rsid w:val="001A749E"/>
    <w:rsid w:val="001A74C9"/>
    <w:rsid w:val="001A74FC"/>
    <w:rsid w:val="001A750E"/>
    <w:rsid w:val="001A7583"/>
    <w:rsid w:val="001A7588"/>
    <w:rsid w:val="001A7633"/>
    <w:rsid w:val="001A768A"/>
    <w:rsid w:val="001A782E"/>
    <w:rsid w:val="001A7921"/>
    <w:rsid w:val="001A7A37"/>
    <w:rsid w:val="001A7A57"/>
    <w:rsid w:val="001A7AB5"/>
    <w:rsid w:val="001A7B52"/>
    <w:rsid w:val="001A7C50"/>
    <w:rsid w:val="001A7CBE"/>
    <w:rsid w:val="001A7CCE"/>
    <w:rsid w:val="001A7D2A"/>
    <w:rsid w:val="001A7D65"/>
    <w:rsid w:val="001B01C2"/>
    <w:rsid w:val="001B01E2"/>
    <w:rsid w:val="001B025C"/>
    <w:rsid w:val="001B02AA"/>
    <w:rsid w:val="001B02AF"/>
    <w:rsid w:val="001B034F"/>
    <w:rsid w:val="001B03E0"/>
    <w:rsid w:val="001B04DF"/>
    <w:rsid w:val="001B04FE"/>
    <w:rsid w:val="001B074A"/>
    <w:rsid w:val="001B092E"/>
    <w:rsid w:val="001B092F"/>
    <w:rsid w:val="001B0986"/>
    <w:rsid w:val="001B09F2"/>
    <w:rsid w:val="001B0A03"/>
    <w:rsid w:val="001B0A15"/>
    <w:rsid w:val="001B0C6D"/>
    <w:rsid w:val="001B0CC2"/>
    <w:rsid w:val="001B0DD2"/>
    <w:rsid w:val="001B0FF3"/>
    <w:rsid w:val="001B11C0"/>
    <w:rsid w:val="001B11F5"/>
    <w:rsid w:val="001B11FB"/>
    <w:rsid w:val="001B14B8"/>
    <w:rsid w:val="001B1540"/>
    <w:rsid w:val="001B15F0"/>
    <w:rsid w:val="001B1649"/>
    <w:rsid w:val="001B16B2"/>
    <w:rsid w:val="001B16D0"/>
    <w:rsid w:val="001B16EE"/>
    <w:rsid w:val="001B18D0"/>
    <w:rsid w:val="001B18E0"/>
    <w:rsid w:val="001B1902"/>
    <w:rsid w:val="001B198A"/>
    <w:rsid w:val="001B1996"/>
    <w:rsid w:val="001B19EF"/>
    <w:rsid w:val="001B1AB3"/>
    <w:rsid w:val="001B1AC6"/>
    <w:rsid w:val="001B1B99"/>
    <w:rsid w:val="001B1CF6"/>
    <w:rsid w:val="001B1E8D"/>
    <w:rsid w:val="001B20F1"/>
    <w:rsid w:val="001B21A7"/>
    <w:rsid w:val="001B2200"/>
    <w:rsid w:val="001B22A1"/>
    <w:rsid w:val="001B2300"/>
    <w:rsid w:val="001B23EB"/>
    <w:rsid w:val="001B244F"/>
    <w:rsid w:val="001B24A5"/>
    <w:rsid w:val="001B2532"/>
    <w:rsid w:val="001B2542"/>
    <w:rsid w:val="001B258B"/>
    <w:rsid w:val="001B2709"/>
    <w:rsid w:val="001B270A"/>
    <w:rsid w:val="001B2892"/>
    <w:rsid w:val="001B29F1"/>
    <w:rsid w:val="001B2A16"/>
    <w:rsid w:val="001B2B1F"/>
    <w:rsid w:val="001B2B31"/>
    <w:rsid w:val="001B2BBD"/>
    <w:rsid w:val="001B2BE9"/>
    <w:rsid w:val="001B2CBE"/>
    <w:rsid w:val="001B2CD8"/>
    <w:rsid w:val="001B2D94"/>
    <w:rsid w:val="001B2DA7"/>
    <w:rsid w:val="001B2DE5"/>
    <w:rsid w:val="001B2E98"/>
    <w:rsid w:val="001B2F09"/>
    <w:rsid w:val="001B3034"/>
    <w:rsid w:val="001B3191"/>
    <w:rsid w:val="001B31A4"/>
    <w:rsid w:val="001B328A"/>
    <w:rsid w:val="001B33C7"/>
    <w:rsid w:val="001B3500"/>
    <w:rsid w:val="001B36FA"/>
    <w:rsid w:val="001B37AE"/>
    <w:rsid w:val="001B3805"/>
    <w:rsid w:val="001B38DA"/>
    <w:rsid w:val="001B38EE"/>
    <w:rsid w:val="001B395E"/>
    <w:rsid w:val="001B3B1A"/>
    <w:rsid w:val="001B3C79"/>
    <w:rsid w:val="001B3D40"/>
    <w:rsid w:val="001B3E83"/>
    <w:rsid w:val="001B3EA7"/>
    <w:rsid w:val="001B3FF6"/>
    <w:rsid w:val="001B40B6"/>
    <w:rsid w:val="001B416E"/>
    <w:rsid w:val="001B42A8"/>
    <w:rsid w:val="001B42E1"/>
    <w:rsid w:val="001B42F5"/>
    <w:rsid w:val="001B442F"/>
    <w:rsid w:val="001B4452"/>
    <w:rsid w:val="001B446D"/>
    <w:rsid w:val="001B4526"/>
    <w:rsid w:val="001B4614"/>
    <w:rsid w:val="001B4650"/>
    <w:rsid w:val="001B46F3"/>
    <w:rsid w:val="001B487A"/>
    <w:rsid w:val="001B4A1F"/>
    <w:rsid w:val="001B4D14"/>
    <w:rsid w:val="001B4D42"/>
    <w:rsid w:val="001B4DB7"/>
    <w:rsid w:val="001B4E0B"/>
    <w:rsid w:val="001B4FB3"/>
    <w:rsid w:val="001B519A"/>
    <w:rsid w:val="001B51DA"/>
    <w:rsid w:val="001B5229"/>
    <w:rsid w:val="001B5281"/>
    <w:rsid w:val="001B5287"/>
    <w:rsid w:val="001B53C2"/>
    <w:rsid w:val="001B54CB"/>
    <w:rsid w:val="001B55F6"/>
    <w:rsid w:val="001B56E6"/>
    <w:rsid w:val="001B5752"/>
    <w:rsid w:val="001B578A"/>
    <w:rsid w:val="001B57E4"/>
    <w:rsid w:val="001B59CF"/>
    <w:rsid w:val="001B5A53"/>
    <w:rsid w:val="001B5A61"/>
    <w:rsid w:val="001B5B64"/>
    <w:rsid w:val="001B5BA3"/>
    <w:rsid w:val="001B5D10"/>
    <w:rsid w:val="001B5D1E"/>
    <w:rsid w:val="001B5F95"/>
    <w:rsid w:val="001B6194"/>
    <w:rsid w:val="001B61E9"/>
    <w:rsid w:val="001B6368"/>
    <w:rsid w:val="001B640A"/>
    <w:rsid w:val="001B643D"/>
    <w:rsid w:val="001B6443"/>
    <w:rsid w:val="001B65D0"/>
    <w:rsid w:val="001B65E9"/>
    <w:rsid w:val="001B6654"/>
    <w:rsid w:val="001B675F"/>
    <w:rsid w:val="001B681B"/>
    <w:rsid w:val="001B691D"/>
    <w:rsid w:val="001B69C5"/>
    <w:rsid w:val="001B69F6"/>
    <w:rsid w:val="001B6A62"/>
    <w:rsid w:val="001B6BC9"/>
    <w:rsid w:val="001B6D0B"/>
    <w:rsid w:val="001B6FC8"/>
    <w:rsid w:val="001B709A"/>
    <w:rsid w:val="001B71B7"/>
    <w:rsid w:val="001B723B"/>
    <w:rsid w:val="001B72A6"/>
    <w:rsid w:val="001B739F"/>
    <w:rsid w:val="001B747C"/>
    <w:rsid w:val="001B749E"/>
    <w:rsid w:val="001B76C0"/>
    <w:rsid w:val="001B76DD"/>
    <w:rsid w:val="001B76E3"/>
    <w:rsid w:val="001B770E"/>
    <w:rsid w:val="001B7741"/>
    <w:rsid w:val="001B7773"/>
    <w:rsid w:val="001B782B"/>
    <w:rsid w:val="001B7914"/>
    <w:rsid w:val="001B7980"/>
    <w:rsid w:val="001B7A00"/>
    <w:rsid w:val="001B7A22"/>
    <w:rsid w:val="001B7A8D"/>
    <w:rsid w:val="001B7B41"/>
    <w:rsid w:val="001B7C86"/>
    <w:rsid w:val="001B7CA5"/>
    <w:rsid w:val="001B7E8D"/>
    <w:rsid w:val="001B7F03"/>
    <w:rsid w:val="001B7F76"/>
    <w:rsid w:val="001C0126"/>
    <w:rsid w:val="001C023D"/>
    <w:rsid w:val="001C0250"/>
    <w:rsid w:val="001C0331"/>
    <w:rsid w:val="001C0465"/>
    <w:rsid w:val="001C04B9"/>
    <w:rsid w:val="001C04F6"/>
    <w:rsid w:val="001C0525"/>
    <w:rsid w:val="001C0727"/>
    <w:rsid w:val="001C0751"/>
    <w:rsid w:val="001C0764"/>
    <w:rsid w:val="001C07E7"/>
    <w:rsid w:val="001C084A"/>
    <w:rsid w:val="001C0940"/>
    <w:rsid w:val="001C0A8C"/>
    <w:rsid w:val="001C0AA9"/>
    <w:rsid w:val="001C0ADC"/>
    <w:rsid w:val="001C0B54"/>
    <w:rsid w:val="001C0BC0"/>
    <w:rsid w:val="001C0C00"/>
    <w:rsid w:val="001C0E4A"/>
    <w:rsid w:val="001C0E7E"/>
    <w:rsid w:val="001C1095"/>
    <w:rsid w:val="001C10D1"/>
    <w:rsid w:val="001C11EB"/>
    <w:rsid w:val="001C12DC"/>
    <w:rsid w:val="001C14EB"/>
    <w:rsid w:val="001C15B0"/>
    <w:rsid w:val="001C1A8C"/>
    <w:rsid w:val="001C1B8A"/>
    <w:rsid w:val="001C1C25"/>
    <w:rsid w:val="001C1C57"/>
    <w:rsid w:val="001C1CF6"/>
    <w:rsid w:val="001C1DF8"/>
    <w:rsid w:val="001C1EDE"/>
    <w:rsid w:val="001C1EF7"/>
    <w:rsid w:val="001C1F43"/>
    <w:rsid w:val="001C1F55"/>
    <w:rsid w:val="001C1FC1"/>
    <w:rsid w:val="001C2084"/>
    <w:rsid w:val="001C2154"/>
    <w:rsid w:val="001C2180"/>
    <w:rsid w:val="001C22C9"/>
    <w:rsid w:val="001C22F1"/>
    <w:rsid w:val="001C26C5"/>
    <w:rsid w:val="001C26D3"/>
    <w:rsid w:val="001C282D"/>
    <w:rsid w:val="001C282F"/>
    <w:rsid w:val="001C28A7"/>
    <w:rsid w:val="001C2965"/>
    <w:rsid w:val="001C2C43"/>
    <w:rsid w:val="001C2F13"/>
    <w:rsid w:val="001C2F26"/>
    <w:rsid w:val="001C2F6C"/>
    <w:rsid w:val="001C2F8D"/>
    <w:rsid w:val="001C3108"/>
    <w:rsid w:val="001C3292"/>
    <w:rsid w:val="001C32C7"/>
    <w:rsid w:val="001C32F4"/>
    <w:rsid w:val="001C33C6"/>
    <w:rsid w:val="001C3416"/>
    <w:rsid w:val="001C348A"/>
    <w:rsid w:val="001C3497"/>
    <w:rsid w:val="001C34A5"/>
    <w:rsid w:val="001C364A"/>
    <w:rsid w:val="001C37A4"/>
    <w:rsid w:val="001C37F9"/>
    <w:rsid w:val="001C380F"/>
    <w:rsid w:val="001C397F"/>
    <w:rsid w:val="001C3B0A"/>
    <w:rsid w:val="001C3BEF"/>
    <w:rsid w:val="001C3C03"/>
    <w:rsid w:val="001C3C47"/>
    <w:rsid w:val="001C3C58"/>
    <w:rsid w:val="001C3D2C"/>
    <w:rsid w:val="001C3DF8"/>
    <w:rsid w:val="001C3EAC"/>
    <w:rsid w:val="001C3EBA"/>
    <w:rsid w:val="001C4065"/>
    <w:rsid w:val="001C421C"/>
    <w:rsid w:val="001C42E5"/>
    <w:rsid w:val="001C43A6"/>
    <w:rsid w:val="001C447A"/>
    <w:rsid w:val="001C44B9"/>
    <w:rsid w:val="001C4577"/>
    <w:rsid w:val="001C473A"/>
    <w:rsid w:val="001C47F2"/>
    <w:rsid w:val="001C48B4"/>
    <w:rsid w:val="001C4951"/>
    <w:rsid w:val="001C49F5"/>
    <w:rsid w:val="001C4B75"/>
    <w:rsid w:val="001C4B78"/>
    <w:rsid w:val="001C4C7E"/>
    <w:rsid w:val="001C4DDD"/>
    <w:rsid w:val="001C4DE4"/>
    <w:rsid w:val="001C4EBF"/>
    <w:rsid w:val="001C4ED1"/>
    <w:rsid w:val="001C4F20"/>
    <w:rsid w:val="001C4F85"/>
    <w:rsid w:val="001C4F8C"/>
    <w:rsid w:val="001C5005"/>
    <w:rsid w:val="001C52C4"/>
    <w:rsid w:val="001C53A0"/>
    <w:rsid w:val="001C568C"/>
    <w:rsid w:val="001C575F"/>
    <w:rsid w:val="001C5760"/>
    <w:rsid w:val="001C57A1"/>
    <w:rsid w:val="001C583D"/>
    <w:rsid w:val="001C58C1"/>
    <w:rsid w:val="001C5A4E"/>
    <w:rsid w:val="001C5B67"/>
    <w:rsid w:val="001C5C73"/>
    <w:rsid w:val="001C5C94"/>
    <w:rsid w:val="001C5CA5"/>
    <w:rsid w:val="001C5D0D"/>
    <w:rsid w:val="001C5E0E"/>
    <w:rsid w:val="001C626B"/>
    <w:rsid w:val="001C62D0"/>
    <w:rsid w:val="001C63AB"/>
    <w:rsid w:val="001C649A"/>
    <w:rsid w:val="001C64EF"/>
    <w:rsid w:val="001C6537"/>
    <w:rsid w:val="001C6553"/>
    <w:rsid w:val="001C6579"/>
    <w:rsid w:val="001C6718"/>
    <w:rsid w:val="001C679B"/>
    <w:rsid w:val="001C67E5"/>
    <w:rsid w:val="001C681E"/>
    <w:rsid w:val="001C68D8"/>
    <w:rsid w:val="001C6964"/>
    <w:rsid w:val="001C69BB"/>
    <w:rsid w:val="001C6D36"/>
    <w:rsid w:val="001C6D5B"/>
    <w:rsid w:val="001C6D69"/>
    <w:rsid w:val="001C6E9C"/>
    <w:rsid w:val="001C6EB1"/>
    <w:rsid w:val="001C6ECC"/>
    <w:rsid w:val="001C6F10"/>
    <w:rsid w:val="001C6FFF"/>
    <w:rsid w:val="001C7133"/>
    <w:rsid w:val="001C71A9"/>
    <w:rsid w:val="001C72B5"/>
    <w:rsid w:val="001C72FF"/>
    <w:rsid w:val="001C7313"/>
    <w:rsid w:val="001C734C"/>
    <w:rsid w:val="001C738C"/>
    <w:rsid w:val="001C7394"/>
    <w:rsid w:val="001C7396"/>
    <w:rsid w:val="001C7425"/>
    <w:rsid w:val="001C7465"/>
    <w:rsid w:val="001C74F3"/>
    <w:rsid w:val="001C7554"/>
    <w:rsid w:val="001C771F"/>
    <w:rsid w:val="001C79CB"/>
    <w:rsid w:val="001C7B86"/>
    <w:rsid w:val="001C7B96"/>
    <w:rsid w:val="001C7D24"/>
    <w:rsid w:val="001C7D5C"/>
    <w:rsid w:val="001C7D74"/>
    <w:rsid w:val="001C7E9F"/>
    <w:rsid w:val="001D0038"/>
    <w:rsid w:val="001D0065"/>
    <w:rsid w:val="001D00EC"/>
    <w:rsid w:val="001D032C"/>
    <w:rsid w:val="001D0354"/>
    <w:rsid w:val="001D0533"/>
    <w:rsid w:val="001D06A9"/>
    <w:rsid w:val="001D074F"/>
    <w:rsid w:val="001D0769"/>
    <w:rsid w:val="001D076D"/>
    <w:rsid w:val="001D092B"/>
    <w:rsid w:val="001D09E5"/>
    <w:rsid w:val="001D0C1A"/>
    <w:rsid w:val="001D0C87"/>
    <w:rsid w:val="001D0E20"/>
    <w:rsid w:val="001D0E91"/>
    <w:rsid w:val="001D0EA2"/>
    <w:rsid w:val="001D0EB8"/>
    <w:rsid w:val="001D0F84"/>
    <w:rsid w:val="001D0FC4"/>
    <w:rsid w:val="001D1019"/>
    <w:rsid w:val="001D10BF"/>
    <w:rsid w:val="001D10DC"/>
    <w:rsid w:val="001D11A5"/>
    <w:rsid w:val="001D121E"/>
    <w:rsid w:val="001D12BA"/>
    <w:rsid w:val="001D1344"/>
    <w:rsid w:val="001D146C"/>
    <w:rsid w:val="001D1491"/>
    <w:rsid w:val="001D1718"/>
    <w:rsid w:val="001D1851"/>
    <w:rsid w:val="001D1877"/>
    <w:rsid w:val="001D18A2"/>
    <w:rsid w:val="001D1B85"/>
    <w:rsid w:val="001D1B8C"/>
    <w:rsid w:val="001D1E50"/>
    <w:rsid w:val="001D1F8B"/>
    <w:rsid w:val="001D1FEE"/>
    <w:rsid w:val="001D200E"/>
    <w:rsid w:val="001D2039"/>
    <w:rsid w:val="001D20A8"/>
    <w:rsid w:val="001D217D"/>
    <w:rsid w:val="001D2397"/>
    <w:rsid w:val="001D23B5"/>
    <w:rsid w:val="001D246C"/>
    <w:rsid w:val="001D24EF"/>
    <w:rsid w:val="001D2589"/>
    <w:rsid w:val="001D25E4"/>
    <w:rsid w:val="001D26A2"/>
    <w:rsid w:val="001D296F"/>
    <w:rsid w:val="001D2A68"/>
    <w:rsid w:val="001D2A88"/>
    <w:rsid w:val="001D2B13"/>
    <w:rsid w:val="001D2BCC"/>
    <w:rsid w:val="001D2BEA"/>
    <w:rsid w:val="001D2D86"/>
    <w:rsid w:val="001D2E3D"/>
    <w:rsid w:val="001D2F10"/>
    <w:rsid w:val="001D2F4A"/>
    <w:rsid w:val="001D2FC5"/>
    <w:rsid w:val="001D3031"/>
    <w:rsid w:val="001D313D"/>
    <w:rsid w:val="001D3157"/>
    <w:rsid w:val="001D3328"/>
    <w:rsid w:val="001D3406"/>
    <w:rsid w:val="001D340B"/>
    <w:rsid w:val="001D352A"/>
    <w:rsid w:val="001D3605"/>
    <w:rsid w:val="001D3625"/>
    <w:rsid w:val="001D3741"/>
    <w:rsid w:val="001D37AA"/>
    <w:rsid w:val="001D38B2"/>
    <w:rsid w:val="001D3A04"/>
    <w:rsid w:val="001D3A33"/>
    <w:rsid w:val="001D3A5F"/>
    <w:rsid w:val="001D3AF9"/>
    <w:rsid w:val="001D3B53"/>
    <w:rsid w:val="001D3BA5"/>
    <w:rsid w:val="001D3D42"/>
    <w:rsid w:val="001D3F1D"/>
    <w:rsid w:val="001D3FD2"/>
    <w:rsid w:val="001D41CA"/>
    <w:rsid w:val="001D42EB"/>
    <w:rsid w:val="001D4308"/>
    <w:rsid w:val="001D43ED"/>
    <w:rsid w:val="001D4485"/>
    <w:rsid w:val="001D4573"/>
    <w:rsid w:val="001D471D"/>
    <w:rsid w:val="001D48AF"/>
    <w:rsid w:val="001D4993"/>
    <w:rsid w:val="001D49A7"/>
    <w:rsid w:val="001D49DC"/>
    <w:rsid w:val="001D49F5"/>
    <w:rsid w:val="001D4A68"/>
    <w:rsid w:val="001D4AB2"/>
    <w:rsid w:val="001D4B05"/>
    <w:rsid w:val="001D4B3F"/>
    <w:rsid w:val="001D4B57"/>
    <w:rsid w:val="001D4BC4"/>
    <w:rsid w:val="001D4C77"/>
    <w:rsid w:val="001D4D4A"/>
    <w:rsid w:val="001D4E4E"/>
    <w:rsid w:val="001D4E65"/>
    <w:rsid w:val="001D4F19"/>
    <w:rsid w:val="001D501A"/>
    <w:rsid w:val="001D51B5"/>
    <w:rsid w:val="001D523D"/>
    <w:rsid w:val="001D5389"/>
    <w:rsid w:val="001D53FA"/>
    <w:rsid w:val="001D5545"/>
    <w:rsid w:val="001D554F"/>
    <w:rsid w:val="001D55F1"/>
    <w:rsid w:val="001D562B"/>
    <w:rsid w:val="001D5677"/>
    <w:rsid w:val="001D5771"/>
    <w:rsid w:val="001D57EA"/>
    <w:rsid w:val="001D57FE"/>
    <w:rsid w:val="001D5815"/>
    <w:rsid w:val="001D58C9"/>
    <w:rsid w:val="001D5945"/>
    <w:rsid w:val="001D59C8"/>
    <w:rsid w:val="001D5A7E"/>
    <w:rsid w:val="001D5A84"/>
    <w:rsid w:val="001D5AF4"/>
    <w:rsid w:val="001D5B38"/>
    <w:rsid w:val="001D5B3F"/>
    <w:rsid w:val="001D5C12"/>
    <w:rsid w:val="001D5CED"/>
    <w:rsid w:val="001D5DFB"/>
    <w:rsid w:val="001D5E5D"/>
    <w:rsid w:val="001D5ECE"/>
    <w:rsid w:val="001D6078"/>
    <w:rsid w:val="001D6167"/>
    <w:rsid w:val="001D618E"/>
    <w:rsid w:val="001D63E9"/>
    <w:rsid w:val="001D6473"/>
    <w:rsid w:val="001D6665"/>
    <w:rsid w:val="001D6680"/>
    <w:rsid w:val="001D694E"/>
    <w:rsid w:val="001D6A98"/>
    <w:rsid w:val="001D6AC4"/>
    <w:rsid w:val="001D6B09"/>
    <w:rsid w:val="001D6BBF"/>
    <w:rsid w:val="001D6C78"/>
    <w:rsid w:val="001D6CDE"/>
    <w:rsid w:val="001D6F43"/>
    <w:rsid w:val="001D6F6F"/>
    <w:rsid w:val="001D719C"/>
    <w:rsid w:val="001D7232"/>
    <w:rsid w:val="001D7242"/>
    <w:rsid w:val="001D7247"/>
    <w:rsid w:val="001D72F7"/>
    <w:rsid w:val="001D7443"/>
    <w:rsid w:val="001D77B3"/>
    <w:rsid w:val="001D78C8"/>
    <w:rsid w:val="001D78FB"/>
    <w:rsid w:val="001D7957"/>
    <w:rsid w:val="001D79E6"/>
    <w:rsid w:val="001D7A70"/>
    <w:rsid w:val="001D7B00"/>
    <w:rsid w:val="001D7B9A"/>
    <w:rsid w:val="001D7BEE"/>
    <w:rsid w:val="001D7BF1"/>
    <w:rsid w:val="001D7E27"/>
    <w:rsid w:val="001E00FC"/>
    <w:rsid w:val="001E0165"/>
    <w:rsid w:val="001E025D"/>
    <w:rsid w:val="001E02E5"/>
    <w:rsid w:val="001E043F"/>
    <w:rsid w:val="001E049A"/>
    <w:rsid w:val="001E04B8"/>
    <w:rsid w:val="001E05B3"/>
    <w:rsid w:val="001E060C"/>
    <w:rsid w:val="001E06B0"/>
    <w:rsid w:val="001E06C9"/>
    <w:rsid w:val="001E06F3"/>
    <w:rsid w:val="001E0706"/>
    <w:rsid w:val="001E0744"/>
    <w:rsid w:val="001E07A7"/>
    <w:rsid w:val="001E07BE"/>
    <w:rsid w:val="001E0915"/>
    <w:rsid w:val="001E0A76"/>
    <w:rsid w:val="001E0BA5"/>
    <w:rsid w:val="001E0C53"/>
    <w:rsid w:val="001E0D0E"/>
    <w:rsid w:val="001E0E1C"/>
    <w:rsid w:val="001E0E9E"/>
    <w:rsid w:val="001E0EED"/>
    <w:rsid w:val="001E1065"/>
    <w:rsid w:val="001E10C0"/>
    <w:rsid w:val="001E11AC"/>
    <w:rsid w:val="001E11BD"/>
    <w:rsid w:val="001E12FA"/>
    <w:rsid w:val="001E130B"/>
    <w:rsid w:val="001E139C"/>
    <w:rsid w:val="001E1430"/>
    <w:rsid w:val="001E148E"/>
    <w:rsid w:val="001E148F"/>
    <w:rsid w:val="001E15D6"/>
    <w:rsid w:val="001E1613"/>
    <w:rsid w:val="001E16AA"/>
    <w:rsid w:val="001E173D"/>
    <w:rsid w:val="001E1741"/>
    <w:rsid w:val="001E1766"/>
    <w:rsid w:val="001E19B9"/>
    <w:rsid w:val="001E1B52"/>
    <w:rsid w:val="001E1BEF"/>
    <w:rsid w:val="001E1C09"/>
    <w:rsid w:val="001E1D71"/>
    <w:rsid w:val="001E1D98"/>
    <w:rsid w:val="001E1E0D"/>
    <w:rsid w:val="001E1FF6"/>
    <w:rsid w:val="001E20FD"/>
    <w:rsid w:val="001E2193"/>
    <w:rsid w:val="001E2259"/>
    <w:rsid w:val="001E22BD"/>
    <w:rsid w:val="001E2338"/>
    <w:rsid w:val="001E2577"/>
    <w:rsid w:val="001E258A"/>
    <w:rsid w:val="001E26FC"/>
    <w:rsid w:val="001E278B"/>
    <w:rsid w:val="001E27A7"/>
    <w:rsid w:val="001E2857"/>
    <w:rsid w:val="001E287C"/>
    <w:rsid w:val="001E28DC"/>
    <w:rsid w:val="001E2A68"/>
    <w:rsid w:val="001E2AA8"/>
    <w:rsid w:val="001E2B1C"/>
    <w:rsid w:val="001E2B92"/>
    <w:rsid w:val="001E2C84"/>
    <w:rsid w:val="001E2D31"/>
    <w:rsid w:val="001E2F65"/>
    <w:rsid w:val="001E2F93"/>
    <w:rsid w:val="001E3006"/>
    <w:rsid w:val="001E30EA"/>
    <w:rsid w:val="001E3143"/>
    <w:rsid w:val="001E31F1"/>
    <w:rsid w:val="001E321F"/>
    <w:rsid w:val="001E3271"/>
    <w:rsid w:val="001E3283"/>
    <w:rsid w:val="001E3296"/>
    <w:rsid w:val="001E3558"/>
    <w:rsid w:val="001E36C1"/>
    <w:rsid w:val="001E3762"/>
    <w:rsid w:val="001E3A20"/>
    <w:rsid w:val="001E3BF0"/>
    <w:rsid w:val="001E3D02"/>
    <w:rsid w:val="001E3D80"/>
    <w:rsid w:val="001E3D95"/>
    <w:rsid w:val="001E3E36"/>
    <w:rsid w:val="001E3EB1"/>
    <w:rsid w:val="001E4078"/>
    <w:rsid w:val="001E429D"/>
    <w:rsid w:val="001E4533"/>
    <w:rsid w:val="001E4549"/>
    <w:rsid w:val="001E4582"/>
    <w:rsid w:val="001E4675"/>
    <w:rsid w:val="001E472B"/>
    <w:rsid w:val="001E473B"/>
    <w:rsid w:val="001E477A"/>
    <w:rsid w:val="001E47CF"/>
    <w:rsid w:val="001E48AA"/>
    <w:rsid w:val="001E48F4"/>
    <w:rsid w:val="001E48F7"/>
    <w:rsid w:val="001E4986"/>
    <w:rsid w:val="001E4A63"/>
    <w:rsid w:val="001E4B2B"/>
    <w:rsid w:val="001E4B62"/>
    <w:rsid w:val="001E4BC9"/>
    <w:rsid w:val="001E4C95"/>
    <w:rsid w:val="001E4D16"/>
    <w:rsid w:val="001E4DAB"/>
    <w:rsid w:val="001E4DE8"/>
    <w:rsid w:val="001E505F"/>
    <w:rsid w:val="001E5271"/>
    <w:rsid w:val="001E55A5"/>
    <w:rsid w:val="001E5621"/>
    <w:rsid w:val="001E568F"/>
    <w:rsid w:val="001E56C3"/>
    <w:rsid w:val="001E56E3"/>
    <w:rsid w:val="001E56E4"/>
    <w:rsid w:val="001E5778"/>
    <w:rsid w:val="001E5810"/>
    <w:rsid w:val="001E5812"/>
    <w:rsid w:val="001E588E"/>
    <w:rsid w:val="001E5C0D"/>
    <w:rsid w:val="001E5E06"/>
    <w:rsid w:val="001E5E77"/>
    <w:rsid w:val="001E5E84"/>
    <w:rsid w:val="001E6042"/>
    <w:rsid w:val="001E60FE"/>
    <w:rsid w:val="001E6212"/>
    <w:rsid w:val="001E627F"/>
    <w:rsid w:val="001E6314"/>
    <w:rsid w:val="001E6483"/>
    <w:rsid w:val="001E6697"/>
    <w:rsid w:val="001E68DE"/>
    <w:rsid w:val="001E6969"/>
    <w:rsid w:val="001E696D"/>
    <w:rsid w:val="001E697B"/>
    <w:rsid w:val="001E6B87"/>
    <w:rsid w:val="001E6B8E"/>
    <w:rsid w:val="001E6C34"/>
    <w:rsid w:val="001E6DB1"/>
    <w:rsid w:val="001E6E2B"/>
    <w:rsid w:val="001E6EB9"/>
    <w:rsid w:val="001E70B6"/>
    <w:rsid w:val="001E71A1"/>
    <w:rsid w:val="001E722C"/>
    <w:rsid w:val="001E72CA"/>
    <w:rsid w:val="001E7317"/>
    <w:rsid w:val="001E74C8"/>
    <w:rsid w:val="001E7897"/>
    <w:rsid w:val="001E7AB1"/>
    <w:rsid w:val="001E7B0F"/>
    <w:rsid w:val="001E7B80"/>
    <w:rsid w:val="001E7BA0"/>
    <w:rsid w:val="001E7BD4"/>
    <w:rsid w:val="001E7DDA"/>
    <w:rsid w:val="001F00C9"/>
    <w:rsid w:val="001F012A"/>
    <w:rsid w:val="001F01A4"/>
    <w:rsid w:val="001F0325"/>
    <w:rsid w:val="001F03F2"/>
    <w:rsid w:val="001F041E"/>
    <w:rsid w:val="001F04C6"/>
    <w:rsid w:val="001F056C"/>
    <w:rsid w:val="001F057B"/>
    <w:rsid w:val="001F0792"/>
    <w:rsid w:val="001F079C"/>
    <w:rsid w:val="001F080E"/>
    <w:rsid w:val="001F0827"/>
    <w:rsid w:val="001F089C"/>
    <w:rsid w:val="001F0B05"/>
    <w:rsid w:val="001F0B9F"/>
    <w:rsid w:val="001F0BA8"/>
    <w:rsid w:val="001F0C37"/>
    <w:rsid w:val="001F0C4D"/>
    <w:rsid w:val="001F0E9D"/>
    <w:rsid w:val="001F0F19"/>
    <w:rsid w:val="001F0F1F"/>
    <w:rsid w:val="001F0F3E"/>
    <w:rsid w:val="001F0F49"/>
    <w:rsid w:val="001F0F95"/>
    <w:rsid w:val="001F1138"/>
    <w:rsid w:val="001F1157"/>
    <w:rsid w:val="001F1396"/>
    <w:rsid w:val="001F1401"/>
    <w:rsid w:val="001F146F"/>
    <w:rsid w:val="001F14EF"/>
    <w:rsid w:val="001F150A"/>
    <w:rsid w:val="001F16D3"/>
    <w:rsid w:val="001F1753"/>
    <w:rsid w:val="001F188C"/>
    <w:rsid w:val="001F18A7"/>
    <w:rsid w:val="001F1A65"/>
    <w:rsid w:val="001F1A7A"/>
    <w:rsid w:val="001F1B4F"/>
    <w:rsid w:val="001F1C62"/>
    <w:rsid w:val="001F1D09"/>
    <w:rsid w:val="001F1D90"/>
    <w:rsid w:val="001F1D93"/>
    <w:rsid w:val="001F1F3E"/>
    <w:rsid w:val="001F1F53"/>
    <w:rsid w:val="001F1FE4"/>
    <w:rsid w:val="001F2113"/>
    <w:rsid w:val="001F217F"/>
    <w:rsid w:val="001F2839"/>
    <w:rsid w:val="001F299C"/>
    <w:rsid w:val="001F2AE5"/>
    <w:rsid w:val="001F2C17"/>
    <w:rsid w:val="001F2DE4"/>
    <w:rsid w:val="001F2EE7"/>
    <w:rsid w:val="001F2F31"/>
    <w:rsid w:val="001F2F59"/>
    <w:rsid w:val="001F3007"/>
    <w:rsid w:val="001F30C6"/>
    <w:rsid w:val="001F30E8"/>
    <w:rsid w:val="001F319C"/>
    <w:rsid w:val="001F3297"/>
    <w:rsid w:val="001F32E5"/>
    <w:rsid w:val="001F336D"/>
    <w:rsid w:val="001F343D"/>
    <w:rsid w:val="001F34DD"/>
    <w:rsid w:val="001F3700"/>
    <w:rsid w:val="001F378A"/>
    <w:rsid w:val="001F3800"/>
    <w:rsid w:val="001F3841"/>
    <w:rsid w:val="001F386D"/>
    <w:rsid w:val="001F3936"/>
    <w:rsid w:val="001F393F"/>
    <w:rsid w:val="001F3A37"/>
    <w:rsid w:val="001F3A7C"/>
    <w:rsid w:val="001F3C4D"/>
    <w:rsid w:val="001F3C69"/>
    <w:rsid w:val="001F3CCF"/>
    <w:rsid w:val="001F3D4C"/>
    <w:rsid w:val="001F403A"/>
    <w:rsid w:val="001F4081"/>
    <w:rsid w:val="001F4168"/>
    <w:rsid w:val="001F41C5"/>
    <w:rsid w:val="001F41F1"/>
    <w:rsid w:val="001F42B0"/>
    <w:rsid w:val="001F432C"/>
    <w:rsid w:val="001F4364"/>
    <w:rsid w:val="001F449E"/>
    <w:rsid w:val="001F44A6"/>
    <w:rsid w:val="001F45E5"/>
    <w:rsid w:val="001F4720"/>
    <w:rsid w:val="001F481A"/>
    <w:rsid w:val="001F491E"/>
    <w:rsid w:val="001F49BB"/>
    <w:rsid w:val="001F4A0F"/>
    <w:rsid w:val="001F4B61"/>
    <w:rsid w:val="001F4BC7"/>
    <w:rsid w:val="001F4C56"/>
    <w:rsid w:val="001F4D11"/>
    <w:rsid w:val="001F4E72"/>
    <w:rsid w:val="001F4F4F"/>
    <w:rsid w:val="001F4F5C"/>
    <w:rsid w:val="001F4F7A"/>
    <w:rsid w:val="001F51C1"/>
    <w:rsid w:val="001F5227"/>
    <w:rsid w:val="001F5273"/>
    <w:rsid w:val="001F53A1"/>
    <w:rsid w:val="001F5403"/>
    <w:rsid w:val="001F5410"/>
    <w:rsid w:val="001F5431"/>
    <w:rsid w:val="001F543D"/>
    <w:rsid w:val="001F550C"/>
    <w:rsid w:val="001F551B"/>
    <w:rsid w:val="001F55D9"/>
    <w:rsid w:val="001F5775"/>
    <w:rsid w:val="001F5861"/>
    <w:rsid w:val="001F5870"/>
    <w:rsid w:val="001F5886"/>
    <w:rsid w:val="001F58F5"/>
    <w:rsid w:val="001F59A1"/>
    <w:rsid w:val="001F5A79"/>
    <w:rsid w:val="001F5A8A"/>
    <w:rsid w:val="001F5A8F"/>
    <w:rsid w:val="001F5B24"/>
    <w:rsid w:val="001F5E09"/>
    <w:rsid w:val="001F5E15"/>
    <w:rsid w:val="001F5E95"/>
    <w:rsid w:val="001F5F55"/>
    <w:rsid w:val="001F60B8"/>
    <w:rsid w:val="001F60F8"/>
    <w:rsid w:val="001F6105"/>
    <w:rsid w:val="001F615E"/>
    <w:rsid w:val="001F631E"/>
    <w:rsid w:val="001F6394"/>
    <w:rsid w:val="001F6582"/>
    <w:rsid w:val="001F65C0"/>
    <w:rsid w:val="001F67B6"/>
    <w:rsid w:val="001F67B8"/>
    <w:rsid w:val="001F6909"/>
    <w:rsid w:val="001F690E"/>
    <w:rsid w:val="001F696E"/>
    <w:rsid w:val="001F69D7"/>
    <w:rsid w:val="001F6B11"/>
    <w:rsid w:val="001F6BF8"/>
    <w:rsid w:val="001F6D6B"/>
    <w:rsid w:val="001F6EBD"/>
    <w:rsid w:val="001F6EF4"/>
    <w:rsid w:val="001F6FF9"/>
    <w:rsid w:val="001F70D3"/>
    <w:rsid w:val="001F70E4"/>
    <w:rsid w:val="001F7122"/>
    <w:rsid w:val="001F717C"/>
    <w:rsid w:val="001F7403"/>
    <w:rsid w:val="001F74C5"/>
    <w:rsid w:val="001F74EC"/>
    <w:rsid w:val="001F74F1"/>
    <w:rsid w:val="001F774E"/>
    <w:rsid w:val="001F79F0"/>
    <w:rsid w:val="001F7B4B"/>
    <w:rsid w:val="001F7CCE"/>
    <w:rsid w:val="001F7DDE"/>
    <w:rsid w:val="001F7EE5"/>
    <w:rsid w:val="001F7F97"/>
    <w:rsid w:val="00200085"/>
    <w:rsid w:val="0020009F"/>
    <w:rsid w:val="00200399"/>
    <w:rsid w:val="002004CE"/>
    <w:rsid w:val="002004F1"/>
    <w:rsid w:val="00200853"/>
    <w:rsid w:val="0020087A"/>
    <w:rsid w:val="002008AE"/>
    <w:rsid w:val="00200A42"/>
    <w:rsid w:val="00200A45"/>
    <w:rsid w:val="00200AB9"/>
    <w:rsid w:val="00200ADB"/>
    <w:rsid w:val="00200AF6"/>
    <w:rsid w:val="00200B48"/>
    <w:rsid w:val="00200C48"/>
    <w:rsid w:val="00200CA4"/>
    <w:rsid w:val="00200CC8"/>
    <w:rsid w:val="00200D5F"/>
    <w:rsid w:val="00200DA3"/>
    <w:rsid w:val="00200DDD"/>
    <w:rsid w:val="00200DF5"/>
    <w:rsid w:val="0020100E"/>
    <w:rsid w:val="002011B8"/>
    <w:rsid w:val="00201230"/>
    <w:rsid w:val="00201237"/>
    <w:rsid w:val="00201411"/>
    <w:rsid w:val="0020149D"/>
    <w:rsid w:val="002014CA"/>
    <w:rsid w:val="0020160B"/>
    <w:rsid w:val="00201639"/>
    <w:rsid w:val="0020163F"/>
    <w:rsid w:val="00201863"/>
    <w:rsid w:val="002019C5"/>
    <w:rsid w:val="00201A12"/>
    <w:rsid w:val="00201C79"/>
    <w:rsid w:val="00201CC8"/>
    <w:rsid w:val="00201D22"/>
    <w:rsid w:val="00201DBE"/>
    <w:rsid w:val="00201F73"/>
    <w:rsid w:val="00202043"/>
    <w:rsid w:val="0020206C"/>
    <w:rsid w:val="002020D3"/>
    <w:rsid w:val="0020228C"/>
    <w:rsid w:val="0020232C"/>
    <w:rsid w:val="002024F0"/>
    <w:rsid w:val="00202519"/>
    <w:rsid w:val="002025F5"/>
    <w:rsid w:val="00202618"/>
    <w:rsid w:val="0020272F"/>
    <w:rsid w:val="002027CA"/>
    <w:rsid w:val="002027F2"/>
    <w:rsid w:val="002028A4"/>
    <w:rsid w:val="002029CF"/>
    <w:rsid w:val="00202BC5"/>
    <w:rsid w:val="00202D1F"/>
    <w:rsid w:val="00202FE3"/>
    <w:rsid w:val="00202FED"/>
    <w:rsid w:val="0020327E"/>
    <w:rsid w:val="00203294"/>
    <w:rsid w:val="002032C7"/>
    <w:rsid w:val="00203374"/>
    <w:rsid w:val="00203515"/>
    <w:rsid w:val="0020353E"/>
    <w:rsid w:val="00203600"/>
    <w:rsid w:val="0020361F"/>
    <w:rsid w:val="0020369A"/>
    <w:rsid w:val="002036D1"/>
    <w:rsid w:val="00203880"/>
    <w:rsid w:val="0020388E"/>
    <w:rsid w:val="00203954"/>
    <w:rsid w:val="0020395E"/>
    <w:rsid w:val="002039B6"/>
    <w:rsid w:val="002039CB"/>
    <w:rsid w:val="00203BAC"/>
    <w:rsid w:val="00203C14"/>
    <w:rsid w:val="00203C82"/>
    <w:rsid w:val="00203C89"/>
    <w:rsid w:val="00203D4C"/>
    <w:rsid w:val="00203E8F"/>
    <w:rsid w:val="00203F2A"/>
    <w:rsid w:val="00203F59"/>
    <w:rsid w:val="00204060"/>
    <w:rsid w:val="00204125"/>
    <w:rsid w:val="00204301"/>
    <w:rsid w:val="00204361"/>
    <w:rsid w:val="00204366"/>
    <w:rsid w:val="002043DB"/>
    <w:rsid w:val="00204414"/>
    <w:rsid w:val="002044F2"/>
    <w:rsid w:val="00204528"/>
    <w:rsid w:val="0020459F"/>
    <w:rsid w:val="002045C3"/>
    <w:rsid w:val="002046BC"/>
    <w:rsid w:val="00204745"/>
    <w:rsid w:val="0020488E"/>
    <w:rsid w:val="002048B8"/>
    <w:rsid w:val="0020490C"/>
    <w:rsid w:val="00204925"/>
    <w:rsid w:val="0020493C"/>
    <w:rsid w:val="00204962"/>
    <w:rsid w:val="002049C2"/>
    <w:rsid w:val="002049EF"/>
    <w:rsid w:val="00204AEB"/>
    <w:rsid w:val="00204B20"/>
    <w:rsid w:val="00204B78"/>
    <w:rsid w:val="00204D21"/>
    <w:rsid w:val="00204D61"/>
    <w:rsid w:val="00204F06"/>
    <w:rsid w:val="00204F4C"/>
    <w:rsid w:val="00204F51"/>
    <w:rsid w:val="002050AB"/>
    <w:rsid w:val="002050ED"/>
    <w:rsid w:val="0020511A"/>
    <w:rsid w:val="002051BE"/>
    <w:rsid w:val="002053CA"/>
    <w:rsid w:val="00205451"/>
    <w:rsid w:val="00205549"/>
    <w:rsid w:val="002057F2"/>
    <w:rsid w:val="00205868"/>
    <w:rsid w:val="00205891"/>
    <w:rsid w:val="002058A2"/>
    <w:rsid w:val="00205952"/>
    <w:rsid w:val="00205A3C"/>
    <w:rsid w:val="00205D13"/>
    <w:rsid w:val="00205D23"/>
    <w:rsid w:val="00205D44"/>
    <w:rsid w:val="00205D4F"/>
    <w:rsid w:val="00205F17"/>
    <w:rsid w:val="00205FB4"/>
    <w:rsid w:val="00205FE6"/>
    <w:rsid w:val="002060E6"/>
    <w:rsid w:val="002061FF"/>
    <w:rsid w:val="00206290"/>
    <w:rsid w:val="002062D0"/>
    <w:rsid w:val="00206340"/>
    <w:rsid w:val="00206388"/>
    <w:rsid w:val="002063BF"/>
    <w:rsid w:val="002063CB"/>
    <w:rsid w:val="002064B9"/>
    <w:rsid w:val="00206533"/>
    <w:rsid w:val="0020656C"/>
    <w:rsid w:val="0020657C"/>
    <w:rsid w:val="0020659B"/>
    <w:rsid w:val="002065D0"/>
    <w:rsid w:val="002065D8"/>
    <w:rsid w:val="00206683"/>
    <w:rsid w:val="0020672E"/>
    <w:rsid w:val="0020674B"/>
    <w:rsid w:val="002067BB"/>
    <w:rsid w:val="00206810"/>
    <w:rsid w:val="00206947"/>
    <w:rsid w:val="00206951"/>
    <w:rsid w:val="002069CF"/>
    <w:rsid w:val="00206A4A"/>
    <w:rsid w:val="00206AD6"/>
    <w:rsid w:val="00206ADE"/>
    <w:rsid w:val="00206B34"/>
    <w:rsid w:val="00206BB7"/>
    <w:rsid w:val="00206C13"/>
    <w:rsid w:val="00206C1B"/>
    <w:rsid w:val="00206C9A"/>
    <w:rsid w:val="00206D4A"/>
    <w:rsid w:val="00206DAA"/>
    <w:rsid w:val="00206DD3"/>
    <w:rsid w:val="00206E89"/>
    <w:rsid w:val="00206F15"/>
    <w:rsid w:val="00206F64"/>
    <w:rsid w:val="00206F9C"/>
    <w:rsid w:val="0020709F"/>
    <w:rsid w:val="002070EB"/>
    <w:rsid w:val="0020712A"/>
    <w:rsid w:val="00207161"/>
    <w:rsid w:val="00207210"/>
    <w:rsid w:val="0020723A"/>
    <w:rsid w:val="00207248"/>
    <w:rsid w:val="002072A7"/>
    <w:rsid w:val="002073D4"/>
    <w:rsid w:val="0020749A"/>
    <w:rsid w:val="002074A6"/>
    <w:rsid w:val="002074A9"/>
    <w:rsid w:val="00207519"/>
    <w:rsid w:val="00207576"/>
    <w:rsid w:val="002075A4"/>
    <w:rsid w:val="00207616"/>
    <w:rsid w:val="0020762E"/>
    <w:rsid w:val="002076A8"/>
    <w:rsid w:val="00207753"/>
    <w:rsid w:val="002077D0"/>
    <w:rsid w:val="00207950"/>
    <w:rsid w:val="00207961"/>
    <w:rsid w:val="00207A26"/>
    <w:rsid w:val="00207A84"/>
    <w:rsid w:val="00207AC9"/>
    <w:rsid w:val="00207B47"/>
    <w:rsid w:val="00207B5D"/>
    <w:rsid w:val="00207B66"/>
    <w:rsid w:val="00207C0B"/>
    <w:rsid w:val="00207D12"/>
    <w:rsid w:val="00207D3E"/>
    <w:rsid w:val="00207E7D"/>
    <w:rsid w:val="00207FD1"/>
    <w:rsid w:val="00207FDB"/>
    <w:rsid w:val="0021008A"/>
    <w:rsid w:val="00210208"/>
    <w:rsid w:val="0021024D"/>
    <w:rsid w:val="0021032A"/>
    <w:rsid w:val="0021038C"/>
    <w:rsid w:val="00210509"/>
    <w:rsid w:val="0021052E"/>
    <w:rsid w:val="00210530"/>
    <w:rsid w:val="00210585"/>
    <w:rsid w:val="002105AF"/>
    <w:rsid w:val="002105D5"/>
    <w:rsid w:val="00210607"/>
    <w:rsid w:val="00210683"/>
    <w:rsid w:val="0021068A"/>
    <w:rsid w:val="002106FD"/>
    <w:rsid w:val="0021075B"/>
    <w:rsid w:val="00210BC1"/>
    <w:rsid w:val="00210C3C"/>
    <w:rsid w:val="00210C6C"/>
    <w:rsid w:val="00210D52"/>
    <w:rsid w:val="00210D60"/>
    <w:rsid w:val="00210D61"/>
    <w:rsid w:val="00210D63"/>
    <w:rsid w:val="00210E1C"/>
    <w:rsid w:val="00210E8F"/>
    <w:rsid w:val="00210EA7"/>
    <w:rsid w:val="0021105B"/>
    <w:rsid w:val="002110D4"/>
    <w:rsid w:val="0021110B"/>
    <w:rsid w:val="0021118C"/>
    <w:rsid w:val="0021119F"/>
    <w:rsid w:val="002111D3"/>
    <w:rsid w:val="00211627"/>
    <w:rsid w:val="002116D0"/>
    <w:rsid w:val="002117CC"/>
    <w:rsid w:val="00211867"/>
    <w:rsid w:val="002118C6"/>
    <w:rsid w:val="002118E6"/>
    <w:rsid w:val="002119DC"/>
    <w:rsid w:val="00211AB6"/>
    <w:rsid w:val="00211BAD"/>
    <w:rsid w:val="00211C18"/>
    <w:rsid w:val="00211C59"/>
    <w:rsid w:val="00211CF7"/>
    <w:rsid w:val="00211D63"/>
    <w:rsid w:val="00211E24"/>
    <w:rsid w:val="00211E96"/>
    <w:rsid w:val="00211EF6"/>
    <w:rsid w:val="002120B3"/>
    <w:rsid w:val="002120D3"/>
    <w:rsid w:val="002120D6"/>
    <w:rsid w:val="002121C3"/>
    <w:rsid w:val="002122A0"/>
    <w:rsid w:val="002122C6"/>
    <w:rsid w:val="00212331"/>
    <w:rsid w:val="00212333"/>
    <w:rsid w:val="00212358"/>
    <w:rsid w:val="00212392"/>
    <w:rsid w:val="002124B0"/>
    <w:rsid w:val="002124CD"/>
    <w:rsid w:val="002124EA"/>
    <w:rsid w:val="00212686"/>
    <w:rsid w:val="0021293B"/>
    <w:rsid w:val="00212A11"/>
    <w:rsid w:val="00212AD6"/>
    <w:rsid w:val="00212D03"/>
    <w:rsid w:val="00212D5A"/>
    <w:rsid w:val="00212D96"/>
    <w:rsid w:val="00212E1B"/>
    <w:rsid w:val="00212EA6"/>
    <w:rsid w:val="00213074"/>
    <w:rsid w:val="00213119"/>
    <w:rsid w:val="00213396"/>
    <w:rsid w:val="002133CD"/>
    <w:rsid w:val="00213400"/>
    <w:rsid w:val="00213406"/>
    <w:rsid w:val="00213487"/>
    <w:rsid w:val="002134C4"/>
    <w:rsid w:val="00213553"/>
    <w:rsid w:val="00213556"/>
    <w:rsid w:val="00213692"/>
    <w:rsid w:val="00213759"/>
    <w:rsid w:val="002137C1"/>
    <w:rsid w:val="00213925"/>
    <w:rsid w:val="00213A42"/>
    <w:rsid w:val="00213B64"/>
    <w:rsid w:val="00213B74"/>
    <w:rsid w:val="00213B77"/>
    <w:rsid w:val="00213D31"/>
    <w:rsid w:val="00213DA2"/>
    <w:rsid w:val="00213F78"/>
    <w:rsid w:val="00214105"/>
    <w:rsid w:val="00214134"/>
    <w:rsid w:val="00214143"/>
    <w:rsid w:val="002141A7"/>
    <w:rsid w:val="0021429D"/>
    <w:rsid w:val="00214334"/>
    <w:rsid w:val="002143DC"/>
    <w:rsid w:val="002144BA"/>
    <w:rsid w:val="002144CA"/>
    <w:rsid w:val="0021450B"/>
    <w:rsid w:val="002149DC"/>
    <w:rsid w:val="00214BFC"/>
    <w:rsid w:val="00214C7C"/>
    <w:rsid w:val="00214CC8"/>
    <w:rsid w:val="00214CFB"/>
    <w:rsid w:val="00214D7E"/>
    <w:rsid w:val="00214DBA"/>
    <w:rsid w:val="00214DE0"/>
    <w:rsid w:val="00214E0F"/>
    <w:rsid w:val="002150CB"/>
    <w:rsid w:val="0021518D"/>
    <w:rsid w:val="002151D2"/>
    <w:rsid w:val="00215212"/>
    <w:rsid w:val="00215220"/>
    <w:rsid w:val="00215368"/>
    <w:rsid w:val="002153F1"/>
    <w:rsid w:val="002153F3"/>
    <w:rsid w:val="00215417"/>
    <w:rsid w:val="00215422"/>
    <w:rsid w:val="00215501"/>
    <w:rsid w:val="00215597"/>
    <w:rsid w:val="002155DC"/>
    <w:rsid w:val="0021561B"/>
    <w:rsid w:val="00215645"/>
    <w:rsid w:val="002156C2"/>
    <w:rsid w:val="002158B9"/>
    <w:rsid w:val="002158F9"/>
    <w:rsid w:val="00215942"/>
    <w:rsid w:val="002159D6"/>
    <w:rsid w:val="00215B50"/>
    <w:rsid w:val="00215CAD"/>
    <w:rsid w:val="00215CE0"/>
    <w:rsid w:val="00215D01"/>
    <w:rsid w:val="00215DAE"/>
    <w:rsid w:val="00215EB0"/>
    <w:rsid w:val="00216004"/>
    <w:rsid w:val="0021603C"/>
    <w:rsid w:val="0021608F"/>
    <w:rsid w:val="002160D7"/>
    <w:rsid w:val="002162DE"/>
    <w:rsid w:val="002163C4"/>
    <w:rsid w:val="002163FD"/>
    <w:rsid w:val="0021641C"/>
    <w:rsid w:val="002165F5"/>
    <w:rsid w:val="00216893"/>
    <w:rsid w:val="002168CB"/>
    <w:rsid w:val="0021691F"/>
    <w:rsid w:val="00216AD3"/>
    <w:rsid w:val="00216B4D"/>
    <w:rsid w:val="00216C21"/>
    <w:rsid w:val="00216C2D"/>
    <w:rsid w:val="00216C7A"/>
    <w:rsid w:val="00216CAF"/>
    <w:rsid w:val="00216D82"/>
    <w:rsid w:val="00216D93"/>
    <w:rsid w:val="00216DEF"/>
    <w:rsid w:val="00217002"/>
    <w:rsid w:val="00217096"/>
    <w:rsid w:val="002170C9"/>
    <w:rsid w:val="0021711D"/>
    <w:rsid w:val="00217200"/>
    <w:rsid w:val="002172AA"/>
    <w:rsid w:val="00217488"/>
    <w:rsid w:val="002174F9"/>
    <w:rsid w:val="0021758C"/>
    <w:rsid w:val="0021774F"/>
    <w:rsid w:val="00217757"/>
    <w:rsid w:val="002177F4"/>
    <w:rsid w:val="00217808"/>
    <w:rsid w:val="0021784F"/>
    <w:rsid w:val="0021793F"/>
    <w:rsid w:val="002179B4"/>
    <w:rsid w:val="00217A56"/>
    <w:rsid w:val="00217A73"/>
    <w:rsid w:val="00217A75"/>
    <w:rsid w:val="00217A77"/>
    <w:rsid w:val="00217D28"/>
    <w:rsid w:val="00217E27"/>
    <w:rsid w:val="00217EB6"/>
    <w:rsid w:val="00217EC0"/>
    <w:rsid w:val="00217F46"/>
    <w:rsid w:val="00217FBC"/>
    <w:rsid w:val="00220096"/>
    <w:rsid w:val="002202B3"/>
    <w:rsid w:val="002202FF"/>
    <w:rsid w:val="00220385"/>
    <w:rsid w:val="0022042B"/>
    <w:rsid w:val="00220483"/>
    <w:rsid w:val="002204C1"/>
    <w:rsid w:val="002204F7"/>
    <w:rsid w:val="00220646"/>
    <w:rsid w:val="002208BF"/>
    <w:rsid w:val="002209C6"/>
    <w:rsid w:val="00220CCE"/>
    <w:rsid w:val="00220D81"/>
    <w:rsid w:val="00220E49"/>
    <w:rsid w:val="0022103C"/>
    <w:rsid w:val="00221118"/>
    <w:rsid w:val="0022148C"/>
    <w:rsid w:val="0022159A"/>
    <w:rsid w:val="002216B7"/>
    <w:rsid w:val="0022193A"/>
    <w:rsid w:val="00221A13"/>
    <w:rsid w:val="00221C50"/>
    <w:rsid w:val="00221C7F"/>
    <w:rsid w:val="00221C93"/>
    <w:rsid w:val="00221CAD"/>
    <w:rsid w:val="00221D20"/>
    <w:rsid w:val="00221D23"/>
    <w:rsid w:val="00221D7D"/>
    <w:rsid w:val="00221E0B"/>
    <w:rsid w:val="00222022"/>
    <w:rsid w:val="0022204F"/>
    <w:rsid w:val="00222108"/>
    <w:rsid w:val="00222137"/>
    <w:rsid w:val="00222191"/>
    <w:rsid w:val="0022224D"/>
    <w:rsid w:val="0022230C"/>
    <w:rsid w:val="00222394"/>
    <w:rsid w:val="002223A9"/>
    <w:rsid w:val="002223F6"/>
    <w:rsid w:val="002224FA"/>
    <w:rsid w:val="00222614"/>
    <w:rsid w:val="0022265C"/>
    <w:rsid w:val="00222700"/>
    <w:rsid w:val="00222810"/>
    <w:rsid w:val="00222855"/>
    <w:rsid w:val="00222972"/>
    <w:rsid w:val="002229FF"/>
    <w:rsid w:val="00222A67"/>
    <w:rsid w:val="00222B2C"/>
    <w:rsid w:val="00222C82"/>
    <w:rsid w:val="00222CBE"/>
    <w:rsid w:val="00222CCC"/>
    <w:rsid w:val="00222CEC"/>
    <w:rsid w:val="00222D1E"/>
    <w:rsid w:val="00222DB6"/>
    <w:rsid w:val="00222E42"/>
    <w:rsid w:val="00222E4F"/>
    <w:rsid w:val="00222ED6"/>
    <w:rsid w:val="0022307E"/>
    <w:rsid w:val="00223098"/>
    <w:rsid w:val="0022309C"/>
    <w:rsid w:val="0022311E"/>
    <w:rsid w:val="00223129"/>
    <w:rsid w:val="002232E6"/>
    <w:rsid w:val="0022331F"/>
    <w:rsid w:val="00223451"/>
    <w:rsid w:val="002234C4"/>
    <w:rsid w:val="002235D5"/>
    <w:rsid w:val="002235E7"/>
    <w:rsid w:val="0022372E"/>
    <w:rsid w:val="002238E7"/>
    <w:rsid w:val="00223A72"/>
    <w:rsid w:val="00223A8A"/>
    <w:rsid w:val="00223BA4"/>
    <w:rsid w:val="00223CA5"/>
    <w:rsid w:val="00223D7D"/>
    <w:rsid w:val="00223F08"/>
    <w:rsid w:val="00223F41"/>
    <w:rsid w:val="00224152"/>
    <w:rsid w:val="00224175"/>
    <w:rsid w:val="0022429F"/>
    <w:rsid w:val="002242A5"/>
    <w:rsid w:val="002244B8"/>
    <w:rsid w:val="002244D8"/>
    <w:rsid w:val="00224628"/>
    <w:rsid w:val="00224690"/>
    <w:rsid w:val="0022469B"/>
    <w:rsid w:val="0022469F"/>
    <w:rsid w:val="002246EA"/>
    <w:rsid w:val="0022470B"/>
    <w:rsid w:val="002248A3"/>
    <w:rsid w:val="002249DB"/>
    <w:rsid w:val="00224B34"/>
    <w:rsid w:val="00224B68"/>
    <w:rsid w:val="00224DCE"/>
    <w:rsid w:val="00224DE3"/>
    <w:rsid w:val="00224F06"/>
    <w:rsid w:val="00224F2D"/>
    <w:rsid w:val="00224FAC"/>
    <w:rsid w:val="00225081"/>
    <w:rsid w:val="00225097"/>
    <w:rsid w:val="0022525D"/>
    <w:rsid w:val="00225268"/>
    <w:rsid w:val="00225324"/>
    <w:rsid w:val="002253C9"/>
    <w:rsid w:val="0022542B"/>
    <w:rsid w:val="00225604"/>
    <w:rsid w:val="00225723"/>
    <w:rsid w:val="0022577F"/>
    <w:rsid w:val="00225880"/>
    <w:rsid w:val="00225888"/>
    <w:rsid w:val="00225959"/>
    <w:rsid w:val="00225A1B"/>
    <w:rsid w:val="00225A4D"/>
    <w:rsid w:val="00225AD0"/>
    <w:rsid w:val="00225B1C"/>
    <w:rsid w:val="00225BF0"/>
    <w:rsid w:val="00225C0F"/>
    <w:rsid w:val="00225D67"/>
    <w:rsid w:val="00225DB6"/>
    <w:rsid w:val="00225E27"/>
    <w:rsid w:val="00225E50"/>
    <w:rsid w:val="00225F83"/>
    <w:rsid w:val="00225FB2"/>
    <w:rsid w:val="00226089"/>
    <w:rsid w:val="002261FE"/>
    <w:rsid w:val="00226252"/>
    <w:rsid w:val="002262B7"/>
    <w:rsid w:val="0022631E"/>
    <w:rsid w:val="0022633E"/>
    <w:rsid w:val="002263B0"/>
    <w:rsid w:val="002263EE"/>
    <w:rsid w:val="0022643E"/>
    <w:rsid w:val="00226542"/>
    <w:rsid w:val="00226745"/>
    <w:rsid w:val="002267F1"/>
    <w:rsid w:val="002268D5"/>
    <w:rsid w:val="00226B2B"/>
    <w:rsid w:val="00226C68"/>
    <w:rsid w:val="00226CDF"/>
    <w:rsid w:val="00226CE5"/>
    <w:rsid w:val="00226EBF"/>
    <w:rsid w:val="00226FC2"/>
    <w:rsid w:val="00227035"/>
    <w:rsid w:val="002271F7"/>
    <w:rsid w:val="0022729F"/>
    <w:rsid w:val="00227463"/>
    <w:rsid w:val="00227551"/>
    <w:rsid w:val="0022761D"/>
    <w:rsid w:val="00227715"/>
    <w:rsid w:val="00227870"/>
    <w:rsid w:val="00227872"/>
    <w:rsid w:val="002279F3"/>
    <w:rsid w:val="00227A79"/>
    <w:rsid w:val="00227A8F"/>
    <w:rsid w:val="00227A9D"/>
    <w:rsid w:val="00227AD2"/>
    <w:rsid w:val="00227C75"/>
    <w:rsid w:val="00227C82"/>
    <w:rsid w:val="00227C85"/>
    <w:rsid w:val="00227D0E"/>
    <w:rsid w:val="00227FB8"/>
    <w:rsid w:val="0023011F"/>
    <w:rsid w:val="00230155"/>
    <w:rsid w:val="002301BF"/>
    <w:rsid w:val="00230276"/>
    <w:rsid w:val="0023027B"/>
    <w:rsid w:val="002302CB"/>
    <w:rsid w:val="00230357"/>
    <w:rsid w:val="002303A1"/>
    <w:rsid w:val="00230497"/>
    <w:rsid w:val="0023049D"/>
    <w:rsid w:val="002305C1"/>
    <w:rsid w:val="00230688"/>
    <w:rsid w:val="00230699"/>
    <w:rsid w:val="00230704"/>
    <w:rsid w:val="002307D2"/>
    <w:rsid w:val="002308F3"/>
    <w:rsid w:val="00230A52"/>
    <w:rsid w:val="00230A7C"/>
    <w:rsid w:val="00230AD7"/>
    <w:rsid w:val="00230AF3"/>
    <w:rsid w:val="00230BC4"/>
    <w:rsid w:val="00230D9C"/>
    <w:rsid w:val="00230D9F"/>
    <w:rsid w:val="00230E5F"/>
    <w:rsid w:val="00230E8C"/>
    <w:rsid w:val="00231242"/>
    <w:rsid w:val="002314AA"/>
    <w:rsid w:val="00231583"/>
    <w:rsid w:val="00231607"/>
    <w:rsid w:val="00231642"/>
    <w:rsid w:val="00231776"/>
    <w:rsid w:val="0023194B"/>
    <w:rsid w:val="00231AD6"/>
    <w:rsid w:val="00231AEC"/>
    <w:rsid w:val="00231B8D"/>
    <w:rsid w:val="00231C9A"/>
    <w:rsid w:val="00231CB6"/>
    <w:rsid w:val="00231EBF"/>
    <w:rsid w:val="00231FC7"/>
    <w:rsid w:val="00232125"/>
    <w:rsid w:val="0023213F"/>
    <w:rsid w:val="00232241"/>
    <w:rsid w:val="00232325"/>
    <w:rsid w:val="00232492"/>
    <w:rsid w:val="002326E1"/>
    <w:rsid w:val="002327D9"/>
    <w:rsid w:val="00232834"/>
    <w:rsid w:val="002328A1"/>
    <w:rsid w:val="00232971"/>
    <w:rsid w:val="002329BB"/>
    <w:rsid w:val="002329CD"/>
    <w:rsid w:val="002329E2"/>
    <w:rsid w:val="00232A23"/>
    <w:rsid w:val="00232CD1"/>
    <w:rsid w:val="00232CF0"/>
    <w:rsid w:val="00232E07"/>
    <w:rsid w:val="00232FE6"/>
    <w:rsid w:val="0023305F"/>
    <w:rsid w:val="00233128"/>
    <w:rsid w:val="002332F2"/>
    <w:rsid w:val="002333CC"/>
    <w:rsid w:val="00233433"/>
    <w:rsid w:val="00233511"/>
    <w:rsid w:val="00233557"/>
    <w:rsid w:val="00233560"/>
    <w:rsid w:val="002335A8"/>
    <w:rsid w:val="00233720"/>
    <w:rsid w:val="0023376D"/>
    <w:rsid w:val="00233836"/>
    <w:rsid w:val="00233A01"/>
    <w:rsid w:val="00233AAF"/>
    <w:rsid w:val="00233BD1"/>
    <w:rsid w:val="00233BF2"/>
    <w:rsid w:val="00233DDD"/>
    <w:rsid w:val="00233E34"/>
    <w:rsid w:val="00233E44"/>
    <w:rsid w:val="00233E68"/>
    <w:rsid w:val="00233FF4"/>
    <w:rsid w:val="0023417D"/>
    <w:rsid w:val="00234212"/>
    <w:rsid w:val="0023424A"/>
    <w:rsid w:val="00234296"/>
    <w:rsid w:val="00234338"/>
    <w:rsid w:val="0023433F"/>
    <w:rsid w:val="0023435A"/>
    <w:rsid w:val="00234404"/>
    <w:rsid w:val="0023440D"/>
    <w:rsid w:val="00234578"/>
    <w:rsid w:val="002345D2"/>
    <w:rsid w:val="0023464F"/>
    <w:rsid w:val="0023472B"/>
    <w:rsid w:val="002347DB"/>
    <w:rsid w:val="0023489A"/>
    <w:rsid w:val="00234926"/>
    <w:rsid w:val="00234948"/>
    <w:rsid w:val="00234991"/>
    <w:rsid w:val="00234A56"/>
    <w:rsid w:val="00234A62"/>
    <w:rsid w:val="00234AD7"/>
    <w:rsid w:val="00234B08"/>
    <w:rsid w:val="00234B36"/>
    <w:rsid w:val="00234BAA"/>
    <w:rsid w:val="00234BEB"/>
    <w:rsid w:val="00234E09"/>
    <w:rsid w:val="00234F00"/>
    <w:rsid w:val="00234F11"/>
    <w:rsid w:val="00234F19"/>
    <w:rsid w:val="00234F22"/>
    <w:rsid w:val="002350A6"/>
    <w:rsid w:val="0023512F"/>
    <w:rsid w:val="00235271"/>
    <w:rsid w:val="002353A2"/>
    <w:rsid w:val="002353CE"/>
    <w:rsid w:val="00235490"/>
    <w:rsid w:val="002354EA"/>
    <w:rsid w:val="00235561"/>
    <w:rsid w:val="00235625"/>
    <w:rsid w:val="00235723"/>
    <w:rsid w:val="0023577B"/>
    <w:rsid w:val="002358F8"/>
    <w:rsid w:val="002359EC"/>
    <w:rsid w:val="00235BA9"/>
    <w:rsid w:val="00235BCB"/>
    <w:rsid w:val="00235E58"/>
    <w:rsid w:val="00235F08"/>
    <w:rsid w:val="002360A1"/>
    <w:rsid w:val="002361C7"/>
    <w:rsid w:val="0023627A"/>
    <w:rsid w:val="00236369"/>
    <w:rsid w:val="00236433"/>
    <w:rsid w:val="0023649C"/>
    <w:rsid w:val="00236502"/>
    <w:rsid w:val="00236551"/>
    <w:rsid w:val="00236769"/>
    <w:rsid w:val="00236829"/>
    <w:rsid w:val="00236831"/>
    <w:rsid w:val="00236B17"/>
    <w:rsid w:val="00236B4A"/>
    <w:rsid w:val="00236BE1"/>
    <w:rsid w:val="00236C36"/>
    <w:rsid w:val="00236E86"/>
    <w:rsid w:val="00236EFC"/>
    <w:rsid w:val="00236F3E"/>
    <w:rsid w:val="00236FDC"/>
    <w:rsid w:val="00237003"/>
    <w:rsid w:val="00237031"/>
    <w:rsid w:val="0023712E"/>
    <w:rsid w:val="00237167"/>
    <w:rsid w:val="00237198"/>
    <w:rsid w:val="002371FC"/>
    <w:rsid w:val="00237212"/>
    <w:rsid w:val="00237274"/>
    <w:rsid w:val="0023727A"/>
    <w:rsid w:val="002372EB"/>
    <w:rsid w:val="00237435"/>
    <w:rsid w:val="00237623"/>
    <w:rsid w:val="00237626"/>
    <w:rsid w:val="00237670"/>
    <w:rsid w:val="002377B4"/>
    <w:rsid w:val="002378EF"/>
    <w:rsid w:val="00237904"/>
    <w:rsid w:val="0023792C"/>
    <w:rsid w:val="00237936"/>
    <w:rsid w:val="00237986"/>
    <w:rsid w:val="00237A75"/>
    <w:rsid w:val="00237A92"/>
    <w:rsid w:val="00237AE8"/>
    <w:rsid w:val="00237B07"/>
    <w:rsid w:val="00237BE5"/>
    <w:rsid w:val="00237C4D"/>
    <w:rsid w:val="00237CF0"/>
    <w:rsid w:val="00237D26"/>
    <w:rsid w:val="00237FE2"/>
    <w:rsid w:val="0024000E"/>
    <w:rsid w:val="002400DB"/>
    <w:rsid w:val="00240210"/>
    <w:rsid w:val="0024021D"/>
    <w:rsid w:val="00240221"/>
    <w:rsid w:val="002402BF"/>
    <w:rsid w:val="002402F3"/>
    <w:rsid w:val="00240442"/>
    <w:rsid w:val="00240449"/>
    <w:rsid w:val="00240506"/>
    <w:rsid w:val="00240520"/>
    <w:rsid w:val="00240536"/>
    <w:rsid w:val="00240677"/>
    <w:rsid w:val="0024083E"/>
    <w:rsid w:val="00240980"/>
    <w:rsid w:val="002409A9"/>
    <w:rsid w:val="00240A11"/>
    <w:rsid w:val="00240BD4"/>
    <w:rsid w:val="00240C52"/>
    <w:rsid w:val="00240D1E"/>
    <w:rsid w:val="00240DF6"/>
    <w:rsid w:val="00240F16"/>
    <w:rsid w:val="00240F1B"/>
    <w:rsid w:val="00240F20"/>
    <w:rsid w:val="00240F56"/>
    <w:rsid w:val="0024102F"/>
    <w:rsid w:val="00241043"/>
    <w:rsid w:val="0024105B"/>
    <w:rsid w:val="0024107C"/>
    <w:rsid w:val="0024111E"/>
    <w:rsid w:val="00241191"/>
    <w:rsid w:val="00241383"/>
    <w:rsid w:val="00241480"/>
    <w:rsid w:val="002414C3"/>
    <w:rsid w:val="002414DB"/>
    <w:rsid w:val="002415BB"/>
    <w:rsid w:val="002415C9"/>
    <w:rsid w:val="0024162D"/>
    <w:rsid w:val="002416A3"/>
    <w:rsid w:val="002416C2"/>
    <w:rsid w:val="002416E5"/>
    <w:rsid w:val="002417D1"/>
    <w:rsid w:val="00241855"/>
    <w:rsid w:val="002418E1"/>
    <w:rsid w:val="00241A62"/>
    <w:rsid w:val="00241A6D"/>
    <w:rsid w:val="00241B6E"/>
    <w:rsid w:val="00241BBC"/>
    <w:rsid w:val="00241D2D"/>
    <w:rsid w:val="00241EB9"/>
    <w:rsid w:val="00241F5B"/>
    <w:rsid w:val="00241FC2"/>
    <w:rsid w:val="00242170"/>
    <w:rsid w:val="002421DB"/>
    <w:rsid w:val="0024230D"/>
    <w:rsid w:val="0024238C"/>
    <w:rsid w:val="0024239A"/>
    <w:rsid w:val="0024246C"/>
    <w:rsid w:val="002424CE"/>
    <w:rsid w:val="002424D7"/>
    <w:rsid w:val="0024257A"/>
    <w:rsid w:val="002426FA"/>
    <w:rsid w:val="00242713"/>
    <w:rsid w:val="0024274A"/>
    <w:rsid w:val="00242787"/>
    <w:rsid w:val="002427A2"/>
    <w:rsid w:val="002427AC"/>
    <w:rsid w:val="00242832"/>
    <w:rsid w:val="00242867"/>
    <w:rsid w:val="002428BC"/>
    <w:rsid w:val="002428E0"/>
    <w:rsid w:val="0024298A"/>
    <w:rsid w:val="002429F5"/>
    <w:rsid w:val="00242AC1"/>
    <w:rsid w:val="00242B1A"/>
    <w:rsid w:val="00242E59"/>
    <w:rsid w:val="00242FD9"/>
    <w:rsid w:val="00242FF1"/>
    <w:rsid w:val="00243316"/>
    <w:rsid w:val="00243466"/>
    <w:rsid w:val="002434B9"/>
    <w:rsid w:val="00243501"/>
    <w:rsid w:val="00243574"/>
    <w:rsid w:val="0024375E"/>
    <w:rsid w:val="0024385E"/>
    <w:rsid w:val="00243915"/>
    <w:rsid w:val="00243973"/>
    <w:rsid w:val="00243A07"/>
    <w:rsid w:val="00243A0D"/>
    <w:rsid w:val="00243A5E"/>
    <w:rsid w:val="00243A9F"/>
    <w:rsid w:val="00243AF7"/>
    <w:rsid w:val="00243B11"/>
    <w:rsid w:val="00243C38"/>
    <w:rsid w:val="00243C50"/>
    <w:rsid w:val="00243CA5"/>
    <w:rsid w:val="00243CCD"/>
    <w:rsid w:val="00243D8F"/>
    <w:rsid w:val="00243DBF"/>
    <w:rsid w:val="00243F55"/>
    <w:rsid w:val="00243F84"/>
    <w:rsid w:val="00243F98"/>
    <w:rsid w:val="002440F9"/>
    <w:rsid w:val="0024414E"/>
    <w:rsid w:val="0024416E"/>
    <w:rsid w:val="002441C2"/>
    <w:rsid w:val="0024420E"/>
    <w:rsid w:val="002443AA"/>
    <w:rsid w:val="00244469"/>
    <w:rsid w:val="002444FA"/>
    <w:rsid w:val="002445D0"/>
    <w:rsid w:val="002446A8"/>
    <w:rsid w:val="002446EE"/>
    <w:rsid w:val="002448F4"/>
    <w:rsid w:val="00244945"/>
    <w:rsid w:val="0024494B"/>
    <w:rsid w:val="00244957"/>
    <w:rsid w:val="00244A0F"/>
    <w:rsid w:val="00244A81"/>
    <w:rsid w:val="00244AA7"/>
    <w:rsid w:val="00244B23"/>
    <w:rsid w:val="00244BAC"/>
    <w:rsid w:val="00244BBC"/>
    <w:rsid w:val="00244BEE"/>
    <w:rsid w:val="00244C59"/>
    <w:rsid w:val="00244C5B"/>
    <w:rsid w:val="00244C92"/>
    <w:rsid w:val="00244CD5"/>
    <w:rsid w:val="00244D72"/>
    <w:rsid w:val="00244D84"/>
    <w:rsid w:val="00244DB1"/>
    <w:rsid w:val="00244DDC"/>
    <w:rsid w:val="00244E85"/>
    <w:rsid w:val="00244EF2"/>
    <w:rsid w:val="00245157"/>
    <w:rsid w:val="00245159"/>
    <w:rsid w:val="0024518F"/>
    <w:rsid w:val="00245222"/>
    <w:rsid w:val="002453A3"/>
    <w:rsid w:val="0024553D"/>
    <w:rsid w:val="002455AE"/>
    <w:rsid w:val="002455D9"/>
    <w:rsid w:val="00245770"/>
    <w:rsid w:val="002457B8"/>
    <w:rsid w:val="00245801"/>
    <w:rsid w:val="00245849"/>
    <w:rsid w:val="00245A07"/>
    <w:rsid w:val="00245A79"/>
    <w:rsid w:val="00245AD0"/>
    <w:rsid w:val="00245B19"/>
    <w:rsid w:val="00245B22"/>
    <w:rsid w:val="00245C1E"/>
    <w:rsid w:val="00245C37"/>
    <w:rsid w:val="0024607D"/>
    <w:rsid w:val="0024617B"/>
    <w:rsid w:val="0024619B"/>
    <w:rsid w:val="00246278"/>
    <w:rsid w:val="00246333"/>
    <w:rsid w:val="00246449"/>
    <w:rsid w:val="002464D1"/>
    <w:rsid w:val="0024660F"/>
    <w:rsid w:val="002466F6"/>
    <w:rsid w:val="00246875"/>
    <w:rsid w:val="0024691C"/>
    <w:rsid w:val="00246ABF"/>
    <w:rsid w:val="00246AD6"/>
    <w:rsid w:val="00246AF3"/>
    <w:rsid w:val="00246B2A"/>
    <w:rsid w:val="00246B80"/>
    <w:rsid w:val="00246B85"/>
    <w:rsid w:val="00246C01"/>
    <w:rsid w:val="00246C4D"/>
    <w:rsid w:val="00246C50"/>
    <w:rsid w:val="00246C5F"/>
    <w:rsid w:val="00246F2C"/>
    <w:rsid w:val="00246F43"/>
    <w:rsid w:val="00247032"/>
    <w:rsid w:val="00247036"/>
    <w:rsid w:val="0024709C"/>
    <w:rsid w:val="002470B6"/>
    <w:rsid w:val="0024733E"/>
    <w:rsid w:val="0024736E"/>
    <w:rsid w:val="002473DB"/>
    <w:rsid w:val="002474CB"/>
    <w:rsid w:val="0024756C"/>
    <w:rsid w:val="00247579"/>
    <w:rsid w:val="0024778C"/>
    <w:rsid w:val="002477A3"/>
    <w:rsid w:val="002477FE"/>
    <w:rsid w:val="0024781B"/>
    <w:rsid w:val="00247B0B"/>
    <w:rsid w:val="00247B87"/>
    <w:rsid w:val="00247DF4"/>
    <w:rsid w:val="00247E51"/>
    <w:rsid w:val="00247E8B"/>
    <w:rsid w:val="00248AFD"/>
    <w:rsid w:val="0025004B"/>
    <w:rsid w:val="00250079"/>
    <w:rsid w:val="002501CB"/>
    <w:rsid w:val="002501EA"/>
    <w:rsid w:val="002502AA"/>
    <w:rsid w:val="00250378"/>
    <w:rsid w:val="0025045A"/>
    <w:rsid w:val="002504E3"/>
    <w:rsid w:val="00250626"/>
    <w:rsid w:val="00250747"/>
    <w:rsid w:val="002507E1"/>
    <w:rsid w:val="002507EE"/>
    <w:rsid w:val="002508BD"/>
    <w:rsid w:val="00250959"/>
    <w:rsid w:val="002509BD"/>
    <w:rsid w:val="00250A09"/>
    <w:rsid w:val="00250AF0"/>
    <w:rsid w:val="00250BDB"/>
    <w:rsid w:val="00250CC4"/>
    <w:rsid w:val="00250CD3"/>
    <w:rsid w:val="00250D3F"/>
    <w:rsid w:val="00250D7E"/>
    <w:rsid w:val="00250E11"/>
    <w:rsid w:val="00250E9F"/>
    <w:rsid w:val="00250EB2"/>
    <w:rsid w:val="00250F0D"/>
    <w:rsid w:val="00250F76"/>
    <w:rsid w:val="00250FCB"/>
    <w:rsid w:val="00250FF6"/>
    <w:rsid w:val="00251020"/>
    <w:rsid w:val="002510E4"/>
    <w:rsid w:val="002511BB"/>
    <w:rsid w:val="002512F9"/>
    <w:rsid w:val="00251381"/>
    <w:rsid w:val="0025141E"/>
    <w:rsid w:val="00251435"/>
    <w:rsid w:val="00251472"/>
    <w:rsid w:val="0025157D"/>
    <w:rsid w:val="002515D8"/>
    <w:rsid w:val="002515E5"/>
    <w:rsid w:val="0025161E"/>
    <w:rsid w:val="0025167C"/>
    <w:rsid w:val="002518C4"/>
    <w:rsid w:val="00251A22"/>
    <w:rsid w:val="00251B9C"/>
    <w:rsid w:val="00251CDD"/>
    <w:rsid w:val="00251CE8"/>
    <w:rsid w:val="00251E05"/>
    <w:rsid w:val="0025210E"/>
    <w:rsid w:val="0025212E"/>
    <w:rsid w:val="00252133"/>
    <w:rsid w:val="002523AD"/>
    <w:rsid w:val="002526D4"/>
    <w:rsid w:val="002526E3"/>
    <w:rsid w:val="002529E1"/>
    <w:rsid w:val="00252A10"/>
    <w:rsid w:val="00252A16"/>
    <w:rsid w:val="00252AB6"/>
    <w:rsid w:val="00252B3C"/>
    <w:rsid w:val="00252C20"/>
    <w:rsid w:val="00252C58"/>
    <w:rsid w:val="00252EC2"/>
    <w:rsid w:val="002530E0"/>
    <w:rsid w:val="002531EE"/>
    <w:rsid w:val="0025323A"/>
    <w:rsid w:val="0025346C"/>
    <w:rsid w:val="002534C6"/>
    <w:rsid w:val="00253593"/>
    <w:rsid w:val="00253621"/>
    <w:rsid w:val="00253637"/>
    <w:rsid w:val="00253665"/>
    <w:rsid w:val="0025368A"/>
    <w:rsid w:val="002536B0"/>
    <w:rsid w:val="002536FF"/>
    <w:rsid w:val="0025371D"/>
    <w:rsid w:val="002537D8"/>
    <w:rsid w:val="0025385C"/>
    <w:rsid w:val="0025389E"/>
    <w:rsid w:val="00253B05"/>
    <w:rsid w:val="00253B34"/>
    <w:rsid w:val="00253B82"/>
    <w:rsid w:val="00253C0A"/>
    <w:rsid w:val="00253C36"/>
    <w:rsid w:val="00253C69"/>
    <w:rsid w:val="00253D9C"/>
    <w:rsid w:val="00253E27"/>
    <w:rsid w:val="00253F48"/>
    <w:rsid w:val="00254018"/>
    <w:rsid w:val="00254106"/>
    <w:rsid w:val="0025418E"/>
    <w:rsid w:val="00254222"/>
    <w:rsid w:val="00254337"/>
    <w:rsid w:val="0025438D"/>
    <w:rsid w:val="002543DC"/>
    <w:rsid w:val="00254476"/>
    <w:rsid w:val="00254507"/>
    <w:rsid w:val="0025457B"/>
    <w:rsid w:val="002546F2"/>
    <w:rsid w:val="00254735"/>
    <w:rsid w:val="00254AB8"/>
    <w:rsid w:val="00254ABB"/>
    <w:rsid w:val="00254C95"/>
    <w:rsid w:val="00254C96"/>
    <w:rsid w:val="00254F0F"/>
    <w:rsid w:val="00254F10"/>
    <w:rsid w:val="00254F63"/>
    <w:rsid w:val="00254FA0"/>
    <w:rsid w:val="00255000"/>
    <w:rsid w:val="0025500F"/>
    <w:rsid w:val="00255052"/>
    <w:rsid w:val="00255260"/>
    <w:rsid w:val="00255281"/>
    <w:rsid w:val="0025554B"/>
    <w:rsid w:val="002556B1"/>
    <w:rsid w:val="002558A3"/>
    <w:rsid w:val="00255A76"/>
    <w:rsid w:val="00255BA1"/>
    <w:rsid w:val="00255BC6"/>
    <w:rsid w:val="00255D18"/>
    <w:rsid w:val="00255D94"/>
    <w:rsid w:val="00255DCD"/>
    <w:rsid w:val="00255E78"/>
    <w:rsid w:val="00255EB6"/>
    <w:rsid w:val="00255EDD"/>
    <w:rsid w:val="00255F8E"/>
    <w:rsid w:val="002561E7"/>
    <w:rsid w:val="0025624E"/>
    <w:rsid w:val="0025632E"/>
    <w:rsid w:val="002563BD"/>
    <w:rsid w:val="00256485"/>
    <w:rsid w:val="002564AC"/>
    <w:rsid w:val="00256613"/>
    <w:rsid w:val="0025661E"/>
    <w:rsid w:val="0025664E"/>
    <w:rsid w:val="00256665"/>
    <w:rsid w:val="00256686"/>
    <w:rsid w:val="002566BC"/>
    <w:rsid w:val="002568DF"/>
    <w:rsid w:val="0025691A"/>
    <w:rsid w:val="00256B44"/>
    <w:rsid w:val="00256B70"/>
    <w:rsid w:val="00256BBA"/>
    <w:rsid w:val="00256D48"/>
    <w:rsid w:val="00256EBA"/>
    <w:rsid w:val="00256EEB"/>
    <w:rsid w:val="00256FC8"/>
    <w:rsid w:val="002572C1"/>
    <w:rsid w:val="00257367"/>
    <w:rsid w:val="00257407"/>
    <w:rsid w:val="00257516"/>
    <w:rsid w:val="00257550"/>
    <w:rsid w:val="002577CF"/>
    <w:rsid w:val="00257870"/>
    <w:rsid w:val="002579A7"/>
    <w:rsid w:val="002579F0"/>
    <w:rsid w:val="00257A11"/>
    <w:rsid w:val="00257AAD"/>
    <w:rsid w:val="00257B5A"/>
    <w:rsid w:val="00257B77"/>
    <w:rsid w:val="00257BC7"/>
    <w:rsid w:val="00257BE6"/>
    <w:rsid w:val="00257BF5"/>
    <w:rsid w:val="00257CB0"/>
    <w:rsid w:val="00257D3E"/>
    <w:rsid w:val="00257DC5"/>
    <w:rsid w:val="00257DC6"/>
    <w:rsid w:val="00257DDE"/>
    <w:rsid w:val="00257E1E"/>
    <w:rsid w:val="00257EEF"/>
    <w:rsid w:val="00257F13"/>
    <w:rsid w:val="00260022"/>
    <w:rsid w:val="00260067"/>
    <w:rsid w:val="00260235"/>
    <w:rsid w:val="002602EC"/>
    <w:rsid w:val="00260344"/>
    <w:rsid w:val="00260442"/>
    <w:rsid w:val="00260645"/>
    <w:rsid w:val="00260714"/>
    <w:rsid w:val="00260789"/>
    <w:rsid w:val="00260895"/>
    <w:rsid w:val="002608CA"/>
    <w:rsid w:val="00260918"/>
    <w:rsid w:val="00260957"/>
    <w:rsid w:val="00260984"/>
    <w:rsid w:val="00260AE6"/>
    <w:rsid w:val="00260B14"/>
    <w:rsid w:val="00260C79"/>
    <w:rsid w:val="00260E2E"/>
    <w:rsid w:val="00260E51"/>
    <w:rsid w:val="00260E67"/>
    <w:rsid w:val="00261081"/>
    <w:rsid w:val="002610A5"/>
    <w:rsid w:val="002610AD"/>
    <w:rsid w:val="002610F9"/>
    <w:rsid w:val="0026120C"/>
    <w:rsid w:val="00261289"/>
    <w:rsid w:val="002613E3"/>
    <w:rsid w:val="002614E7"/>
    <w:rsid w:val="002614EF"/>
    <w:rsid w:val="00261521"/>
    <w:rsid w:val="002616A2"/>
    <w:rsid w:val="002617B1"/>
    <w:rsid w:val="00261965"/>
    <w:rsid w:val="0026197E"/>
    <w:rsid w:val="00261995"/>
    <w:rsid w:val="002619C8"/>
    <w:rsid w:val="00261AC3"/>
    <w:rsid w:val="00261BCC"/>
    <w:rsid w:val="00261D0B"/>
    <w:rsid w:val="00261E1D"/>
    <w:rsid w:val="00261E26"/>
    <w:rsid w:val="00261E9B"/>
    <w:rsid w:val="00261FD6"/>
    <w:rsid w:val="0026220F"/>
    <w:rsid w:val="0026225F"/>
    <w:rsid w:val="002622A0"/>
    <w:rsid w:val="00262345"/>
    <w:rsid w:val="002623C2"/>
    <w:rsid w:val="002623CA"/>
    <w:rsid w:val="002623CD"/>
    <w:rsid w:val="002623F6"/>
    <w:rsid w:val="0026243D"/>
    <w:rsid w:val="00262456"/>
    <w:rsid w:val="00262482"/>
    <w:rsid w:val="002624B7"/>
    <w:rsid w:val="0026258E"/>
    <w:rsid w:val="002625BD"/>
    <w:rsid w:val="0026279E"/>
    <w:rsid w:val="002627A7"/>
    <w:rsid w:val="002629D7"/>
    <w:rsid w:val="002629DF"/>
    <w:rsid w:val="00262C6F"/>
    <w:rsid w:val="00262CAC"/>
    <w:rsid w:val="00262DAE"/>
    <w:rsid w:val="00262DE5"/>
    <w:rsid w:val="00262E67"/>
    <w:rsid w:val="0026320B"/>
    <w:rsid w:val="002632AA"/>
    <w:rsid w:val="0026337A"/>
    <w:rsid w:val="002633B7"/>
    <w:rsid w:val="0026343F"/>
    <w:rsid w:val="00263644"/>
    <w:rsid w:val="00263710"/>
    <w:rsid w:val="0026391C"/>
    <w:rsid w:val="002639D9"/>
    <w:rsid w:val="00263A40"/>
    <w:rsid w:val="00263B9A"/>
    <w:rsid w:val="00263BC7"/>
    <w:rsid w:val="00263C25"/>
    <w:rsid w:val="00263C95"/>
    <w:rsid w:val="00263C9B"/>
    <w:rsid w:val="00263D6A"/>
    <w:rsid w:val="00263E05"/>
    <w:rsid w:val="00263F61"/>
    <w:rsid w:val="0026412D"/>
    <w:rsid w:val="0026418B"/>
    <w:rsid w:val="00264199"/>
    <w:rsid w:val="00264204"/>
    <w:rsid w:val="00264288"/>
    <w:rsid w:val="0026428C"/>
    <w:rsid w:val="00264322"/>
    <w:rsid w:val="002643D4"/>
    <w:rsid w:val="0026443E"/>
    <w:rsid w:val="00264602"/>
    <w:rsid w:val="002646B0"/>
    <w:rsid w:val="002646F1"/>
    <w:rsid w:val="002647CE"/>
    <w:rsid w:val="002648B3"/>
    <w:rsid w:val="002649A2"/>
    <w:rsid w:val="002649EC"/>
    <w:rsid w:val="002649EF"/>
    <w:rsid w:val="00264B95"/>
    <w:rsid w:val="00264ED1"/>
    <w:rsid w:val="00264F6F"/>
    <w:rsid w:val="0026500B"/>
    <w:rsid w:val="002652F1"/>
    <w:rsid w:val="00265300"/>
    <w:rsid w:val="00265548"/>
    <w:rsid w:val="0026557D"/>
    <w:rsid w:val="00265641"/>
    <w:rsid w:val="002656A6"/>
    <w:rsid w:val="00265787"/>
    <w:rsid w:val="0026590A"/>
    <w:rsid w:val="00265911"/>
    <w:rsid w:val="00265998"/>
    <w:rsid w:val="00265C31"/>
    <w:rsid w:val="00265CC6"/>
    <w:rsid w:val="00265D6F"/>
    <w:rsid w:val="00265DDD"/>
    <w:rsid w:val="00265E83"/>
    <w:rsid w:val="00265E85"/>
    <w:rsid w:val="00265F64"/>
    <w:rsid w:val="00266000"/>
    <w:rsid w:val="0026602B"/>
    <w:rsid w:val="0026611D"/>
    <w:rsid w:val="00266140"/>
    <w:rsid w:val="0026615A"/>
    <w:rsid w:val="00266190"/>
    <w:rsid w:val="002661A6"/>
    <w:rsid w:val="002661D2"/>
    <w:rsid w:val="002661D6"/>
    <w:rsid w:val="00266253"/>
    <w:rsid w:val="002662BE"/>
    <w:rsid w:val="002662F7"/>
    <w:rsid w:val="00266337"/>
    <w:rsid w:val="002663F9"/>
    <w:rsid w:val="00266606"/>
    <w:rsid w:val="00266701"/>
    <w:rsid w:val="00266713"/>
    <w:rsid w:val="002667D4"/>
    <w:rsid w:val="002667F6"/>
    <w:rsid w:val="0026686C"/>
    <w:rsid w:val="00266881"/>
    <w:rsid w:val="002668B6"/>
    <w:rsid w:val="002668CA"/>
    <w:rsid w:val="0026697A"/>
    <w:rsid w:val="0026698B"/>
    <w:rsid w:val="00266993"/>
    <w:rsid w:val="00266A27"/>
    <w:rsid w:val="00266AAD"/>
    <w:rsid w:val="00266AB9"/>
    <w:rsid w:val="00266B49"/>
    <w:rsid w:val="00266E04"/>
    <w:rsid w:val="00266E56"/>
    <w:rsid w:val="00266F30"/>
    <w:rsid w:val="00266F79"/>
    <w:rsid w:val="0026706A"/>
    <w:rsid w:val="002670F4"/>
    <w:rsid w:val="0026719C"/>
    <w:rsid w:val="0026722C"/>
    <w:rsid w:val="0026736D"/>
    <w:rsid w:val="0026739D"/>
    <w:rsid w:val="002673AD"/>
    <w:rsid w:val="0026742F"/>
    <w:rsid w:val="002674E5"/>
    <w:rsid w:val="00267523"/>
    <w:rsid w:val="0026758E"/>
    <w:rsid w:val="00267688"/>
    <w:rsid w:val="0026769A"/>
    <w:rsid w:val="002677EE"/>
    <w:rsid w:val="002678AB"/>
    <w:rsid w:val="00267A4F"/>
    <w:rsid w:val="00267AE4"/>
    <w:rsid w:val="00267AEB"/>
    <w:rsid w:val="00267CCF"/>
    <w:rsid w:val="00267CE9"/>
    <w:rsid w:val="00267D23"/>
    <w:rsid w:val="00267EB0"/>
    <w:rsid w:val="00267F55"/>
    <w:rsid w:val="002700F2"/>
    <w:rsid w:val="00270182"/>
    <w:rsid w:val="002701B3"/>
    <w:rsid w:val="0027023A"/>
    <w:rsid w:val="002702BA"/>
    <w:rsid w:val="00270325"/>
    <w:rsid w:val="002703A8"/>
    <w:rsid w:val="002703F3"/>
    <w:rsid w:val="00270431"/>
    <w:rsid w:val="002705DD"/>
    <w:rsid w:val="00270643"/>
    <w:rsid w:val="002706B9"/>
    <w:rsid w:val="002706D7"/>
    <w:rsid w:val="00270731"/>
    <w:rsid w:val="00270783"/>
    <w:rsid w:val="00270852"/>
    <w:rsid w:val="002708B4"/>
    <w:rsid w:val="00270993"/>
    <w:rsid w:val="002709F0"/>
    <w:rsid w:val="00270AD8"/>
    <w:rsid w:val="00270BE4"/>
    <w:rsid w:val="00270BFE"/>
    <w:rsid w:val="00270CCF"/>
    <w:rsid w:val="00270CFE"/>
    <w:rsid w:val="00270D86"/>
    <w:rsid w:val="00270E41"/>
    <w:rsid w:val="00270E7C"/>
    <w:rsid w:val="00270F20"/>
    <w:rsid w:val="00270FB4"/>
    <w:rsid w:val="00270FF8"/>
    <w:rsid w:val="00271081"/>
    <w:rsid w:val="002711CF"/>
    <w:rsid w:val="002712BE"/>
    <w:rsid w:val="0027136C"/>
    <w:rsid w:val="00271386"/>
    <w:rsid w:val="0027147E"/>
    <w:rsid w:val="002714AF"/>
    <w:rsid w:val="002714D5"/>
    <w:rsid w:val="00271599"/>
    <w:rsid w:val="002715AA"/>
    <w:rsid w:val="00271716"/>
    <w:rsid w:val="00271887"/>
    <w:rsid w:val="002719AE"/>
    <w:rsid w:val="00271BB7"/>
    <w:rsid w:val="00271D28"/>
    <w:rsid w:val="00271DB2"/>
    <w:rsid w:val="00271EEC"/>
    <w:rsid w:val="00272027"/>
    <w:rsid w:val="0027205D"/>
    <w:rsid w:val="0027219B"/>
    <w:rsid w:val="00272213"/>
    <w:rsid w:val="002723EE"/>
    <w:rsid w:val="002724F8"/>
    <w:rsid w:val="002725E6"/>
    <w:rsid w:val="002726C3"/>
    <w:rsid w:val="002726DF"/>
    <w:rsid w:val="002727C8"/>
    <w:rsid w:val="00272813"/>
    <w:rsid w:val="00272849"/>
    <w:rsid w:val="002728C9"/>
    <w:rsid w:val="00272976"/>
    <w:rsid w:val="002729A0"/>
    <w:rsid w:val="00272A01"/>
    <w:rsid w:val="00272B5A"/>
    <w:rsid w:val="00272C56"/>
    <w:rsid w:val="00272CA7"/>
    <w:rsid w:val="00272D63"/>
    <w:rsid w:val="00272DA3"/>
    <w:rsid w:val="00272E24"/>
    <w:rsid w:val="00272ED2"/>
    <w:rsid w:val="00272EDC"/>
    <w:rsid w:val="00272F2F"/>
    <w:rsid w:val="00272FA0"/>
    <w:rsid w:val="0027314C"/>
    <w:rsid w:val="00273260"/>
    <w:rsid w:val="0027327E"/>
    <w:rsid w:val="0027343F"/>
    <w:rsid w:val="00273456"/>
    <w:rsid w:val="00273459"/>
    <w:rsid w:val="0027350D"/>
    <w:rsid w:val="00273688"/>
    <w:rsid w:val="002736BE"/>
    <w:rsid w:val="002736FE"/>
    <w:rsid w:val="0027373C"/>
    <w:rsid w:val="00273775"/>
    <w:rsid w:val="002737D1"/>
    <w:rsid w:val="00273941"/>
    <w:rsid w:val="00273A23"/>
    <w:rsid w:val="00273A59"/>
    <w:rsid w:val="00273B4F"/>
    <w:rsid w:val="00273B5E"/>
    <w:rsid w:val="00273C0A"/>
    <w:rsid w:val="00273C72"/>
    <w:rsid w:val="00273D39"/>
    <w:rsid w:val="00273EE4"/>
    <w:rsid w:val="00273EF5"/>
    <w:rsid w:val="00273FB4"/>
    <w:rsid w:val="00274050"/>
    <w:rsid w:val="002740CC"/>
    <w:rsid w:val="0027418B"/>
    <w:rsid w:val="002744CA"/>
    <w:rsid w:val="002744EB"/>
    <w:rsid w:val="00274510"/>
    <w:rsid w:val="0027459A"/>
    <w:rsid w:val="002745F0"/>
    <w:rsid w:val="00274622"/>
    <w:rsid w:val="0027469F"/>
    <w:rsid w:val="00274743"/>
    <w:rsid w:val="0027479C"/>
    <w:rsid w:val="00274856"/>
    <w:rsid w:val="0027487B"/>
    <w:rsid w:val="00274885"/>
    <w:rsid w:val="00274A74"/>
    <w:rsid w:val="00274A84"/>
    <w:rsid w:val="00274ADF"/>
    <w:rsid w:val="00274B3C"/>
    <w:rsid w:val="00274B52"/>
    <w:rsid w:val="00274D0F"/>
    <w:rsid w:val="00274DB9"/>
    <w:rsid w:val="00274DD8"/>
    <w:rsid w:val="00274EEA"/>
    <w:rsid w:val="00274FBC"/>
    <w:rsid w:val="00275103"/>
    <w:rsid w:val="00275115"/>
    <w:rsid w:val="00275173"/>
    <w:rsid w:val="00275259"/>
    <w:rsid w:val="002752B6"/>
    <w:rsid w:val="00275381"/>
    <w:rsid w:val="002753D7"/>
    <w:rsid w:val="00275549"/>
    <w:rsid w:val="002755E5"/>
    <w:rsid w:val="002756F5"/>
    <w:rsid w:val="0027574C"/>
    <w:rsid w:val="00275765"/>
    <w:rsid w:val="00275851"/>
    <w:rsid w:val="002758CC"/>
    <w:rsid w:val="00275951"/>
    <w:rsid w:val="0027596F"/>
    <w:rsid w:val="00275972"/>
    <w:rsid w:val="002759CA"/>
    <w:rsid w:val="00275A12"/>
    <w:rsid w:val="00275AB1"/>
    <w:rsid w:val="00275BD2"/>
    <w:rsid w:val="00275C7F"/>
    <w:rsid w:val="00275CD6"/>
    <w:rsid w:val="00275D65"/>
    <w:rsid w:val="00275D85"/>
    <w:rsid w:val="00275F4E"/>
    <w:rsid w:val="0027603C"/>
    <w:rsid w:val="00276041"/>
    <w:rsid w:val="0027610B"/>
    <w:rsid w:val="0027618B"/>
    <w:rsid w:val="002761A4"/>
    <w:rsid w:val="0027624E"/>
    <w:rsid w:val="0027626B"/>
    <w:rsid w:val="002762A2"/>
    <w:rsid w:val="00276307"/>
    <w:rsid w:val="002763B8"/>
    <w:rsid w:val="002763C8"/>
    <w:rsid w:val="0027640C"/>
    <w:rsid w:val="002764A7"/>
    <w:rsid w:val="0027652C"/>
    <w:rsid w:val="0027659F"/>
    <w:rsid w:val="00276607"/>
    <w:rsid w:val="0027676E"/>
    <w:rsid w:val="00276783"/>
    <w:rsid w:val="002767C1"/>
    <w:rsid w:val="00276814"/>
    <w:rsid w:val="0027697A"/>
    <w:rsid w:val="00276A0B"/>
    <w:rsid w:val="00276B37"/>
    <w:rsid w:val="00276BA6"/>
    <w:rsid w:val="00276D3D"/>
    <w:rsid w:val="00276D97"/>
    <w:rsid w:val="00276DBA"/>
    <w:rsid w:val="00276DEA"/>
    <w:rsid w:val="00276EBE"/>
    <w:rsid w:val="00276F7D"/>
    <w:rsid w:val="00276FBA"/>
    <w:rsid w:val="00276FBD"/>
    <w:rsid w:val="00277117"/>
    <w:rsid w:val="002771EC"/>
    <w:rsid w:val="00277366"/>
    <w:rsid w:val="0027736D"/>
    <w:rsid w:val="00277411"/>
    <w:rsid w:val="00277449"/>
    <w:rsid w:val="002774E3"/>
    <w:rsid w:val="0027764E"/>
    <w:rsid w:val="00277771"/>
    <w:rsid w:val="0027777B"/>
    <w:rsid w:val="0027777D"/>
    <w:rsid w:val="002777A7"/>
    <w:rsid w:val="002777D0"/>
    <w:rsid w:val="002777F1"/>
    <w:rsid w:val="00277858"/>
    <w:rsid w:val="0027796E"/>
    <w:rsid w:val="00277B27"/>
    <w:rsid w:val="00277B53"/>
    <w:rsid w:val="00277CD3"/>
    <w:rsid w:val="00277E62"/>
    <w:rsid w:val="00277F39"/>
    <w:rsid w:val="00277F62"/>
    <w:rsid w:val="00280004"/>
    <w:rsid w:val="00280114"/>
    <w:rsid w:val="00280211"/>
    <w:rsid w:val="002802F2"/>
    <w:rsid w:val="00280300"/>
    <w:rsid w:val="00280393"/>
    <w:rsid w:val="00280435"/>
    <w:rsid w:val="002804F9"/>
    <w:rsid w:val="00280631"/>
    <w:rsid w:val="002806DE"/>
    <w:rsid w:val="0028074D"/>
    <w:rsid w:val="0028076C"/>
    <w:rsid w:val="002808E6"/>
    <w:rsid w:val="0028094E"/>
    <w:rsid w:val="002809F1"/>
    <w:rsid w:val="00280A26"/>
    <w:rsid w:val="00280B10"/>
    <w:rsid w:val="00280CEC"/>
    <w:rsid w:val="00280D1F"/>
    <w:rsid w:val="00280EA6"/>
    <w:rsid w:val="00280EE2"/>
    <w:rsid w:val="00280F15"/>
    <w:rsid w:val="00280FDB"/>
    <w:rsid w:val="00281015"/>
    <w:rsid w:val="00281129"/>
    <w:rsid w:val="002811A8"/>
    <w:rsid w:val="00281217"/>
    <w:rsid w:val="0028124C"/>
    <w:rsid w:val="00281253"/>
    <w:rsid w:val="002812B6"/>
    <w:rsid w:val="002813D4"/>
    <w:rsid w:val="00281439"/>
    <w:rsid w:val="002814E3"/>
    <w:rsid w:val="0028163C"/>
    <w:rsid w:val="002816AC"/>
    <w:rsid w:val="00281733"/>
    <w:rsid w:val="002817F5"/>
    <w:rsid w:val="00281833"/>
    <w:rsid w:val="0028184D"/>
    <w:rsid w:val="002818BB"/>
    <w:rsid w:val="00281ACF"/>
    <w:rsid w:val="00281B74"/>
    <w:rsid w:val="00281B8C"/>
    <w:rsid w:val="00281BB6"/>
    <w:rsid w:val="00281BC5"/>
    <w:rsid w:val="00281D2F"/>
    <w:rsid w:val="00281D46"/>
    <w:rsid w:val="00281E95"/>
    <w:rsid w:val="00281F20"/>
    <w:rsid w:val="00281F6F"/>
    <w:rsid w:val="00282063"/>
    <w:rsid w:val="00282263"/>
    <w:rsid w:val="00282268"/>
    <w:rsid w:val="00282310"/>
    <w:rsid w:val="002823FA"/>
    <w:rsid w:val="002824E3"/>
    <w:rsid w:val="002825DA"/>
    <w:rsid w:val="002826A1"/>
    <w:rsid w:val="002826E6"/>
    <w:rsid w:val="0028283A"/>
    <w:rsid w:val="0028292C"/>
    <w:rsid w:val="0028297A"/>
    <w:rsid w:val="002829B4"/>
    <w:rsid w:val="00282A50"/>
    <w:rsid w:val="00282AE3"/>
    <w:rsid w:val="00282C1E"/>
    <w:rsid w:val="00282C3D"/>
    <w:rsid w:val="00282CC5"/>
    <w:rsid w:val="00282DCC"/>
    <w:rsid w:val="00282E9B"/>
    <w:rsid w:val="00282F7F"/>
    <w:rsid w:val="00282FFC"/>
    <w:rsid w:val="0028337F"/>
    <w:rsid w:val="0028346C"/>
    <w:rsid w:val="002834DA"/>
    <w:rsid w:val="00283518"/>
    <w:rsid w:val="002836AD"/>
    <w:rsid w:val="00283718"/>
    <w:rsid w:val="002837B4"/>
    <w:rsid w:val="002837EF"/>
    <w:rsid w:val="0028383E"/>
    <w:rsid w:val="0028398E"/>
    <w:rsid w:val="00283A33"/>
    <w:rsid w:val="00283A87"/>
    <w:rsid w:val="00283AE0"/>
    <w:rsid w:val="00283CBA"/>
    <w:rsid w:val="00283F2F"/>
    <w:rsid w:val="002840D8"/>
    <w:rsid w:val="002840F5"/>
    <w:rsid w:val="00284121"/>
    <w:rsid w:val="0028418E"/>
    <w:rsid w:val="00284218"/>
    <w:rsid w:val="0028425D"/>
    <w:rsid w:val="002842D6"/>
    <w:rsid w:val="00284377"/>
    <w:rsid w:val="0028439A"/>
    <w:rsid w:val="002843CE"/>
    <w:rsid w:val="00284450"/>
    <w:rsid w:val="002844AC"/>
    <w:rsid w:val="002844CF"/>
    <w:rsid w:val="00284534"/>
    <w:rsid w:val="002845A4"/>
    <w:rsid w:val="00284618"/>
    <w:rsid w:val="00284815"/>
    <w:rsid w:val="002849C9"/>
    <w:rsid w:val="00284A25"/>
    <w:rsid w:val="00284A2C"/>
    <w:rsid w:val="00284A75"/>
    <w:rsid w:val="00284B7A"/>
    <w:rsid w:val="00284C5A"/>
    <w:rsid w:val="00284D14"/>
    <w:rsid w:val="00284DB6"/>
    <w:rsid w:val="00284E8A"/>
    <w:rsid w:val="00284F29"/>
    <w:rsid w:val="00284F81"/>
    <w:rsid w:val="0028501A"/>
    <w:rsid w:val="00285104"/>
    <w:rsid w:val="0028521E"/>
    <w:rsid w:val="00285353"/>
    <w:rsid w:val="00285462"/>
    <w:rsid w:val="002854A7"/>
    <w:rsid w:val="0028561C"/>
    <w:rsid w:val="002857B8"/>
    <w:rsid w:val="00285A81"/>
    <w:rsid w:val="00285AA8"/>
    <w:rsid w:val="00285B35"/>
    <w:rsid w:val="00285BD9"/>
    <w:rsid w:val="00285BFB"/>
    <w:rsid w:val="00285E64"/>
    <w:rsid w:val="00286137"/>
    <w:rsid w:val="0028615D"/>
    <w:rsid w:val="0028619A"/>
    <w:rsid w:val="00286307"/>
    <w:rsid w:val="0028632C"/>
    <w:rsid w:val="0028634E"/>
    <w:rsid w:val="0028637D"/>
    <w:rsid w:val="002864AE"/>
    <w:rsid w:val="002866DB"/>
    <w:rsid w:val="00286763"/>
    <w:rsid w:val="002867E2"/>
    <w:rsid w:val="00286846"/>
    <w:rsid w:val="0028686A"/>
    <w:rsid w:val="002868E1"/>
    <w:rsid w:val="00286A00"/>
    <w:rsid w:val="00286B60"/>
    <w:rsid w:val="00286BFC"/>
    <w:rsid w:val="00286C04"/>
    <w:rsid w:val="00286EA4"/>
    <w:rsid w:val="00286FF4"/>
    <w:rsid w:val="00287007"/>
    <w:rsid w:val="002870D3"/>
    <w:rsid w:val="002871AC"/>
    <w:rsid w:val="002872B1"/>
    <w:rsid w:val="0028734D"/>
    <w:rsid w:val="00287370"/>
    <w:rsid w:val="002873BA"/>
    <w:rsid w:val="0028742C"/>
    <w:rsid w:val="002875DC"/>
    <w:rsid w:val="00287692"/>
    <w:rsid w:val="002876FD"/>
    <w:rsid w:val="00287793"/>
    <w:rsid w:val="0028786E"/>
    <w:rsid w:val="00287911"/>
    <w:rsid w:val="00287930"/>
    <w:rsid w:val="00287997"/>
    <w:rsid w:val="002879A3"/>
    <w:rsid w:val="00287A64"/>
    <w:rsid w:val="00287AFA"/>
    <w:rsid w:val="00287B3E"/>
    <w:rsid w:val="00287BC5"/>
    <w:rsid w:val="00287CDD"/>
    <w:rsid w:val="00287D07"/>
    <w:rsid w:val="00287E84"/>
    <w:rsid w:val="00287ED6"/>
    <w:rsid w:val="00287EFB"/>
    <w:rsid w:val="00287FB8"/>
    <w:rsid w:val="002900E0"/>
    <w:rsid w:val="0029010F"/>
    <w:rsid w:val="0029030A"/>
    <w:rsid w:val="002903F9"/>
    <w:rsid w:val="00290583"/>
    <w:rsid w:val="002905A4"/>
    <w:rsid w:val="002905E1"/>
    <w:rsid w:val="002905E5"/>
    <w:rsid w:val="00290625"/>
    <w:rsid w:val="002906C1"/>
    <w:rsid w:val="002906CE"/>
    <w:rsid w:val="0029075F"/>
    <w:rsid w:val="0029089E"/>
    <w:rsid w:val="00290927"/>
    <w:rsid w:val="0029097D"/>
    <w:rsid w:val="002909A0"/>
    <w:rsid w:val="002909E4"/>
    <w:rsid w:val="00290A3E"/>
    <w:rsid w:val="00290A85"/>
    <w:rsid w:val="00290A96"/>
    <w:rsid w:val="00290C8E"/>
    <w:rsid w:val="00290D82"/>
    <w:rsid w:val="00290E5C"/>
    <w:rsid w:val="00290FE2"/>
    <w:rsid w:val="00291149"/>
    <w:rsid w:val="00291164"/>
    <w:rsid w:val="00291207"/>
    <w:rsid w:val="0029126B"/>
    <w:rsid w:val="002914E6"/>
    <w:rsid w:val="0029151F"/>
    <w:rsid w:val="002918DC"/>
    <w:rsid w:val="002918F5"/>
    <w:rsid w:val="00291919"/>
    <w:rsid w:val="0029196D"/>
    <w:rsid w:val="002919DC"/>
    <w:rsid w:val="00291AB3"/>
    <w:rsid w:val="00291BAA"/>
    <w:rsid w:val="00291BE3"/>
    <w:rsid w:val="00291C04"/>
    <w:rsid w:val="00291C8E"/>
    <w:rsid w:val="00291DA2"/>
    <w:rsid w:val="00291DE1"/>
    <w:rsid w:val="002920AE"/>
    <w:rsid w:val="00292149"/>
    <w:rsid w:val="002922F7"/>
    <w:rsid w:val="00292320"/>
    <w:rsid w:val="00292337"/>
    <w:rsid w:val="0029234A"/>
    <w:rsid w:val="00292352"/>
    <w:rsid w:val="002923F5"/>
    <w:rsid w:val="002923FE"/>
    <w:rsid w:val="0029247D"/>
    <w:rsid w:val="002924A4"/>
    <w:rsid w:val="002925DC"/>
    <w:rsid w:val="0029260B"/>
    <w:rsid w:val="0029273E"/>
    <w:rsid w:val="0029286E"/>
    <w:rsid w:val="00292B09"/>
    <w:rsid w:val="00292B26"/>
    <w:rsid w:val="00292CC7"/>
    <w:rsid w:val="00292E89"/>
    <w:rsid w:val="00292FD8"/>
    <w:rsid w:val="0029302C"/>
    <w:rsid w:val="00293070"/>
    <w:rsid w:val="002930A8"/>
    <w:rsid w:val="002931C4"/>
    <w:rsid w:val="00293327"/>
    <w:rsid w:val="00293401"/>
    <w:rsid w:val="00293831"/>
    <w:rsid w:val="00293903"/>
    <w:rsid w:val="00293A82"/>
    <w:rsid w:val="00293B39"/>
    <w:rsid w:val="00293C17"/>
    <w:rsid w:val="00293D56"/>
    <w:rsid w:val="00293E4B"/>
    <w:rsid w:val="00293F27"/>
    <w:rsid w:val="00293FDA"/>
    <w:rsid w:val="00294020"/>
    <w:rsid w:val="0029409E"/>
    <w:rsid w:val="0029419D"/>
    <w:rsid w:val="002941F0"/>
    <w:rsid w:val="00294319"/>
    <w:rsid w:val="00294374"/>
    <w:rsid w:val="00294391"/>
    <w:rsid w:val="002943A8"/>
    <w:rsid w:val="002943B7"/>
    <w:rsid w:val="002944E1"/>
    <w:rsid w:val="0029450E"/>
    <w:rsid w:val="00294656"/>
    <w:rsid w:val="00294839"/>
    <w:rsid w:val="00294928"/>
    <w:rsid w:val="00294948"/>
    <w:rsid w:val="002949F3"/>
    <w:rsid w:val="00294AAB"/>
    <w:rsid w:val="00294C2E"/>
    <w:rsid w:val="00294C68"/>
    <w:rsid w:val="00294C6F"/>
    <w:rsid w:val="00294D28"/>
    <w:rsid w:val="00294DA1"/>
    <w:rsid w:val="00294DA4"/>
    <w:rsid w:val="0029504A"/>
    <w:rsid w:val="002950E6"/>
    <w:rsid w:val="002950FA"/>
    <w:rsid w:val="002951C7"/>
    <w:rsid w:val="0029521F"/>
    <w:rsid w:val="002952A0"/>
    <w:rsid w:val="002953B4"/>
    <w:rsid w:val="00295426"/>
    <w:rsid w:val="002957AE"/>
    <w:rsid w:val="002958F3"/>
    <w:rsid w:val="002959A7"/>
    <w:rsid w:val="00295A40"/>
    <w:rsid w:val="00295B0C"/>
    <w:rsid w:val="00295BDE"/>
    <w:rsid w:val="00295C0B"/>
    <w:rsid w:val="00295C36"/>
    <w:rsid w:val="0029618A"/>
    <w:rsid w:val="00296298"/>
    <w:rsid w:val="002962E9"/>
    <w:rsid w:val="00296734"/>
    <w:rsid w:val="00296738"/>
    <w:rsid w:val="00296815"/>
    <w:rsid w:val="00296823"/>
    <w:rsid w:val="0029687F"/>
    <w:rsid w:val="002968F6"/>
    <w:rsid w:val="002969AD"/>
    <w:rsid w:val="00296AD2"/>
    <w:rsid w:val="00296B0B"/>
    <w:rsid w:val="00296B1A"/>
    <w:rsid w:val="00296B1F"/>
    <w:rsid w:val="00296C9C"/>
    <w:rsid w:val="00296DFD"/>
    <w:rsid w:val="00296FF0"/>
    <w:rsid w:val="00297040"/>
    <w:rsid w:val="00297044"/>
    <w:rsid w:val="00297050"/>
    <w:rsid w:val="00297091"/>
    <w:rsid w:val="0029735A"/>
    <w:rsid w:val="002974CD"/>
    <w:rsid w:val="00297533"/>
    <w:rsid w:val="00297551"/>
    <w:rsid w:val="002976DC"/>
    <w:rsid w:val="002976FA"/>
    <w:rsid w:val="0029770F"/>
    <w:rsid w:val="002977CB"/>
    <w:rsid w:val="0029785A"/>
    <w:rsid w:val="002979D6"/>
    <w:rsid w:val="00297AD6"/>
    <w:rsid w:val="00297B3C"/>
    <w:rsid w:val="00297B77"/>
    <w:rsid w:val="00297B9C"/>
    <w:rsid w:val="00297BEA"/>
    <w:rsid w:val="00297C8D"/>
    <w:rsid w:val="00297D33"/>
    <w:rsid w:val="00297EC8"/>
    <w:rsid w:val="00297F03"/>
    <w:rsid w:val="00297F0F"/>
    <w:rsid w:val="00297F4B"/>
    <w:rsid w:val="00297FAF"/>
    <w:rsid w:val="002A0035"/>
    <w:rsid w:val="002A00C5"/>
    <w:rsid w:val="002A00D3"/>
    <w:rsid w:val="002A0153"/>
    <w:rsid w:val="002A01B3"/>
    <w:rsid w:val="002A0253"/>
    <w:rsid w:val="002A02C4"/>
    <w:rsid w:val="002A02E0"/>
    <w:rsid w:val="002A033F"/>
    <w:rsid w:val="002A040C"/>
    <w:rsid w:val="002A0493"/>
    <w:rsid w:val="002A05A0"/>
    <w:rsid w:val="002A06FB"/>
    <w:rsid w:val="002A08E2"/>
    <w:rsid w:val="002A0B15"/>
    <w:rsid w:val="002A0B1B"/>
    <w:rsid w:val="002A0BDF"/>
    <w:rsid w:val="002A0C4D"/>
    <w:rsid w:val="002A0CF5"/>
    <w:rsid w:val="002A0CF6"/>
    <w:rsid w:val="002A0D62"/>
    <w:rsid w:val="002A0E1D"/>
    <w:rsid w:val="002A0E73"/>
    <w:rsid w:val="002A0E81"/>
    <w:rsid w:val="002A0EA5"/>
    <w:rsid w:val="002A105B"/>
    <w:rsid w:val="002A10B5"/>
    <w:rsid w:val="002A1200"/>
    <w:rsid w:val="002A1298"/>
    <w:rsid w:val="002A13C4"/>
    <w:rsid w:val="002A149C"/>
    <w:rsid w:val="002A15B5"/>
    <w:rsid w:val="002A15CB"/>
    <w:rsid w:val="002A1646"/>
    <w:rsid w:val="002A1667"/>
    <w:rsid w:val="002A168B"/>
    <w:rsid w:val="002A170D"/>
    <w:rsid w:val="002A171F"/>
    <w:rsid w:val="002A1724"/>
    <w:rsid w:val="002A180F"/>
    <w:rsid w:val="002A1904"/>
    <w:rsid w:val="002A1A15"/>
    <w:rsid w:val="002A1A25"/>
    <w:rsid w:val="002A1A81"/>
    <w:rsid w:val="002A1B49"/>
    <w:rsid w:val="002A1B54"/>
    <w:rsid w:val="002A1B61"/>
    <w:rsid w:val="002A1CAF"/>
    <w:rsid w:val="002A1CCB"/>
    <w:rsid w:val="002A1D32"/>
    <w:rsid w:val="002A1DDC"/>
    <w:rsid w:val="002A1DE5"/>
    <w:rsid w:val="002A1F35"/>
    <w:rsid w:val="002A213E"/>
    <w:rsid w:val="002A217A"/>
    <w:rsid w:val="002A222D"/>
    <w:rsid w:val="002A223E"/>
    <w:rsid w:val="002A2396"/>
    <w:rsid w:val="002A23ED"/>
    <w:rsid w:val="002A2406"/>
    <w:rsid w:val="002A25ED"/>
    <w:rsid w:val="002A2628"/>
    <w:rsid w:val="002A2665"/>
    <w:rsid w:val="002A27DD"/>
    <w:rsid w:val="002A2833"/>
    <w:rsid w:val="002A28E0"/>
    <w:rsid w:val="002A28F4"/>
    <w:rsid w:val="002A2AFA"/>
    <w:rsid w:val="002A2B1D"/>
    <w:rsid w:val="002A2CA7"/>
    <w:rsid w:val="002A2CC3"/>
    <w:rsid w:val="002A2D09"/>
    <w:rsid w:val="002A2D2E"/>
    <w:rsid w:val="002A2D9D"/>
    <w:rsid w:val="002A2EC2"/>
    <w:rsid w:val="002A306C"/>
    <w:rsid w:val="002A3132"/>
    <w:rsid w:val="002A315D"/>
    <w:rsid w:val="002A31A2"/>
    <w:rsid w:val="002A32EC"/>
    <w:rsid w:val="002A3305"/>
    <w:rsid w:val="002A330F"/>
    <w:rsid w:val="002A33CB"/>
    <w:rsid w:val="002A3592"/>
    <w:rsid w:val="002A35C1"/>
    <w:rsid w:val="002A35C8"/>
    <w:rsid w:val="002A35CE"/>
    <w:rsid w:val="002A39CF"/>
    <w:rsid w:val="002A3A42"/>
    <w:rsid w:val="002A3AB0"/>
    <w:rsid w:val="002A3AD4"/>
    <w:rsid w:val="002A3C23"/>
    <w:rsid w:val="002A3C86"/>
    <w:rsid w:val="002A3C92"/>
    <w:rsid w:val="002A3DBC"/>
    <w:rsid w:val="002A3F06"/>
    <w:rsid w:val="002A407A"/>
    <w:rsid w:val="002A418A"/>
    <w:rsid w:val="002A41CD"/>
    <w:rsid w:val="002A4257"/>
    <w:rsid w:val="002A435F"/>
    <w:rsid w:val="002A4535"/>
    <w:rsid w:val="002A453D"/>
    <w:rsid w:val="002A468A"/>
    <w:rsid w:val="002A478E"/>
    <w:rsid w:val="002A4847"/>
    <w:rsid w:val="002A48ED"/>
    <w:rsid w:val="002A4A61"/>
    <w:rsid w:val="002A4AE9"/>
    <w:rsid w:val="002A4BBC"/>
    <w:rsid w:val="002A4BD1"/>
    <w:rsid w:val="002A4CEB"/>
    <w:rsid w:val="002A4D05"/>
    <w:rsid w:val="002A4D13"/>
    <w:rsid w:val="002A5009"/>
    <w:rsid w:val="002A50DA"/>
    <w:rsid w:val="002A50EA"/>
    <w:rsid w:val="002A52D9"/>
    <w:rsid w:val="002A5323"/>
    <w:rsid w:val="002A5326"/>
    <w:rsid w:val="002A5352"/>
    <w:rsid w:val="002A54C2"/>
    <w:rsid w:val="002A5502"/>
    <w:rsid w:val="002A5720"/>
    <w:rsid w:val="002A5830"/>
    <w:rsid w:val="002A595F"/>
    <w:rsid w:val="002A5979"/>
    <w:rsid w:val="002A5A6C"/>
    <w:rsid w:val="002A5B87"/>
    <w:rsid w:val="002A5CE4"/>
    <w:rsid w:val="002A5CF8"/>
    <w:rsid w:val="002A5D56"/>
    <w:rsid w:val="002A5E1D"/>
    <w:rsid w:val="002A5F27"/>
    <w:rsid w:val="002A5F5C"/>
    <w:rsid w:val="002A5FD1"/>
    <w:rsid w:val="002A6039"/>
    <w:rsid w:val="002A6115"/>
    <w:rsid w:val="002A615F"/>
    <w:rsid w:val="002A618A"/>
    <w:rsid w:val="002A6222"/>
    <w:rsid w:val="002A62E1"/>
    <w:rsid w:val="002A6349"/>
    <w:rsid w:val="002A6378"/>
    <w:rsid w:val="002A6420"/>
    <w:rsid w:val="002A6435"/>
    <w:rsid w:val="002A6465"/>
    <w:rsid w:val="002A650D"/>
    <w:rsid w:val="002A65C3"/>
    <w:rsid w:val="002A65CD"/>
    <w:rsid w:val="002A65D1"/>
    <w:rsid w:val="002A6632"/>
    <w:rsid w:val="002A66A6"/>
    <w:rsid w:val="002A672F"/>
    <w:rsid w:val="002A679A"/>
    <w:rsid w:val="002A681C"/>
    <w:rsid w:val="002A68E9"/>
    <w:rsid w:val="002A6999"/>
    <w:rsid w:val="002A69E4"/>
    <w:rsid w:val="002A6A53"/>
    <w:rsid w:val="002A6AE3"/>
    <w:rsid w:val="002A6C41"/>
    <w:rsid w:val="002A6DD2"/>
    <w:rsid w:val="002A6E25"/>
    <w:rsid w:val="002A6E30"/>
    <w:rsid w:val="002A6F03"/>
    <w:rsid w:val="002A6F44"/>
    <w:rsid w:val="002A6F78"/>
    <w:rsid w:val="002A7003"/>
    <w:rsid w:val="002A70AE"/>
    <w:rsid w:val="002A7150"/>
    <w:rsid w:val="002A71AC"/>
    <w:rsid w:val="002A71B5"/>
    <w:rsid w:val="002A71F2"/>
    <w:rsid w:val="002A7225"/>
    <w:rsid w:val="002A72F3"/>
    <w:rsid w:val="002A7429"/>
    <w:rsid w:val="002A7668"/>
    <w:rsid w:val="002A76A6"/>
    <w:rsid w:val="002A772B"/>
    <w:rsid w:val="002A7835"/>
    <w:rsid w:val="002A795B"/>
    <w:rsid w:val="002A7A7D"/>
    <w:rsid w:val="002A7AFD"/>
    <w:rsid w:val="002A7B8D"/>
    <w:rsid w:val="002A7BFD"/>
    <w:rsid w:val="002A7C70"/>
    <w:rsid w:val="002A7DE0"/>
    <w:rsid w:val="002A7E32"/>
    <w:rsid w:val="002A7E6E"/>
    <w:rsid w:val="002A7EB2"/>
    <w:rsid w:val="002A7F9B"/>
    <w:rsid w:val="002A7FED"/>
    <w:rsid w:val="002B002C"/>
    <w:rsid w:val="002B00E3"/>
    <w:rsid w:val="002B0137"/>
    <w:rsid w:val="002B036E"/>
    <w:rsid w:val="002B03D3"/>
    <w:rsid w:val="002B057F"/>
    <w:rsid w:val="002B05C8"/>
    <w:rsid w:val="002B05D9"/>
    <w:rsid w:val="002B0663"/>
    <w:rsid w:val="002B0679"/>
    <w:rsid w:val="002B06A0"/>
    <w:rsid w:val="002B0770"/>
    <w:rsid w:val="002B079F"/>
    <w:rsid w:val="002B07C5"/>
    <w:rsid w:val="002B0859"/>
    <w:rsid w:val="002B08B5"/>
    <w:rsid w:val="002B09A0"/>
    <w:rsid w:val="002B09C9"/>
    <w:rsid w:val="002B09DE"/>
    <w:rsid w:val="002B0B46"/>
    <w:rsid w:val="002B0BAE"/>
    <w:rsid w:val="002B0CE6"/>
    <w:rsid w:val="002B0D00"/>
    <w:rsid w:val="002B0DA5"/>
    <w:rsid w:val="002B0E3C"/>
    <w:rsid w:val="002B0F4C"/>
    <w:rsid w:val="002B0F5B"/>
    <w:rsid w:val="002B0F74"/>
    <w:rsid w:val="002B0FBA"/>
    <w:rsid w:val="002B104E"/>
    <w:rsid w:val="002B10E9"/>
    <w:rsid w:val="002B11B4"/>
    <w:rsid w:val="002B1350"/>
    <w:rsid w:val="002B1353"/>
    <w:rsid w:val="002B15A8"/>
    <w:rsid w:val="002B167C"/>
    <w:rsid w:val="002B1705"/>
    <w:rsid w:val="002B18EA"/>
    <w:rsid w:val="002B194C"/>
    <w:rsid w:val="002B194D"/>
    <w:rsid w:val="002B1A23"/>
    <w:rsid w:val="002B1BA7"/>
    <w:rsid w:val="002B1C42"/>
    <w:rsid w:val="002B1C62"/>
    <w:rsid w:val="002B1D69"/>
    <w:rsid w:val="002B1D87"/>
    <w:rsid w:val="002B1DC0"/>
    <w:rsid w:val="002B1E40"/>
    <w:rsid w:val="002B1EA7"/>
    <w:rsid w:val="002B1F9E"/>
    <w:rsid w:val="002B1FF4"/>
    <w:rsid w:val="002B202A"/>
    <w:rsid w:val="002B205D"/>
    <w:rsid w:val="002B20AC"/>
    <w:rsid w:val="002B20FE"/>
    <w:rsid w:val="002B21F5"/>
    <w:rsid w:val="002B223A"/>
    <w:rsid w:val="002B227A"/>
    <w:rsid w:val="002B2293"/>
    <w:rsid w:val="002B22A4"/>
    <w:rsid w:val="002B230E"/>
    <w:rsid w:val="002B2381"/>
    <w:rsid w:val="002B23FA"/>
    <w:rsid w:val="002B251F"/>
    <w:rsid w:val="002B25B7"/>
    <w:rsid w:val="002B279E"/>
    <w:rsid w:val="002B27EA"/>
    <w:rsid w:val="002B28ED"/>
    <w:rsid w:val="002B2A10"/>
    <w:rsid w:val="002B2A70"/>
    <w:rsid w:val="002B2B7C"/>
    <w:rsid w:val="002B2C83"/>
    <w:rsid w:val="002B2CB9"/>
    <w:rsid w:val="002B2E08"/>
    <w:rsid w:val="002B2EFC"/>
    <w:rsid w:val="002B2F54"/>
    <w:rsid w:val="002B3034"/>
    <w:rsid w:val="002B3047"/>
    <w:rsid w:val="002B304E"/>
    <w:rsid w:val="002B314A"/>
    <w:rsid w:val="002B32AB"/>
    <w:rsid w:val="002B339E"/>
    <w:rsid w:val="002B344A"/>
    <w:rsid w:val="002B350B"/>
    <w:rsid w:val="002B35DF"/>
    <w:rsid w:val="002B38BE"/>
    <w:rsid w:val="002B3A7A"/>
    <w:rsid w:val="002B3B3A"/>
    <w:rsid w:val="002B3C1A"/>
    <w:rsid w:val="002B3C35"/>
    <w:rsid w:val="002B3C43"/>
    <w:rsid w:val="002B3CA2"/>
    <w:rsid w:val="002B3D63"/>
    <w:rsid w:val="002B3FE3"/>
    <w:rsid w:val="002B405F"/>
    <w:rsid w:val="002B4066"/>
    <w:rsid w:val="002B4107"/>
    <w:rsid w:val="002B416A"/>
    <w:rsid w:val="002B4188"/>
    <w:rsid w:val="002B41B6"/>
    <w:rsid w:val="002B426C"/>
    <w:rsid w:val="002B4480"/>
    <w:rsid w:val="002B44FA"/>
    <w:rsid w:val="002B4626"/>
    <w:rsid w:val="002B46C2"/>
    <w:rsid w:val="002B482B"/>
    <w:rsid w:val="002B48E3"/>
    <w:rsid w:val="002B49C8"/>
    <w:rsid w:val="002B49E2"/>
    <w:rsid w:val="002B49E6"/>
    <w:rsid w:val="002B4A3A"/>
    <w:rsid w:val="002B4B0F"/>
    <w:rsid w:val="002B4DCF"/>
    <w:rsid w:val="002B4DFD"/>
    <w:rsid w:val="002B4E1B"/>
    <w:rsid w:val="002B4E3C"/>
    <w:rsid w:val="002B4F4D"/>
    <w:rsid w:val="002B4FB5"/>
    <w:rsid w:val="002B5115"/>
    <w:rsid w:val="002B5338"/>
    <w:rsid w:val="002B533C"/>
    <w:rsid w:val="002B545E"/>
    <w:rsid w:val="002B552B"/>
    <w:rsid w:val="002B5609"/>
    <w:rsid w:val="002B565A"/>
    <w:rsid w:val="002B58C5"/>
    <w:rsid w:val="002B58DE"/>
    <w:rsid w:val="002B58E0"/>
    <w:rsid w:val="002B58FB"/>
    <w:rsid w:val="002B590B"/>
    <w:rsid w:val="002B59EE"/>
    <w:rsid w:val="002B5A03"/>
    <w:rsid w:val="002B5A7C"/>
    <w:rsid w:val="002B5CB7"/>
    <w:rsid w:val="002B5CBE"/>
    <w:rsid w:val="002B5D07"/>
    <w:rsid w:val="002B5D27"/>
    <w:rsid w:val="002B5E3E"/>
    <w:rsid w:val="002B5EE0"/>
    <w:rsid w:val="002B602B"/>
    <w:rsid w:val="002B60C7"/>
    <w:rsid w:val="002B60DC"/>
    <w:rsid w:val="002B6140"/>
    <w:rsid w:val="002B6179"/>
    <w:rsid w:val="002B619C"/>
    <w:rsid w:val="002B61D4"/>
    <w:rsid w:val="002B6315"/>
    <w:rsid w:val="002B6328"/>
    <w:rsid w:val="002B6335"/>
    <w:rsid w:val="002B649B"/>
    <w:rsid w:val="002B6514"/>
    <w:rsid w:val="002B66DB"/>
    <w:rsid w:val="002B679A"/>
    <w:rsid w:val="002B67A9"/>
    <w:rsid w:val="002B6848"/>
    <w:rsid w:val="002B693A"/>
    <w:rsid w:val="002B6A6D"/>
    <w:rsid w:val="002B6AFA"/>
    <w:rsid w:val="002B6AFF"/>
    <w:rsid w:val="002B6B04"/>
    <w:rsid w:val="002B6B7A"/>
    <w:rsid w:val="002B6C4D"/>
    <w:rsid w:val="002B6D3F"/>
    <w:rsid w:val="002B6EA3"/>
    <w:rsid w:val="002B70F8"/>
    <w:rsid w:val="002B70FD"/>
    <w:rsid w:val="002B7147"/>
    <w:rsid w:val="002B7202"/>
    <w:rsid w:val="002B7243"/>
    <w:rsid w:val="002B740A"/>
    <w:rsid w:val="002B74A1"/>
    <w:rsid w:val="002B756E"/>
    <w:rsid w:val="002B75B8"/>
    <w:rsid w:val="002B7781"/>
    <w:rsid w:val="002B77F6"/>
    <w:rsid w:val="002B78BB"/>
    <w:rsid w:val="002B792B"/>
    <w:rsid w:val="002B7AFF"/>
    <w:rsid w:val="002B7C43"/>
    <w:rsid w:val="002B7D64"/>
    <w:rsid w:val="002B7DBF"/>
    <w:rsid w:val="002B7DC7"/>
    <w:rsid w:val="002B7F52"/>
    <w:rsid w:val="002B7F7D"/>
    <w:rsid w:val="002C0209"/>
    <w:rsid w:val="002C0428"/>
    <w:rsid w:val="002C045F"/>
    <w:rsid w:val="002C04AF"/>
    <w:rsid w:val="002C04C7"/>
    <w:rsid w:val="002C05DD"/>
    <w:rsid w:val="002C07B1"/>
    <w:rsid w:val="002C07EF"/>
    <w:rsid w:val="002C084C"/>
    <w:rsid w:val="002C0996"/>
    <w:rsid w:val="002C09AD"/>
    <w:rsid w:val="002C09FD"/>
    <w:rsid w:val="002C0A46"/>
    <w:rsid w:val="002C0AD8"/>
    <w:rsid w:val="002C0C76"/>
    <w:rsid w:val="002C0D79"/>
    <w:rsid w:val="002C0EB3"/>
    <w:rsid w:val="002C0EBA"/>
    <w:rsid w:val="002C0ED6"/>
    <w:rsid w:val="002C0F7A"/>
    <w:rsid w:val="002C0FE5"/>
    <w:rsid w:val="002C1002"/>
    <w:rsid w:val="002C1126"/>
    <w:rsid w:val="002C1194"/>
    <w:rsid w:val="002C11FF"/>
    <w:rsid w:val="002C1225"/>
    <w:rsid w:val="002C13D0"/>
    <w:rsid w:val="002C140B"/>
    <w:rsid w:val="002C1482"/>
    <w:rsid w:val="002C14D9"/>
    <w:rsid w:val="002C1514"/>
    <w:rsid w:val="002C15CD"/>
    <w:rsid w:val="002C15F2"/>
    <w:rsid w:val="002C1630"/>
    <w:rsid w:val="002C16CC"/>
    <w:rsid w:val="002C172E"/>
    <w:rsid w:val="002C1766"/>
    <w:rsid w:val="002C1824"/>
    <w:rsid w:val="002C1853"/>
    <w:rsid w:val="002C1910"/>
    <w:rsid w:val="002C1A13"/>
    <w:rsid w:val="002C1A15"/>
    <w:rsid w:val="002C1A43"/>
    <w:rsid w:val="002C1A51"/>
    <w:rsid w:val="002C1B44"/>
    <w:rsid w:val="002C1B45"/>
    <w:rsid w:val="002C1C19"/>
    <w:rsid w:val="002C1CB3"/>
    <w:rsid w:val="002C1CBF"/>
    <w:rsid w:val="002C1D21"/>
    <w:rsid w:val="002C1D22"/>
    <w:rsid w:val="002C1EA5"/>
    <w:rsid w:val="002C1ECE"/>
    <w:rsid w:val="002C1ED1"/>
    <w:rsid w:val="002C1FD7"/>
    <w:rsid w:val="002C22B4"/>
    <w:rsid w:val="002C2440"/>
    <w:rsid w:val="002C256C"/>
    <w:rsid w:val="002C260B"/>
    <w:rsid w:val="002C260F"/>
    <w:rsid w:val="002C2672"/>
    <w:rsid w:val="002C2684"/>
    <w:rsid w:val="002C26B9"/>
    <w:rsid w:val="002C2843"/>
    <w:rsid w:val="002C28CA"/>
    <w:rsid w:val="002C2915"/>
    <w:rsid w:val="002C29E2"/>
    <w:rsid w:val="002C2B2C"/>
    <w:rsid w:val="002C2B30"/>
    <w:rsid w:val="002C2BB8"/>
    <w:rsid w:val="002C2C17"/>
    <w:rsid w:val="002C2C22"/>
    <w:rsid w:val="002C2D8F"/>
    <w:rsid w:val="002C2EA7"/>
    <w:rsid w:val="002C2EF5"/>
    <w:rsid w:val="002C2FDE"/>
    <w:rsid w:val="002C30BE"/>
    <w:rsid w:val="002C3221"/>
    <w:rsid w:val="002C3293"/>
    <w:rsid w:val="002C330B"/>
    <w:rsid w:val="002C332E"/>
    <w:rsid w:val="002C3343"/>
    <w:rsid w:val="002C3389"/>
    <w:rsid w:val="002C338E"/>
    <w:rsid w:val="002C34BF"/>
    <w:rsid w:val="002C35AB"/>
    <w:rsid w:val="002C35FB"/>
    <w:rsid w:val="002C366D"/>
    <w:rsid w:val="002C373B"/>
    <w:rsid w:val="002C37AC"/>
    <w:rsid w:val="002C37C9"/>
    <w:rsid w:val="002C3913"/>
    <w:rsid w:val="002C3B53"/>
    <w:rsid w:val="002C3B60"/>
    <w:rsid w:val="002C3C48"/>
    <w:rsid w:val="002C3C78"/>
    <w:rsid w:val="002C3D53"/>
    <w:rsid w:val="002C3E2D"/>
    <w:rsid w:val="002C4029"/>
    <w:rsid w:val="002C40CC"/>
    <w:rsid w:val="002C40F2"/>
    <w:rsid w:val="002C4146"/>
    <w:rsid w:val="002C4171"/>
    <w:rsid w:val="002C422F"/>
    <w:rsid w:val="002C4301"/>
    <w:rsid w:val="002C4366"/>
    <w:rsid w:val="002C457E"/>
    <w:rsid w:val="002C468C"/>
    <w:rsid w:val="002C47C9"/>
    <w:rsid w:val="002C4855"/>
    <w:rsid w:val="002C48AC"/>
    <w:rsid w:val="002C492C"/>
    <w:rsid w:val="002C4AC6"/>
    <w:rsid w:val="002C4BF6"/>
    <w:rsid w:val="002C4D0C"/>
    <w:rsid w:val="002C4D2B"/>
    <w:rsid w:val="002C4D5B"/>
    <w:rsid w:val="002C4D84"/>
    <w:rsid w:val="002C4DDE"/>
    <w:rsid w:val="002C4FA4"/>
    <w:rsid w:val="002C5007"/>
    <w:rsid w:val="002C500F"/>
    <w:rsid w:val="002C5099"/>
    <w:rsid w:val="002C516D"/>
    <w:rsid w:val="002C5181"/>
    <w:rsid w:val="002C51A1"/>
    <w:rsid w:val="002C51F5"/>
    <w:rsid w:val="002C535D"/>
    <w:rsid w:val="002C56C2"/>
    <w:rsid w:val="002C5764"/>
    <w:rsid w:val="002C595D"/>
    <w:rsid w:val="002C5A41"/>
    <w:rsid w:val="002C5A54"/>
    <w:rsid w:val="002C5A75"/>
    <w:rsid w:val="002C5A7C"/>
    <w:rsid w:val="002C5BC5"/>
    <w:rsid w:val="002C5DCA"/>
    <w:rsid w:val="002C5DF9"/>
    <w:rsid w:val="002C60DB"/>
    <w:rsid w:val="002C6115"/>
    <w:rsid w:val="002C613C"/>
    <w:rsid w:val="002C6143"/>
    <w:rsid w:val="002C6153"/>
    <w:rsid w:val="002C616B"/>
    <w:rsid w:val="002C61E9"/>
    <w:rsid w:val="002C6213"/>
    <w:rsid w:val="002C63D7"/>
    <w:rsid w:val="002C6650"/>
    <w:rsid w:val="002C667D"/>
    <w:rsid w:val="002C66F5"/>
    <w:rsid w:val="002C670E"/>
    <w:rsid w:val="002C6737"/>
    <w:rsid w:val="002C677B"/>
    <w:rsid w:val="002C67C7"/>
    <w:rsid w:val="002C69B8"/>
    <w:rsid w:val="002C6A36"/>
    <w:rsid w:val="002C6A5A"/>
    <w:rsid w:val="002C6AE2"/>
    <w:rsid w:val="002C6B4F"/>
    <w:rsid w:val="002C6CE2"/>
    <w:rsid w:val="002C6D9C"/>
    <w:rsid w:val="002C6E28"/>
    <w:rsid w:val="002C6E36"/>
    <w:rsid w:val="002C709E"/>
    <w:rsid w:val="002C711B"/>
    <w:rsid w:val="002C7193"/>
    <w:rsid w:val="002C7247"/>
    <w:rsid w:val="002C7268"/>
    <w:rsid w:val="002C7276"/>
    <w:rsid w:val="002C727F"/>
    <w:rsid w:val="002C729A"/>
    <w:rsid w:val="002C74CE"/>
    <w:rsid w:val="002C7513"/>
    <w:rsid w:val="002C7528"/>
    <w:rsid w:val="002C75BA"/>
    <w:rsid w:val="002C75D4"/>
    <w:rsid w:val="002C770B"/>
    <w:rsid w:val="002C774C"/>
    <w:rsid w:val="002C77AF"/>
    <w:rsid w:val="002C7814"/>
    <w:rsid w:val="002C7877"/>
    <w:rsid w:val="002C78EC"/>
    <w:rsid w:val="002C7991"/>
    <w:rsid w:val="002C7B3A"/>
    <w:rsid w:val="002C7C29"/>
    <w:rsid w:val="002C7C4E"/>
    <w:rsid w:val="002C7CDD"/>
    <w:rsid w:val="002C7D7D"/>
    <w:rsid w:val="002C7EA5"/>
    <w:rsid w:val="002C7EC1"/>
    <w:rsid w:val="002C7F31"/>
    <w:rsid w:val="002D023D"/>
    <w:rsid w:val="002D0374"/>
    <w:rsid w:val="002D03BC"/>
    <w:rsid w:val="002D0673"/>
    <w:rsid w:val="002D06FA"/>
    <w:rsid w:val="002D0723"/>
    <w:rsid w:val="002D081B"/>
    <w:rsid w:val="002D0981"/>
    <w:rsid w:val="002D0A5E"/>
    <w:rsid w:val="002D0C04"/>
    <w:rsid w:val="002D0C38"/>
    <w:rsid w:val="002D0C83"/>
    <w:rsid w:val="002D0CF1"/>
    <w:rsid w:val="002D0DD8"/>
    <w:rsid w:val="002D0E5A"/>
    <w:rsid w:val="002D0EEF"/>
    <w:rsid w:val="002D0EFA"/>
    <w:rsid w:val="002D10B3"/>
    <w:rsid w:val="002D10C7"/>
    <w:rsid w:val="002D125D"/>
    <w:rsid w:val="002D1279"/>
    <w:rsid w:val="002D1390"/>
    <w:rsid w:val="002D145C"/>
    <w:rsid w:val="002D149C"/>
    <w:rsid w:val="002D14DC"/>
    <w:rsid w:val="002D169D"/>
    <w:rsid w:val="002D16F0"/>
    <w:rsid w:val="002D1882"/>
    <w:rsid w:val="002D18F5"/>
    <w:rsid w:val="002D1907"/>
    <w:rsid w:val="002D1937"/>
    <w:rsid w:val="002D19C7"/>
    <w:rsid w:val="002D19D5"/>
    <w:rsid w:val="002D1A6A"/>
    <w:rsid w:val="002D1AFE"/>
    <w:rsid w:val="002D1C60"/>
    <w:rsid w:val="002D1C69"/>
    <w:rsid w:val="002D1C74"/>
    <w:rsid w:val="002D1EE8"/>
    <w:rsid w:val="002D20D2"/>
    <w:rsid w:val="002D222D"/>
    <w:rsid w:val="002D2285"/>
    <w:rsid w:val="002D230B"/>
    <w:rsid w:val="002D236B"/>
    <w:rsid w:val="002D24E3"/>
    <w:rsid w:val="002D2508"/>
    <w:rsid w:val="002D25A4"/>
    <w:rsid w:val="002D25D1"/>
    <w:rsid w:val="002D2625"/>
    <w:rsid w:val="002D2675"/>
    <w:rsid w:val="002D26E6"/>
    <w:rsid w:val="002D2772"/>
    <w:rsid w:val="002D283F"/>
    <w:rsid w:val="002D28F8"/>
    <w:rsid w:val="002D293B"/>
    <w:rsid w:val="002D2976"/>
    <w:rsid w:val="002D2984"/>
    <w:rsid w:val="002D29B5"/>
    <w:rsid w:val="002D2A08"/>
    <w:rsid w:val="002D2A40"/>
    <w:rsid w:val="002D2B27"/>
    <w:rsid w:val="002D2B3A"/>
    <w:rsid w:val="002D2BEF"/>
    <w:rsid w:val="002D2BF1"/>
    <w:rsid w:val="002D2E32"/>
    <w:rsid w:val="002D2E8F"/>
    <w:rsid w:val="002D2EB5"/>
    <w:rsid w:val="002D2EC0"/>
    <w:rsid w:val="002D30BF"/>
    <w:rsid w:val="002D30C9"/>
    <w:rsid w:val="002D3152"/>
    <w:rsid w:val="002D31E9"/>
    <w:rsid w:val="002D32DF"/>
    <w:rsid w:val="002D32E2"/>
    <w:rsid w:val="002D3410"/>
    <w:rsid w:val="002D3628"/>
    <w:rsid w:val="002D36B9"/>
    <w:rsid w:val="002D36E6"/>
    <w:rsid w:val="002D371C"/>
    <w:rsid w:val="002D3827"/>
    <w:rsid w:val="002D38AE"/>
    <w:rsid w:val="002D3A7D"/>
    <w:rsid w:val="002D3C8E"/>
    <w:rsid w:val="002D3D40"/>
    <w:rsid w:val="002D3DD9"/>
    <w:rsid w:val="002D3E80"/>
    <w:rsid w:val="002D3EFF"/>
    <w:rsid w:val="002D3F61"/>
    <w:rsid w:val="002D4001"/>
    <w:rsid w:val="002D40D1"/>
    <w:rsid w:val="002D40EE"/>
    <w:rsid w:val="002D41A8"/>
    <w:rsid w:val="002D421C"/>
    <w:rsid w:val="002D426A"/>
    <w:rsid w:val="002D42CA"/>
    <w:rsid w:val="002D42E0"/>
    <w:rsid w:val="002D4462"/>
    <w:rsid w:val="002D44ED"/>
    <w:rsid w:val="002D4550"/>
    <w:rsid w:val="002D461B"/>
    <w:rsid w:val="002D4689"/>
    <w:rsid w:val="002D475D"/>
    <w:rsid w:val="002D477A"/>
    <w:rsid w:val="002D47C2"/>
    <w:rsid w:val="002D48F2"/>
    <w:rsid w:val="002D495D"/>
    <w:rsid w:val="002D4B1E"/>
    <w:rsid w:val="002D4B3E"/>
    <w:rsid w:val="002D4BA2"/>
    <w:rsid w:val="002D4CAB"/>
    <w:rsid w:val="002D4D56"/>
    <w:rsid w:val="002D4EA6"/>
    <w:rsid w:val="002D4EB5"/>
    <w:rsid w:val="002D4ECF"/>
    <w:rsid w:val="002D4F4C"/>
    <w:rsid w:val="002D52B0"/>
    <w:rsid w:val="002D544C"/>
    <w:rsid w:val="002D58A7"/>
    <w:rsid w:val="002D58AD"/>
    <w:rsid w:val="002D5927"/>
    <w:rsid w:val="002D596D"/>
    <w:rsid w:val="002D5A24"/>
    <w:rsid w:val="002D5AF6"/>
    <w:rsid w:val="002D5B0A"/>
    <w:rsid w:val="002D5BBF"/>
    <w:rsid w:val="002D5BFD"/>
    <w:rsid w:val="002D5DCF"/>
    <w:rsid w:val="002D5E42"/>
    <w:rsid w:val="002D5E5C"/>
    <w:rsid w:val="002D5E96"/>
    <w:rsid w:val="002D5F50"/>
    <w:rsid w:val="002D6038"/>
    <w:rsid w:val="002D603B"/>
    <w:rsid w:val="002D60D2"/>
    <w:rsid w:val="002D6133"/>
    <w:rsid w:val="002D62C1"/>
    <w:rsid w:val="002D64CA"/>
    <w:rsid w:val="002D6710"/>
    <w:rsid w:val="002D6725"/>
    <w:rsid w:val="002D69F2"/>
    <w:rsid w:val="002D6AA2"/>
    <w:rsid w:val="002D6C19"/>
    <w:rsid w:val="002D6D4A"/>
    <w:rsid w:val="002D6E0C"/>
    <w:rsid w:val="002D6E79"/>
    <w:rsid w:val="002D6F7B"/>
    <w:rsid w:val="002D70C2"/>
    <w:rsid w:val="002D70E4"/>
    <w:rsid w:val="002D7180"/>
    <w:rsid w:val="002D720E"/>
    <w:rsid w:val="002D73E2"/>
    <w:rsid w:val="002D74CD"/>
    <w:rsid w:val="002D7505"/>
    <w:rsid w:val="002D7614"/>
    <w:rsid w:val="002D764E"/>
    <w:rsid w:val="002D77BA"/>
    <w:rsid w:val="002D78C6"/>
    <w:rsid w:val="002D795F"/>
    <w:rsid w:val="002D7ADB"/>
    <w:rsid w:val="002D7B79"/>
    <w:rsid w:val="002D7CE0"/>
    <w:rsid w:val="002D7D2D"/>
    <w:rsid w:val="002D7E4F"/>
    <w:rsid w:val="002D7E89"/>
    <w:rsid w:val="002D7EA6"/>
    <w:rsid w:val="002D7F3E"/>
    <w:rsid w:val="002D7F43"/>
    <w:rsid w:val="002D7F4A"/>
    <w:rsid w:val="002D7F66"/>
    <w:rsid w:val="002D7F70"/>
    <w:rsid w:val="002D7F73"/>
    <w:rsid w:val="002E01DC"/>
    <w:rsid w:val="002E02B1"/>
    <w:rsid w:val="002E02CF"/>
    <w:rsid w:val="002E0406"/>
    <w:rsid w:val="002E0451"/>
    <w:rsid w:val="002E0492"/>
    <w:rsid w:val="002E049F"/>
    <w:rsid w:val="002E04A2"/>
    <w:rsid w:val="002E059A"/>
    <w:rsid w:val="002E05AA"/>
    <w:rsid w:val="002E06D5"/>
    <w:rsid w:val="002E07E9"/>
    <w:rsid w:val="002E0828"/>
    <w:rsid w:val="002E0836"/>
    <w:rsid w:val="002E0AD9"/>
    <w:rsid w:val="002E0C8B"/>
    <w:rsid w:val="002E0DE7"/>
    <w:rsid w:val="002E0E3D"/>
    <w:rsid w:val="002E0E91"/>
    <w:rsid w:val="002E0F4E"/>
    <w:rsid w:val="002E10C5"/>
    <w:rsid w:val="002E11A7"/>
    <w:rsid w:val="002E1308"/>
    <w:rsid w:val="002E1337"/>
    <w:rsid w:val="002E13C5"/>
    <w:rsid w:val="002E179E"/>
    <w:rsid w:val="002E17CC"/>
    <w:rsid w:val="002E1815"/>
    <w:rsid w:val="002E1958"/>
    <w:rsid w:val="002E1B21"/>
    <w:rsid w:val="002E1B67"/>
    <w:rsid w:val="002E1B88"/>
    <w:rsid w:val="002E1C29"/>
    <w:rsid w:val="002E1D01"/>
    <w:rsid w:val="002E1D08"/>
    <w:rsid w:val="002E1D2F"/>
    <w:rsid w:val="002E1D36"/>
    <w:rsid w:val="002E1DA5"/>
    <w:rsid w:val="002E1DCE"/>
    <w:rsid w:val="002E1E9A"/>
    <w:rsid w:val="002E1ED1"/>
    <w:rsid w:val="002E1F0D"/>
    <w:rsid w:val="002E1F8A"/>
    <w:rsid w:val="002E2021"/>
    <w:rsid w:val="002E2093"/>
    <w:rsid w:val="002E2136"/>
    <w:rsid w:val="002E219B"/>
    <w:rsid w:val="002E2300"/>
    <w:rsid w:val="002E23CD"/>
    <w:rsid w:val="002E2583"/>
    <w:rsid w:val="002E25A0"/>
    <w:rsid w:val="002E26CA"/>
    <w:rsid w:val="002E27BB"/>
    <w:rsid w:val="002E2857"/>
    <w:rsid w:val="002E2871"/>
    <w:rsid w:val="002E289F"/>
    <w:rsid w:val="002E28EB"/>
    <w:rsid w:val="002E2A72"/>
    <w:rsid w:val="002E2B42"/>
    <w:rsid w:val="002E2D36"/>
    <w:rsid w:val="002E2EE7"/>
    <w:rsid w:val="002E3224"/>
    <w:rsid w:val="002E3328"/>
    <w:rsid w:val="002E33A9"/>
    <w:rsid w:val="002E3416"/>
    <w:rsid w:val="002E355F"/>
    <w:rsid w:val="002E35C5"/>
    <w:rsid w:val="002E39F7"/>
    <w:rsid w:val="002E3BC8"/>
    <w:rsid w:val="002E3C4E"/>
    <w:rsid w:val="002E3C58"/>
    <w:rsid w:val="002E3D4D"/>
    <w:rsid w:val="002E3DC7"/>
    <w:rsid w:val="002E3EC6"/>
    <w:rsid w:val="002E3FBB"/>
    <w:rsid w:val="002E4031"/>
    <w:rsid w:val="002E4274"/>
    <w:rsid w:val="002E4369"/>
    <w:rsid w:val="002E443C"/>
    <w:rsid w:val="002E4701"/>
    <w:rsid w:val="002E4708"/>
    <w:rsid w:val="002E47F3"/>
    <w:rsid w:val="002E49ED"/>
    <w:rsid w:val="002E4A1F"/>
    <w:rsid w:val="002E4A2A"/>
    <w:rsid w:val="002E4A4C"/>
    <w:rsid w:val="002E4ADA"/>
    <w:rsid w:val="002E4B57"/>
    <w:rsid w:val="002E4D57"/>
    <w:rsid w:val="002E4E26"/>
    <w:rsid w:val="002E4F30"/>
    <w:rsid w:val="002E4F5F"/>
    <w:rsid w:val="002E519C"/>
    <w:rsid w:val="002E53FD"/>
    <w:rsid w:val="002E54C2"/>
    <w:rsid w:val="002E5727"/>
    <w:rsid w:val="002E5751"/>
    <w:rsid w:val="002E582F"/>
    <w:rsid w:val="002E5854"/>
    <w:rsid w:val="002E5909"/>
    <w:rsid w:val="002E59A2"/>
    <w:rsid w:val="002E5A80"/>
    <w:rsid w:val="002E5C0B"/>
    <w:rsid w:val="002E5D00"/>
    <w:rsid w:val="002E5D06"/>
    <w:rsid w:val="002E5D30"/>
    <w:rsid w:val="002E5D56"/>
    <w:rsid w:val="002E5D62"/>
    <w:rsid w:val="002E5DB7"/>
    <w:rsid w:val="002E5F82"/>
    <w:rsid w:val="002E5F9E"/>
    <w:rsid w:val="002E5FFE"/>
    <w:rsid w:val="002E60E4"/>
    <w:rsid w:val="002E6188"/>
    <w:rsid w:val="002E62F9"/>
    <w:rsid w:val="002E6359"/>
    <w:rsid w:val="002E636A"/>
    <w:rsid w:val="002E63B4"/>
    <w:rsid w:val="002E63CB"/>
    <w:rsid w:val="002E643B"/>
    <w:rsid w:val="002E644C"/>
    <w:rsid w:val="002E65F1"/>
    <w:rsid w:val="002E662B"/>
    <w:rsid w:val="002E6661"/>
    <w:rsid w:val="002E67DB"/>
    <w:rsid w:val="002E689B"/>
    <w:rsid w:val="002E68E8"/>
    <w:rsid w:val="002E6985"/>
    <w:rsid w:val="002E69FB"/>
    <w:rsid w:val="002E6B0C"/>
    <w:rsid w:val="002E6B35"/>
    <w:rsid w:val="002E6B63"/>
    <w:rsid w:val="002E6BED"/>
    <w:rsid w:val="002E6DAD"/>
    <w:rsid w:val="002E6FCE"/>
    <w:rsid w:val="002E6FEE"/>
    <w:rsid w:val="002E7103"/>
    <w:rsid w:val="002E71C4"/>
    <w:rsid w:val="002E7366"/>
    <w:rsid w:val="002E73FD"/>
    <w:rsid w:val="002E7462"/>
    <w:rsid w:val="002E75CB"/>
    <w:rsid w:val="002E75E4"/>
    <w:rsid w:val="002E764E"/>
    <w:rsid w:val="002E775A"/>
    <w:rsid w:val="002E77AC"/>
    <w:rsid w:val="002E77AD"/>
    <w:rsid w:val="002E791B"/>
    <w:rsid w:val="002E7952"/>
    <w:rsid w:val="002E7990"/>
    <w:rsid w:val="002E79DE"/>
    <w:rsid w:val="002E7B5B"/>
    <w:rsid w:val="002E7C11"/>
    <w:rsid w:val="002E7D47"/>
    <w:rsid w:val="002E7DF0"/>
    <w:rsid w:val="002E7F2B"/>
    <w:rsid w:val="002E7F86"/>
    <w:rsid w:val="002E7FAE"/>
    <w:rsid w:val="002E7FC1"/>
    <w:rsid w:val="002F0088"/>
    <w:rsid w:val="002F01C2"/>
    <w:rsid w:val="002F01FB"/>
    <w:rsid w:val="002F025B"/>
    <w:rsid w:val="002F0373"/>
    <w:rsid w:val="002F0396"/>
    <w:rsid w:val="002F04DA"/>
    <w:rsid w:val="002F04E4"/>
    <w:rsid w:val="002F0585"/>
    <w:rsid w:val="002F05E4"/>
    <w:rsid w:val="002F06EF"/>
    <w:rsid w:val="002F0787"/>
    <w:rsid w:val="002F08FD"/>
    <w:rsid w:val="002F09F5"/>
    <w:rsid w:val="002F0B7A"/>
    <w:rsid w:val="002F0B90"/>
    <w:rsid w:val="002F0CE4"/>
    <w:rsid w:val="002F0CEA"/>
    <w:rsid w:val="002F0DB6"/>
    <w:rsid w:val="002F0F66"/>
    <w:rsid w:val="002F0F7D"/>
    <w:rsid w:val="002F10DB"/>
    <w:rsid w:val="002F10E3"/>
    <w:rsid w:val="002F138E"/>
    <w:rsid w:val="002F139E"/>
    <w:rsid w:val="002F1491"/>
    <w:rsid w:val="002F151A"/>
    <w:rsid w:val="002F15C8"/>
    <w:rsid w:val="002F1622"/>
    <w:rsid w:val="002F1953"/>
    <w:rsid w:val="002F1A33"/>
    <w:rsid w:val="002F1A55"/>
    <w:rsid w:val="002F1AC4"/>
    <w:rsid w:val="002F1BFE"/>
    <w:rsid w:val="002F1C4A"/>
    <w:rsid w:val="002F1C61"/>
    <w:rsid w:val="002F1C66"/>
    <w:rsid w:val="002F1C77"/>
    <w:rsid w:val="002F1D1C"/>
    <w:rsid w:val="002F1DAF"/>
    <w:rsid w:val="002F1E17"/>
    <w:rsid w:val="002F1E8B"/>
    <w:rsid w:val="002F203D"/>
    <w:rsid w:val="002F214B"/>
    <w:rsid w:val="002F21B8"/>
    <w:rsid w:val="002F23A2"/>
    <w:rsid w:val="002F23AA"/>
    <w:rsid w:val="002F2577"/>
    <w:rsid w:val="002F25F6"/>
    <w:rsid w:val="002F26A8"/>
    <w:rsid w:val="002F26EB"/>
    <w:rsid w:val="002F2718"/>
    <w:rsid w:val="002F2774"/>
    <w:rsid w:val="002F2788"/>
    <w:rsid w:val="002F27FB"/>
    <w:rsid w:val="002F28E1"/>
    <w:rsid w:val="002F292D"/>
    <w:rsid w:val="002F29A4"/>
    <w:rsid w:val="002F29FD"/>
    <w:rsid w:val="002F2A77"/>
    <w:rsid w:val="002F2AEA"/>
    <w:rsid w:val="002F2C42"/>
    <w:rsid w:val="002F2C76"/>
    <w:rsid w:val="002F2DB4"/>
    <w:rsid w:val="002F304F"/>
    <w:rsid w:val="002F30D8"/>
    <w:rsid w:val="002F30DB"/>
    <w:rsid w:val="002F331B"/>
    <w:rsid w:val="002F352F"/>
    <w:rsid w:val="002F35A7"/>
    <w:rsid w:val="002F3680"/>
    <w:rsid w:val="002F36AA"/>
    <w:rsid w:val="002F36D9"/>
    <w:rsid w:val="002F373B"/>
    <w:rsid w:val="002F39DA"/>
    <w:rsid w:val="002F3A74"/>
    <w:rsid w:val="002F3B42"/>
    <w:rsid w:val="002F3B87"/>
    <w:rsid w:val="002F3BC4"/>
    <w:rsid w:val="002F3C37"/>
    <w:rsid w:val="002F3C95"/>
    <w:rsid w:val="002F3E83"/>
    <w:rsid w:val="002F3ED1"/>
    <w:rsid w:val="002F3EF0"/>
    <w:rsid w:val="002F3F84"/>
    <w:rsid w:val="002F3FA6"/>
    <w:rsid w:val="002F3FBE"/>
    <w:rsid w:val="002F410A"/>
    <w:rsid w:val="002F41F0"/>
    <w:rsid w:val="002F4235"/>
    <w:rsid w:val="002F4463"/>
    <w:rsid w:val="002F457D"/>
    <w:rsid w:val="002F4621"/>
    <w:rsid w:val="002F4875"/>
    <w:rsid w:val="002F48B3"/>
    <w:rsid w:val="002F49F0"/>
    <w:rsid w:val="002F4A16"/>
    <w:rsid w:val="002F4AEA"/>
    <w:rsid w:val="002F4CEF"/>
    <w:rsid w:val="002F4DF2"/>
    <w:rsid w:val="002F4E52"/>
    <w:rsid w:val="002F4F7B"/>
    <w:rsid w:val="002F4FAF"/>
    <w:rsid w:val="002F51EF"/>
    <w:rsid w:val="002F521F"/>
    <w:rsid w:val="002F5244"/>
    <w:rsid w:val="002F5284"/>
    <w:rsid w:val="002F5444"/>
    <w:rsid w:val="002F558D"/>
    <w:rsid w:val="002F5608"/>
    <w:rsid w:val="002F5706"/>
    <w:rsid w:val="002F574F"/>
    <w:rsid w:val="002F576E"/>
    <w:rsid w:val="002F586D"/>
    <w:rsid w:val="002F5980"/>
    <w:rsid w:val="002F59D1"/>
    <w:rsid w:val="002F59FE"/>
    <w:rsid w:val="002F5A20"/>
    <w:rsid w:val="002F5AA6"/>
    <w:rsid w:val="002F5AE1"/>
    <w:rsid w:val="002F5B2A"/>
    <w:rsid w:val="002F5B77"/>
    <w:rsid w:val="002F5C33"/>
    <w:rsid w:val="002F5C60"/>
    <w:rsid w:val="002F5C65"/>
    <w:rsid w:val="002F5CF2"/>
    <w:rsid w:val="002F5DB2"/>
    <w:rsid w:val="002F5E4A"/>
    <w:rsid w:val="002F5E5F"/>
    <w:rsid w:val="002F6140"/>
    <w:rsid w:val="002F616E"/>
    <w:rsid w:val="002F61F2"/>
    <w:rsid w:val="002F6241"/>
    <w:rsid w:val="002F629E"/>
    <w:rsid w:val="002F62A4"/>
    <w:rsid w:val="002F62DE"/>
    <w:rsid w:val="002F636F"/>
    <w:rsid w:val="002F6526"/>
    <w:rsid w:val="002F67AE"/>
    <w:rsid w:val="002F680B"/>
    <w:rsid w:val="002F69C1"/>
    <w:rsid w:val="002F6A4F"/>
    <w:rsid w:val="002F6ADC"/>
    <w:rsid w:val="002F6C14"/>
    <w:rsid w:val="002F6C91"/>
    <w:rsid w:val="002F6CC8"/>
    <w:rsid w:val="002F6D13"/>
    <w:rsid w:val="002F6DD0"/>
    <w:rsid w:val="002F6E23"/>
    <w:rsid w:val="002F6E44"/>
    <w:rsid w:val="002F6E89"/>
    <w:rsid w:val="002F7091"/>
    <w:rsid w:val="002F71C9"/>
    <w:rsid w:val="002F722A"/>
    <w:rsid w:val="002F72CB"/>
    <w:rsid w:val="002F7359"/>
    <w:rsid w:val="002F7430"/>
    <w:rsid w:val="002F749C"/>
    <w:rsid w:val="002F7562"/>
    <w:rsid w:val="002F75AC"/>
    <w:rsid w:val="002F75C3"/>
    <w:rsid w:val="002F75FF"/>
    <w:rsid w:val="002F7883"/>
    <w:rsid w:val="002F78E1"/>
    <w:rsid w:val="002F790C"/>
    <w:rsid w:val="002F79DE"/>
    <w:rsid w:val="002F7A39"/>
    <w:rsid w:val="002F7A63"/>
    <w:rsid w:val="002F7AA0"/>
    <w:rsid w:val="002F7C7E"/>
    <w:rsid w:val="002F7CA0"/>
    <w:rsid w:val="002F7D0F"/>
    <w:rsid w:val="002F7E0A"/>
    <w:rsid w:val="002F7F1F"/>
    <w:rsid w:val="002F7F3E"/>
    <w:rsid w:val="00300028"/>
    <w:rsid w:val="0030006D"/>
    <w:rsid w:val="0030011A"/>
    <w:rsid w:val="00300280"/>
    <w:rsid w:val="00300351"/>
    <w:rsid w:val="0030036E"/>
    <w:rsid w:val="003003B1"/>
    <w:rsid w:val="00300402"/>
    <w:rsid w:val="003004AF"/>
    <w:rsid w:val="00300538"/>
    <w:rsid w:val="003005E6"/>
    <w:rsid w:val="0030068F"/>
    <w:rsid w:val="003006B6"/>
    <w:rsid w:val="00300860"/>
    <w:rsid w:val="00300947"/>
    <w:rsid w:val="00300AFF"/>
    <w:rsid w:val="00300B48"/>
    <w:rsid w:val="00300C9C"/>
    <w:rsid w:val="00300E0C"/>
    <w:rsid w:val="00300F04"/>
    <w:rsid w:val="00300FAB"/>
    <w:rsid w:val="003010C1"/>
    <w:rsid w:val="0030112E"/>
    <w:rsid w:val="003011FC"/>
    <w:rsid w:val="003012A4"/>
    <w:rsid w:val="003012AF"/>
    <w:rsid w:val="003012E0"/>
    <w:rsid w:val="00301406"/>
    <w:rsid w:val="003014CA"/>
    <w:rsid w:val="003014DC"/>
    <w:rsid w:val="00301510"/>
    <w:rsid w:val="00301665"/>
    <w:rsid w:val="003016B3"/>
    <w:rsid w:val="003016DC"/>
    <w:rsid w:val="003016F0"/>
    <w:rsid w:val="0030175F"/>
    <w:rsid w:val="003017DF"/>
    <w:rsid w:val="003017FB"/>
    <w:rsid w:val="003018B0"/>
    <w:rsid w:val="003018C9"/>
    <w:rsid w:val="0030192E"/>
    <w:rsid w:val="00301973"/>
    <w:rsid w:val="00301A54"/>
    <w:rsid w:val="00301B3F"/>
    <w:rsid w:val="00301D03"/>
    <w:rsid w:val="00301D86"/>
    <w:rsid w:val="00301DD1"/>
    <w:rsid w:val="00301F8F"/>
    <w:rsid w:val="00302108"/>
    <w:rsid w:val="00302177"/>
    <w:rsid w:val="0030217C"/>
    <w:rsid w:val="00302360"/>
    <w:rsid w:val="003023E3"/>
    <w:rsid w:val="00302471"/>
    <w:rsid w:val="003024BD"/>
    <w:rsid w:val="0030256E"/>
    <w:rsid w:val="00302597"/>
    <w:rsid w:val="0030259A"/>
    <w:rsid w:val="003025B6"/>
    <w:rsid w:val="003025E3"/>
    <w:rsid w:val="0030262E"/>
    <w:rsid w:val="003026ED"/>
    <w:rsid w:val="003027E6"/>
    <w:rsid w:val="003028AF"/>
    <w:rsid w:val="003028BC"/>
    <w:rsid w:val="003028E9"/>
    <w:rsid w:val="00302968"/>
    <w:rsid w:val="00302B9F"/>
    <w:rsid w:val="00302D74"/>
    <w:rsid w:val="00303048"/>
    <w:rsid w:val="00303060"/>
    <w:rsid w:val="00303069"/>
    <w:rsid w:val="00303129"/>
    <w:rsid w:val="003031C0"/>
    <w:rsid w:val="0030332F"/>
    <w:rsid w:val="00303347"/>
    <w:rsid w:val="0030341A"/>
    <w:rsid w:val="00303442"/>
    <w:rsid w:val="00303601"/>
    <w:rsid w:val="003037D1"/>
    <w:rsid w:val="00303918"/>
    <w:rsid w:val="00303AD2"/>
    <w:rsid w:val="00303C01"/>
    <w:rsid w:val="00303CAB"/>
    <w:rsid w:val="00303D8F"/>
    <w:rsid w:val="00303EBC"/>
    <w:rsid w:val="00303F10"/>
    <w:rsid w:val="00303F2D"/>
    <w:rsid w:val="00303F9F"/>
    <w:rsid w:val="0030420B"/>
    <w:rsid w:val="00304279"/>
    <w:rsid w:val="003042CA"/>
    <w:rsid w:val="00304302"/>
    <w:rsid w:val="0030430C"/>
    <w:rsid w:val="0030432E"/>
    <w:rsid w:val="00304350"/>
    <w:rsid w:val="00304393"/>
    <w:rsid w:val="003043A1"/>
    <w:rsid w:val="003043F1"/>
    <w:rsid w:val="003044CE"/>
    <w:rsid w:val="00304603"/>
    <w:rsid w:val="00304614"/>
    <w:rsid w:val="0030461E"/>
    <w:rsid w:val="003046CA"/>
    <w:rsid w:val="003047C7"/>
    <w:rsid w:val="00304863"/>
    <w:rsid w:val="00304929"/>
    <w:rsid w:val="00304A1C"/>
    <w:rsid w:val="00304AD5"/>
    <w:rsid w:val="00304C2D"/>
    <w:rsid w:val="00304D5C"/>
    <w:rsid w:val="00304DEB"/>
    <w:rsid w:val="00304F38"/>
    <w:rsid w:val="00304F53"/>
    <w:rsid w:val="00304F6C"/>
    <w:rsid w:val="00304F94"/>
    <w:rsid w:val="00304FE1"/>
    <w:rsid w:val="003050FE"/>
    <w:rsid w:val="003051E7"/>
    <w:rsid w:val="00305473"/>
    <w:rsid w:val="00305494"/>
    <w:rsid w:val="003054CA"/>
    <w:rsid w:val="0030555C"/>
    <w:rsid w:val="003056B7"/>
    <w:rsid w:val="00305807"/>
    <w:rsid w:val="00305856"/>
    <w:rsid w:val="003058E3"/>
    <w:rsid w:val="00305922"/>
    <w:rsid w:val="00305928"/>
    <w:rsid w:val="00305A10"/>
    <w:rsid w:val="00305A61"/>
    <w:rsid w:val="00305ACF"/>
    <w:rsid w:val="00305C89"/>
    <w:rsid w:val="00305CE4"/>
    <w:rsid w:val="00305E54"/>
    <w:rsid w:val="00305ECB"/>
    <w:rsid w:val="00305F75"/>
    <w:rsid w:val="00305FE8"/>
    <w:rsid w:val="0030602F"/>
    <w:rsid w:val="00306062"/>
    <w:rsid w:val="00306102"/>
    <w:rsid w:val="003062CF"/>
    <w:rsid w:val="00306340"/>
    <w:rsid w:val="00306387"/>
    <w:rsid w:val="003063C4"/>
    <w:rsid w:val="003063DD"/>
    <w:rsid w:val="003065D9"/>
    <w:rsid w:val="0030669F"/>
    <w:rsid w:val="003066AB"/>
    <w:rsid w:val="003066CB"/>
    <w:rsid w:val="003066D7"/>
    <w:rsid w:val="0030670E"/>
    <w:rsid w:val="0030677D"/>
    <w:rsid w:val="00306968"/>
    <w:rsid w:val="00306E7D"/>
    <w:rsid w:val="00306EC7"/>
    <w:rsid w:val="0030708A"/>
    <w:rsid w:val="003070B6"/>
    <w:rsid w:val="003070CE"/>
    <w:rsid w:val="0030716F"/>
    <w:rsid w:val="0030723B"/>
    <w:rsid w:val="003072CF"/>
    <w:rsid w:val="00307581"/>
    <w:rsid w:val="00307597"/>
    <w:rsid w:val="003075A1"/>
    <w:rsid w:val="00307719"/>
    <w:rsid w:val="0030774B"/>
    <w:rsid w:val="0030781D"/>
    <w:rsid w:val="0030793D"/>
    <w:rsid w:val="00307BB2"/>
    <w:rsid w:val="00307BE0"/>
    <w:rsid w:val="00307C56"/>
    <w:rsid w:val="00307C9B"/>
    <w:rsid w:val="00307CFB"/>
    <w:rsid w:val="00307D80"/>
    <w:rsid w:val="00307E24"/>
    <w:rsid w:val="00307E7A"/>
    <w:rsid w:val="00307EC1"/>
    <w:rsid w:val="00310006"/>
    <w:rsid w:val="0031005F"/>
    <w:rsid w:val="003101D1"/>
    <w:rsid w:val="0031029C"/>
    <w:rsid w:val="00310369"/>
    <w:rsid w:val="003105A0"/>
    <w:rsid w:val="003105B7"/>
    <w:rsid w:val="003105CC"/>
    <w:rsid w:val="0031088E"/>
    <w:rsid w:val="003108C3"/>
    <w:rsid w:val="00310B43"/>
    <w:rsid w:val="00310BA1"/>
    <w:rsid w:val="00310BBF"/>
    <w:rsid w:val="00310BFC"/>
    <w:rsid w:val="00310C16"/>
    <w:rsid w:val="00310C95"/>
    <w:rsid w:val="00310EAE"/>
    <w:rsid w:val="00310FC1"/>
    <w:rsid w:val="00310FD3"/>
    <w:rsid w:val="00311060"/>
    <w:rsid w:val="00311143"/>
    <w:rsid w:val="00311166"/>
    <w:rsid w:val="0031117D"/>
    <w:rsid w:val="0031121D"/>
    <w:rsid w:val="00311259"/>
    <w:rsid w:val="003112C2"/>
    <w:rsid w:val="003112DC"/>
    <w:rsid w:val="003112F2"/>
    <w:rsid w:val="003113B3"/>
    <w:rsid w:val="00311536"/>
    <w:rsid w:val="00311562"/>
    <w:rsid w:val="003115D5"/>
    <w:rsid w:val="0031161D"/>
    <w:rsid w:val="0031163C"/>
    <w:rsid w:val="0031167B"/>
    <w:rsid w:val="003116C1"/>
    <w:rsid w:val="0031172A"/>
    <w:rsid w:val="003119BC"/>
    <w:rsid w:val="003119EE"/>
    <w:rsid w:val="003119F1"/>
    <w:rsid w:val="00311A5B"/>
    <w:rsid w:val="00311ACE"/>
    <w:rsid w:val="00311E3C"/>
    <w:rsid w:val="00311ED3"/>
    <w:rsid w:val="00311EE6"/>
    <w:rsid w:val="00311F99"/>
    <w:rsid w:val="00311FA4"/>
    <w:rsid w:val="00311FD9"/>
    <w:rsid w:val="0031208E"/>
    <w:rsid w:val="003120C1"/>
    <w:rsid w:val="003122D7"/>
    <w:rsid w:val="00312448"/>
    <w:rsid w:val="00312479"/>
    <w:rsid w:val="003125AF"/>
    <w:rsid w:val="003125F7"/>
    <w:rsid w:val="0031260A"/>
    <w:rsid w:val="0031262D"/>
    <w:rsid w:val="0031270D"/>
    <w:rsid w:val="003127E8"/>
    <w:rsid w:val="00312811"/>
    <w:rsid w:val="0031284B"/>
    <w:rsid w:val="003128A2"/>
    <w:rsid w:val="00312B07"/>
    <w:rsid w:val="00312B6A"/>
    <w:rsid w:val="00312E21"/>
    <w:rsid w:val="00312FD4"/>
    <w:rsid w:val="00313079"/>
    <w:rsid w:val="0031312E"/>
    <w:rsid w:val="003131FD"/>
    <w:rsid w:val="003132E5"/>
    <w:rsid w:val="003134AD"/>
    <w:rsid w:val="0031365B"/>
    <w:rsid w:val="003136F9"/>
    <w:rsid w:val="0031377E"/>
    <w:rsid w:val="003137AD"/>
    <w:rsid w:val="003137BA"/>
    <w:rsid w:val="00313808"/>
    <w:rsid w:val="00313892"/>
    <w:rsid w:val="00313908"/>
    <w:rsid w:val="00313B0C"/>
    <w:rsid w:val="00313BBF"/>
    <w:rsid w:val="00313BCB"/>
    <w:rsid w:val="00313BE8"/>
    <w:rsid w:val="00313BED"/>
    <w:rsid w:val="00313CAC"/>
    <w:rsid w:val="00313D7E"/>
    <w:rsid w:val="00313E6A"/>
    <w:rsid w:val="00313E82"/>
    <w:rsid w:val="00313F76"/>
    <w:rsid w:val="0031408B"/>
    <w:rsid w:val="003140A8"/>
    <w:rsid w:val="003140B6"/>
    <w:rsid w:val="0031440B"/>
    <w:rsid w:val="003144BD"/>
    <w:rsid w:val="00314545"/>
    <w:rsid w:val="00314578"/>
    <w:rsid w:val="00314587"/>
    <w:rsid w:val="003145BB"/>
    <w:rsid w:val="003145C3"/>
    <w:rsid w:val="00314610"/>
    <w:rsid w:val="003146CA"/>
    <w:rsid w:val="00314722"/>
    <w:rsid w:val="00314A14"/>
    <w:rsid w:val="00314A89"/>
    <w:rsid w:val="00314DE8"/>
    <w:rsid w:val="00314E90"/>
    <w:rsid w:val="00314F35"/>
    <w:rsid w:val="00315119"/>
    <w:rsid w:val="0031515D"/>
    <w:rsid w:val="003151A7"/>
    <w:rsid w:val="003151AA"/>
    <w:rsid w:val="0031520F"/>
    <w:rsid w:val="003153CB"/>
    <w:rsid w:val="003154C9"/>
    <w:rsid w:val="0031554F"/>
    <w:rsid w:val="003155F6"/>
    <w:rsid w:val="003156E6"/>
    <w:rsid w:val="00315729"/>
    <w:rsid w:val="0031573E"/>
    <w:rsid w:val="003157BC"/>
    <w:rsid w:val="003157BE"/>
    <w:rsid w:val="003157F3"/>
    <w:rsid w:val="003158F1"/>
    <w:rsid w:val="00315978"/>
    <w:rsid w:val="0031597D"/>
    <w:rsid w:val="00315A62"/>
    <w:rsid w:val="00315A6A"/>
    <w:rsid w:val="00315B04"/>
    <w:rsid w:val="00315C20"/>
    <w:rsid w:val="00315C55"/>
    <w:rsid w:val="00315D26"/>
    <w:rsid w:val="00315D48"/>
    <w:rsid w:val="00315E0D"/>
    <w:rsid w:val="00315E62"/>
    <w:rsid w:val="00315E6E"/>
    <w:rsid w:val="00315E78"/>
    <w:rsid w:val="00315E96"/>
    <w:rsid w:val="00315F93"/>
    <w:rsid w:val="00315F9A"/>
    <w:rsid w:val="0031602B"/>
    <w:rsid w:val="00316071"/>
    <w:rsid w:val="00316110"/>
    <w:rsid w:val="003161EB"/>
    <w:rsid w:val="0031621D"/>
    <w:rsid w:val="003162F9"/>
    <w:rsid w:val="00316373"/>
    <w:rsid w:val="0031657B"/>
    <w:rsid w:val="003168F4"/>
    <w:rsid w:val="0031691E"/>
    <w:rsid w:val="0031693A"/>
    <w:rsid w:val="0031695A"/>
    <w:rsid w:val="0031698E"/>
    <w:rsid w:val="00316B95"/>
    <w:rsid w:val="00316C5A"/>
    <w:rsid w:val="00316D2A"/>
    <w:rsid w:val="00316D2C"/>
    <w:rsid w:val="00316D6D"/>
    <w:rsid w:val="00316D92"/>
    <w:rsid w:val="00316E2B"/>
    <w:rsid w:val="00316E39"/>
    <w:rsid w:val="00316F10"/>
    <w:rsid w:val="0031719C"/>
    <w:rsid w:val="003171D8"/>
    <w:rsid w:val="003171EF"/>
    <w:rsid w:val="00317274"/>
    <w:rsid w:val="003173B2"/>
    <w:rsid w:val="00317679"/>
    <w:rsid w:val="00317797"/>
    <w:rsid w:val="003177A5"/>
    <w:rsid w:val="003177B7"/>
    <w:rsid w:val="003177E0"/>
    <w:rsid w:val="00317A71"/>
    <w:rsid w:val="00317AA8"/>
    <w:rsid w:val="00317C49"/>
    <w:rsid w:val="00317D68"/>
    <w:rsid w:val="00317DAB"/>
    <w:rsid w:val="00317DB4"/>
    <w:rsid w:val="00317E59"/>
    <w:rsid w:val="00317E8D"/>
    <w:rsid w:val="00320006"/>
    <w:rsid w:val="00320012"/>
    <w:rsid w:val="0032005A"/>
    <w:rsid w:val="00320089"/>
    <w:rsid w:val="003200AA"/>
    <w:rsid w:val="003200C4"/>
    <w:rsid w:val="003200DE"/>
    <w:rsid w:val="00320128"/>
    <w:rsid w:val="0032014E"/>
    <w:rsid w:val="0032023E"/>
    <w:rsid w:val="003203FA"/>
    <w:rsid w:val="003204BA"/>
    <w:rsid w:val="003205D6"/>
    <w:rsid w:val="00320710"/>
    <w:rsid w:val="0032096A"/>
    <w:rsid w:val="00320985"/>
    <w:rsid w:val="00320A07"/>
    <w:rsid w:val="00320B1F"/>
    <w:rsid w:val="00320B79"/>
    <w:rsid w:val="00320B8B"/>
    <w:rsid w:val="00320BFA"/>
    <w:rsid w:val="00320C34"/>
    <w:rsid w:val="00320CF7"/>
    <w:rsid w:val="00320DD0"/>
    <w:rsid w:val="00320DFE"/>
    <w:rsid w:val="00320E27"/>
    <w:rsid w:val="00320F93"/>
    <w:rsid w:val="00320FD4"/>
    <w:rsid w:val="0032102A"/>
    <w:rsid w:val="0032107F"/>
    <w:rsid w:val="00321250"/>
    <w:rsid w:val="003212CF"/>
    <w:rsid w:val="003213D3"/>
    <w:rsid w:val="003213E6"/>
    <w:rsid w:val="003214B3"/>
    <w:rsid w:val="00321509"/>
    <w:rsid w:val="00321545"/>
    <w:rsid w:val="00321579"/>
    <w:rsid w:val="0032162C"/>
    <w:rsid w:val="0032168B"/>
    <w:rsid w:val="00321746"/>
    <w:rsid w:val="003217FB"/>
    <w:rsid w:val="003218AA"/>
    <w:rsid w:val="00321DA6"/>
    <w:rsid w:val="00321EB2"/>
    <w:rsid w:val="00322263"/>
    <w:rsid w:val="00322486"/>
    <w:rsid w:val="0032259B"/>
    <w:rsid w:val="00322676"/>
    <w:rsid w:val="00322805"/>
    <w:rsid w:val="00322910"/>
    <w:rsid w:val="00322992"/>
    <w:rsid w:val="003229DC"/>
    <w:rsid w:val="00322A17"/>
    <w:rsid w:val="00322AC9"/>
    <w:rsid w:val="00322B0E"/>
    <w:rsid w:val="00322B86"/>
    <w:rsid w:val="00322BC6"/>
    <w:rsid w:val="00322BFF"/>
    <w:rsid w:val="00322C86"/>
    <w:rsid w:val="00322DC2"/>
    <w:rsid w:val="00322E13"/>
    <w:rsid w:val="00322EA5"/>
    <w:rsid w:val="00322F47"/>
    <w:rsid w:val="00322F68"/>
    <w:rsid w:val="00322FBD"/>
    <w:rsid w:val="003230CA"/>
    <w:rsid w:val="0032316C"/>
    <w:rsid w:val="003231CF"/>
    <w:rsid w:val="003232C9"/>
    <w:rsid w:val="003234D8"/>
    <w:rsid w:val="00323501"/>
    <w:rsid w:val="00323513"/>
    <w:rsid w:val="00323546"/>
    <w:rsid w:val="00323611"/>
    <w:rsid w:val="003236C6"/>
    <w:rsid w:val="00323825"/>
    <w:rsid w:val="003238C0"/>
    <w:rsid w:val="003238FB"/>
    <w:rsid w:val="0032399A"/>
    <w:rsid w:val="00323AC7"/>
    <w:rsid w:val="00323B53"/>
    <w:rsid w:val="00323D0A"/>
    <w:rsid w:val="00323D4B"/>
    <w:rsid w:val="00323DD2"/>
    <w:rsid w:val="00323E43"/>
    <w:rsid w:val="00323EDC"/>
    <w:rsid w:val="00323EE5"/>
    <w:rsid w:val="00323F6A"/>
    <w:rsid w:val="00324256"/>
    <w:rsid w:val="00324434"/>
    <w:rsid w:val="00324479"/>
    <w:rsid w:val="003244E2"/>
    <w:rsid w:val="00324571"/>
    <w:rsid w:val="0032458A"/>
    <w:rsid w:val="003245BF"/>
    <w:rsid w:val="00324738"/>
    <w:rsid w:val="00324749"/>
    <w:rsid w:val="003249D4"/>
    <w:rsid w:val="00324A79"/>
    <w:rsid w:val="00324AB7"/>
    <w:rsid w:val="00324B48"/>
    <w:rsid w:val="00324BD0"/>
    <w:rsid w:val="00324D35"/>
    <w:rsid w:val="00324DEC"/>
    <w:rsid w:val="00324F46"/>
    <w:rsid w:val="00324F5D"/>
    <w:rsid w:val="0032506E"/>
    <w:rsid w:val="003252DE"/>
    <w:rsid w:val="00325487"/>
    <w:rsid w:val="0032548C"/>
    <w:rsid w:val="0032550E"/>
    <w:rsid w:val="00325658"/>
    <w:rsid w:val="003257B1"/>
    <w:rsid w:val="00325B88"/>
    <w:rsid w:val="00325C43"/>
    <w:rsid w:val="00325C6A"/>
    <w:rsid w:val="00325D74"/>
    <w:rsid w:val="00325EAA"/>
    <w:rsid w:val="00325F97"/>
    <w:rsid w:val="00325FD9"/>
    <w:rsid w:val="00326028"/>
    <w:rsid w:val="00326188"/>
    <w:rsid w:val="003261E3"/>
    <w:rsid w:val="0032624D"/>
    <w:rsid w:val="0032641A"/>
    <w:rsid w:val="003265B1"/>
    <w:rsid w:val="0032679D"/>
    <w:rsid w:val="003267AA"/>
    <w:rsid w:val="003268F1"/>
    <w:rsid w:val="00326A6B"/>
    <w:rsid w:val="00326A91"/>
    <w:rsid w:val="00326AA8"/>
    <w:rsid w:val="00326ABE"/>
    <w:rsid w:val="00326ABF"/>
    <w:rsid w:val="00326AD6"/>
    <w:rsid w:val="00326B10"/>
    <w:rsid w:val="00326CEB"/>
    <w:rsid w:val="00326ED9"/>
    <w:rsid w:val="00326F49"/>
    <w:rsid w:val="00326FE5"/>
    <w:rsid w:val="0032702A"/>
    <w:rsid w:val="0032705C"/>
    <w:rsid w:val="00327079"/>
    <w:rsid w:val="00327094"/>
    <w:rsid w:val="0032710C"/>
    <w:rsid w:val="00327118"/>
    <w:rsid w:val="003271B2"/>
    <w:rsid w:val="00327361"/>
    <w:rsid w:val="003273D9"/>
    <w:rsid w:val="00327429"/>
    <w:rsid w:val="0032759C"/>
    <w:rsid w:val="00327687"/>
    <w:rsid w:val="003276D4"/>
    <w:rsid w:val="00327748"/>
    <w:rsid w:val="003277AD"/>
    <w:rsid w:val="00327A56"/>
    <w:rsid w:val="00327A6C"/>
    <w:rsid w:val="00327A9A"/>
    <w:rsid w:val="00327B3C"/>
    <w:rsid w:val="00327B4A"/>
    <w:rsid w:val="00327B9E"/>
    <w:rsid w:val="00327C5B"/>
    <w:rsid w:val="00327C93"/>
    <w:rsid w:val="00327CB7"/>
    <w:rsid w:val="00327CDB"/>
    <w:rsid w:val="00327E87"/>
    <w:rsid w:val="00327F3F"/>
    <w:rsid w:val="00327F8D"/>
    <w:rsid w:val="0033000D"/>
    <w:rsid w:val="00330035"/>
    <w:rsid w:val="0033008F"/>
    <w:rsid w:val="003300A7"/>
    <w:rsid w:val="003300B0"/>
    <w:rsid w:val="003301ED"/>
    <w:rsid w:val="003303A2"/>
    <w:rsid w:val="003303E5"/>
    <w:rsid w:val="00330470"/>
    <w:rsid w:val="00330501"/>
    <w:rsid w:val="00330810"/>
    <w:rsid w:val="00330978"/>
    <w:rsid w:val="00330998"/>
    <w:rsid w:val="0033099E"/>
    <w:rsid w:val="003309DC"/>
    <w:rsid w:val="00330B9A"/>
    <w:rsid w:val="00330BE8"/>
    <w:rsid w:val="00330D12"/>
    <w:rsid w:val="00330E83"/>
    <w:rsid w:val="00330EF1"/>
    <w:rsid w:val="00330F69"/>
    <w:rsid w:val="00330F8D"/>
    <w:rsid w:val="00331008"/>
    <w:rsid w:val="003310C9"/>
    <w:rsid w:val="003310F3"/>
    <w:rsid w:val="00331125"/>
    <w:rsid w:val="00331129"/>
    <w:rsid w:val="003311BD"/>
    <w:rsid w:val="00331206"/>
    <w:rsid w:val="00331314"/>
    <w:rsid w:val="003313D7"/>
    <w:rsid w:val="00331482"/>
    <w:rsid w:val="003314C9"/>
    <w:rsid w:val="00331668"/>
    <w:rsid w:val="00331684"/>
    <w:rsid w:val="00331721"/>
    <w:rsid w:val="00331734"/>
    <w:rsid w:val="0033186D"/>
    <w:rsid w:val="00331937"/>
    <w:rsid w:val="00331950"/>
    <w:rsid w:val="0033197E"/>
    <w:rsid w:val="00331ADD"/>
    <w:rsid w:val="00331B22"/>
    <w:rsid w:val="00331B85"/>
    <w:rsid w:val="00331E83"/>
    <w:rsid w:val="00331E91"/>
    <w:rsid w:val="00331EB2"/>
    <w:rsid w:val="00331F29"/>
    <w:rsid w:val="00331F61"/>
    <w:rsid w:val="00331FE6"/>
    <w:rsid w:val="00332015"/>
    <w:rsid w:val="0033214B"/>
    <w:rsid w:val="003324F3"/>
    <w:rsid w:val="003324F7"/>
    <w:rsid w:val="0033256C"/>
    <w:rsid w:val="003325BC"/>
    <w:rsid w:val="00332623"/>
    <w:rsid w:val="003327E6"/>
    <w:rsid w:val="0033285C"/>
    <w:rsid w:val="003328F3"/>
    <w:rsid w:val="00332A24"/>
    <w:rsid w:val="00332ABE"/>
    <w:rsid w:val="00332AF3"/>
    <w:rsid w:val="00332B6E"/>
    <w:rsid w:val="00332DB4"/>
    <w:rsid w:val="00332FFC"/>
    <w:rsid w:val="00333073"/>
    <w:rsid w:val="003330B7"/>
    <w:rsid w:val="00333167"/>
    <w:rsid w:val="00333364"/>
    <w:rsid w:val="00333489"/>
    <w:rsid w:val="0033362B"/>
    <w:rsid w:val="00333751"/>
    <w:rsid w:val="003337AB"/>
    <w:rsid w:val="00333802"/>
    <w:rsid w:val="003338F8"/>
    <w:rsid w:val="00333903"/>
    <w:rsid w:val="00333B14"/>
    <w:rsid w:val="00333BC4"/>
    <w:rsid w:val="00333C1A"/>
    <w:rsid w:val="00333C9F"/>
    <w:rsid w:val="00333CB7"/>
    <w:rsid w:val="00333CD2"/>
    <w:rsid w:val="00333D54"/>
    <w:rsid w:val="00333D64"/>
    <w:rsid w:val="00333E45"/>
    <w:rsid w:val="00333E94"/>
    <w:rsid w:val="00333F50"/>
    <w:rsid w:val="00333FFC"/>
    <w:rsid w:val="0033400C"/>
    <w:rsid w:val="003340A6"/>
    <w:rsid w:val="003340EC"/>
    <w:rsid w:val="00334136"/>
    <w:rsid w:val="00334205"/>
    <w:rsid w:val="003342E7"/>
    <w:rsid w:val="00334380"/>
    <w:rsid w:val="00334448"/>
    <w:rsid w:val="0033454D"/>
    <w:rsid w:val="003345E9"/>
    <w:rsid w:val="003346B2"/>
    <w:rsid w:val="003346B9"/>
    <w:rsid w:val="00334773"/>
    <w:rsid w:val="00334981"/>
    <w:rsid w:val="003349ED"/>
    <w:rsid w:val="00334B8E"/>
    <w:rsid w:val="00334C69"/>
    <w:rsid w:val="00334CA0"/>
    <w:rsid w:val="00334E1D"/>
    <w:rsid w:val="00334E33"/>
    <w:rsid w:val="00334E52"/>
    <w:rsid w:val="00334EB3"/>
    <w:rsid w:val="00334F90"/>
    <w:rsid w:val="003350DC"/>
    <w:rsid w:val="00335125"/>
    <w:rsid w:val="0033516F"/>
    <w:rsid w:val="0033522D"/>
    <w:rsid w:val="003354B1"/>
    <w:rsid w:val="003354CD"/>
    <w:rsid w:val="00335519"/>
    <w:rsid w:val="00335592"/>
    <w:rsid w:val="003356A1"/>
    <w:rsid w:val="003356E7"/>
    <w:rsid w:val="003356F8"/>
    <w:rsid w:val="00335984"/>
    <w:rsid w:val="00335AF6"/>
    <w:rsid w:val="00335B0A"/>
    <w:rsid w:val="00335B20"/>
    <w:rsid w:val="00335B7E"/>
    <w:rsid w:val="00335BD6"/>
    <w:rsid w:val="00335DC8"/>
    <w:rsid w:val="00335F06"/>
    <w:rsid w:val="00335F31"/>
    <w:rsid w:val="00335F38"/>
    <w:rsid w:val="00336140"/>
    <w:rsid w:val="0033614D"/>
    <w:rsid w:val="00336227"/>
    <w:rsid w:val="003362C4"/>
    <w:rsid w:val="00336439"/>
    <w:rsid w:val="00336596"/>
    <w:rsid w:val="003365BC"/>
    <w:rsid w:val="003365EB"/>
    <w:rsid w:val="00336661"/>
    <w:rsid w:val="003367FB"/>
    <w:rsid w:val="00336824"/>
    <w:rsid w:val="003368F9"/>
    <w:rsid w:val="003369D1"/>
    <w:rsid w:val="00336A7C"/>
    <w:rsid w:val="00336A87"/>
    <w:rsid w:val="00336BD5"/>
    <w:rsid w:val="00336CF3"/>
    <w:rsid w:val="00336D2C"/>
    <w:rsid w:val="00336E44"/>
    <w:rsid w:val="00336EDF"/>
    <w:rsid w:val="00336F38"/>
    <w:rsid w:val="00336F6A"/>
    <w:rsid w:val="00336FCB"/>
    <w:rsid w:val="0033709D"/>
    <w:rsid w:val="0033715C"/>
    <w:rsid w:val="00337234"/>
    <w:rsid w:val="003372D6"/>
    <w:rsid w:val="0033737F"/>
    <w:rsid w:val="003373C8"/>
    <w:rsid w:val="003373CD"/>
    <w:rsid w:val="003374B9"/>
    <w:rsid w:val="0033755A"/>
    <w:rsid w:val="0033758D"/>
    <w:rsid w:val="003375A7"/>
    <w:rsid w:val="00337626"/>
    <w:rsid w:val="00337768"/>
    <w:rsid w:val="00337802"/>
    <w:rsid w:val="0033798A"/>
    <w:rsid w:val="003379A3"/>
    <w:rsid w:val="00337B20"/>
    <w:rsid w:val="00337B30"/>
    <w:rsid w:val="00337B83"/>
    <w:rsid w:val="00337C19"/>
    <w:rsid w:val="00337C1F"/>
    <w:rsid w:val="00337C83"/>
    <w:rsid w:val="00337D29"/>
    <w:rsid w:val="00340100"/>
    <w:rsid w:val="003401A6"/>
    <w:rsid w:val="00340234"/>
    <w:rsid w:val="0034023C"/>
    <w:rsid w:val="00340285"/>
    <w:rsid w:val="003402C9"/>
    <w:rsid w:val="00340437"/>
    <w:rsid w:val="00340573"/>
    <w:rsid w:val="003405EC"/>
    <w:rsid w:val="00340679"/>
    <w:rsid w:val="0034070B"/>
    <w:rsid w:val="003407DE"/>
    <w:rsid w:val="0034085C"/>
    <w:rsid w:val="00340988"/>
    <w:rsid w:val="003409AC"/>
    <w:rsid w:val="00340AEA"/>
    <w:rsid w:val="00340C0E"/>
    <w:rsid w:val="00340C51"/>
    <w:rsid w:val="00340D1E"/>
    <w:rsid w:val="00340D3A"/>
    <w:rsid w:val="00340E59"/>
    <w:rsid w:val="00340E6A"/>
    <w:rsid w:val="00340EA2"/>
    <w:rsid w:val="00340ED3"/>
    <w:rsid w:val="00340F5B"/>
    <w:rsid w:val="00340FE3"/>
    <w:rsid w:val="00341111"/>
    <w:rsid w:val="0034112C"/>
    <w:rsid w:val="00341180"/>
    <w:rsid w:val="003412C5"/>
    <w:rsid w:val="00341305"/>
    <w:rsid w:val="003413C1"/>
    <w:rsid w:val="003414D3"/>
    <w:rsid w:val="003414E0"/>
    <w:rsid w:val="00341586"/>
    <w:rsid w:val="003415B6"/>
    <w:rsid w:val="003416B0"/>
    <w:rsid w:val="00341721"/>
    <w:rsid w:val="00341776"/>
    <w:rsid w:val="003417D2"/>
    <w:rsid w:val="00341810"/>
    <w:rsid w:val="0034188A"/>
    <w:rsid w:val="003418BF"/>
    <w:rsid w:val="0034197B"/>
    <w:rsid w:val="00341B1D"/>
    <w:rsid w:val="00341C40"/>
    <w:rsid w:val="00341C6E"/>
    <w:rsid w:val="00341CB9"/>
    <w:rsid w:val="00341EC5"/>
    <w:rsid w:val="00341F20"/>
    <w:rsid w:val="0034203A"/>
    <w:rsid w:val="00342072"/>
    <w:rsid w:val="003420C2"/>
    <w:rsid w:val="0034211C"/>
    <w:rsid w:val="00342164"/>
    <w:rsid w:val="003421A8"/>
    <w:rsid w:val="0034224A"/>
    <w:rsid w:val="003422E0"/>
    <w:rsid w:val="003422F1"/>
    <w:rsid w:val="00342331"/>
    <w:rsid w:val="00342451"/>
    <w:rsid w:val="0034252C"/>
    <w:rsid w:val="00342555"/>
    <w:rsid w:val="0034258A"/>
    <w:rsid w:val="003426AB"/>
    <w:rsid w:val="003427CE"/>
    <w:rsid w:val="00342ADF"/>
    <w:rsid w:val="00342B12"/>
    <w:rsid w:val="00342BBE"/>
    <w:rsid w:val="00342C50"/>
    <w:rsid w:val="00342C92"/>
    <w:rsid w:val="00342E0A"/>
    <w:rsid w:val="00342EE0"/>
    <w:rsid w:val="00343145"/>
    <w:rsid w:val="003431F4"/>
    <w:rsid w:val="00343259"/>
    <w:rsid w:val="0034331B"/>
    <w:rsid w:val="003433B8"/>
    <w:rsid w:val="0034356F"/>
    <w:rsid w:val="003435FD"/>
    <w:rsid w:val="0034367B"/>
    <w:rsid w:val="0034367C"/>
    <w:rsid w:val="003438A9"/>
    <w:rsid w:val="0034396D"/>
    <w:rsid w:val="00343986"/>
    <w:rsid w:val="00343A41"/>
    <w:rsid w:val="00343A58"/>
    <w:rsid w:val="00343AB5"/>
    <w:rsid w:val="00343ADD"/>
    <w:rsid w:val="00343B26"/>
    <w:rsid w:val="00343B6A"/>
    <w:rsid w:val="00343C83"/>
    <w:rsid w:val="00343CC8"/>
    <w:rsid w:val="00343E9F"/>
    <w:rsid w:val="00343F4F"/>
    <w:rsid w:val="00344039"/>
    <w:rsid w:val="00344075"/>
    <w:rsid w:val="003440BA"/>
    <w:rsid w:val="003442AF"/>
    <w:rsid w:val="0034434B"/>
    <w:rsid w:val="0034434E"/>
    <w:rsid w:val="003443DD"/>
    <w:rsid w:val="00344472"/>
    <w:rsid w:val="00344681"/>
    <w:rsid w:val="003447F2"/>
    <w:rsid w:val="0034485A"/>
    <w:rsid w:val="0034490C"/>
    <w:rsid w:val="00344ADF"/>
    <w:rsid w:val="00344B00"/>
    <w:rsid w:val="00344D4D"/>
    <w:rsid w:val="00344DE1"/>
    <w:rsid w:val="00344E67"/>
    <w:rsid w:val="00344E95"/>
    <w:rsid w:val="00344F59"/>
    <w:rsid w:val="0034525C"/>
    <w:rsid w:val="00345263"/>
    <w:rsid w:val="0034526E"/>
    <w:rsid w:val="003452B2"/>
    <w:rsid w:val="003453C1"/>
    <w:rsid w:val="00345596"/>
    <w:rsid w:val="003455F4"/>
    <w:rsid w:val="0034560E"/>
    <w:rsid w:val="00345672"/>
    <w:rsid w:val="00345769"/>
    <w:rsid w:val="0034576D"/>
    <w:rsid w:val="00345917"/>
    <w:rsid w:val="00345B29"/>
    <w:rsid w:val="00345B49"/>
    <w:rsid w:val="00345CFB"/>
    <w:rsid w:val="00345D4E"/>
    <w:rsid w:val="00345D59"/>
    <w:rsid w:val="00345DCD"/>
    <w:rsid w:val="00345EE4"/>
    <w:rsid w:val="00345FB4"/>
    <w:rsid w:val="00346014"/>
    <w:rsid w:val="00346049"/>
    <w:rsid w:val="00346131"/>
    <w:rsid w:val="0034651F"/>
    <w:rsid w:val="00346661"/>
    <w:rsid w:val="0034667D"/>
    <w:rsid w:val="00346687"/>
    <w:rsid w:val="003467F0"/>
    <w:rsid w:val="0034683D"/>
    <w:rsid w:val="0034697D"/>
    <w:rsid w:val="00346A12"/>
    <w:rsid w:val="00346B10"/>
    <w:rsid w:val="00346B6D"/>
    <w:rsid w:val="00346BDE"/>
    <w:rsid w:val="00346C93"/>
    <w:rsid w:val="00346E15"/>
    <w:rsid w:val="00346E3A"/>
    <w:rsid w:val="00346FA7"/>
    <w:rsid w:val="003470E8"/>
    <w:rsid w:val="00347147"/>
    <w:rsid w:val="003471D9"/>
    <w:rsid w:val="00347273"/>
    <w:rsid w:val="0034727E"/>
    <w:rsid w:val="003472F4"/>
    <w:rsid w:val="0034742F"/>
    <w:rsid w:val="00347545"/>
    <w:rsid w:val="00347615"/>
    <w:rsid w:val="00347647"/>
    <w:rsid w:val="00347720"/>
    <w:rsid w:val="00347920"/>
    <w:rsid w:val="003479C6"/>
    <w:rsid w:val="00347B7D"/>
    <w:rsid w:val="00347C3E"/>
    <w:rsid w:val="00347D33"/>
    <w:rsid w:val="00347DBC"/>
    <w:rsid w:val="00347E32"/>
    <w:rsid w:val="00347F71"/>
    <w:rsid w:val="00347FBB"/>
    <w:rsid w:val="0035018B"/>
    <w:rsid w:val="003501E3"/>
    <w:rsid w:val="00350213"/>
    <w:rsid w:val="003502DE"/>
    <w:rsid w:val="003502EC"/>
    <w:rsid w:val="00350410"/>
    <w:rsid w:val="003504E8"/>
    <w:rsid w:val="00350578"/>
    <w:rsid w:val="003505AF"/>
    <w:rsid w:val="003505C0"/>
    <w:rsid w:val="003505E1"/>
    <w:rsid w:val="0035060E"/>
    <w:rsid w:val="00350620"/>
    <w:rsid w:val="003506B7"/>
    <w:rsid w:val="003506DC"/>
    <w:rsid w:val="00350ADF"/>
    <w:rsid w:val="00350B3C"/>
    <w:rsid w:val="00350BA7"/>
    <w:rsid w:val="00350CEA"/>
    <w:rsid w:val="00350D20"/>
    <w:rsid w:val="00350D41"/>
    <w:rsid w:val="00350DBD"/>
    <w:rsid w:val="00350DD8"/>
    <w:rsid w:val="0035102E"/>
    <w:rsid w:val="003510B9"/>
    <w:rsid w:val="00351145"/>
    <w:rsid w:val="0035114E"/>
    <w:rsid w:val="003511C8"/>
    <w:rsid w:val="003511E8"/>
    <w:rsid w:val="00351262"/>
    <w:rsid w:val="003512FD"/>
    <w:rsid w:val="003515BC"/>
    <w:rsid w:val="003516AA"/>
    <w:rsid w:val="0035189E"/>
    <w:rsid w:val="00351A66"/>
    <w:rsid w:val="00351ACB"/>
    <w:rsid w:val="00351B71"/>
    <w:rsid w:val="00351B98"/>
    <w:rsid w:val="00351C22"/>
    <w:rsid w:val="00351EDE"/>
    <w:rsid w:val="00351EF9"/>
    <w:rsid w:val="00351F1D"/>
    <w:rsid w:val="00351F2B"/>
    <w:rsid w:val="00351F4F"/>
    <w:rsid w:val="0035209A"/>
    <w:rsid w:val="0035211E"/>
    <w:rsid w:val="003521A6"/>
    <w:rsid w:val="00352206"/>
    <w:rsid w:val="0035224F"/>
    <w:rsid w:val="00352363"/>
    <w:rsid w:val="00352656"/>
    <w:rsid w:val="00352698"/>
    <w:rsid w:val="00352B4B"/>
    <w:rsid w:val="00352C15"/>
    <w:rsid w:val="00352C70"/>
    <w:rsid w:val="00352CA7"/>
    <w:rsid w:val="00352CE0"/>
    <w:rsid w:val="00352D56"/>
    <w:rsid w:val="00352D57"/>
    <w:rsid w:val="00352D60"/>
    <w:rsid w:val="00352EB1"/>
    <w:rsid w:val="00352FA3"/>
    <w:rsid w:val="00352FEE"/>
    <w:rsid w:val="003530C7"/>
    <w:rsid w:val="003530F5"/>
    <w:rsid w:val="0035322B"/>
    <w:rsid w:val="00353243"/>
    <w:rsid w:val="003533AF"/>
    <w:rsid w:val="0035344F"/>
    <w:rsid w:val="003534D9"/>
    <w:rsid w:val="00353513"/>
    <w:rsid w:val="003535CF"/>
    <w:rsid w:val="003536D4"/>
    <w:rsid w:val="00353708"/>
    <w:rsid w:val="003537AD"/>
    <w:rsid w:val="0035388F"/>
    <w:rsid w:val="003538DD"/>
    <w:rsid w:val="003539EB"/>
    <w:rsid w:val="00353A67"/>
    <w:rsid w:val="00353BBD"/>
    <w:rsid w:val="00353BE3"/>
    <w:rsid w:val="00353C9A"/>
    <w:rsid w:val="00353CDA"/>
    <w:rsid w:val="00353F30"/>
    <w:rsid w:val="0035469F"/>
    <w:rsid w:val="00354752"/>
    <w:rsid w:val="00354781"/>
    <w:rsid w:val="003547E5"/>
    <w:rsid w:val="0035480C"/>
    <w:rsid w:val="00354888"/>
    <w:rsid w:val="00354B31"/>
    <w:rsid w:val="00354B6D"/>
    <w:rsid w:val="00354D84"/>
    <w:rsid w:val="00354D93"/>
    <w:rsid w:val="00355180"/>
    <w:rsid w:val="00355243"/>
    <w:rsid w:val="00355293"/>
    <w:rsid w:val="003553FB"/>
    <w:rsid w:val="0035541D"/>
    <w:rsid w:val="003554E2"/>
    <w:rsid w:val="003555E3"/>
    <w:rsid w:val="0035561A"/>
    <w:rsid w:val="00355797"/>
    <w:rsid w:val="00355820"/>
    <w:rsid w:val="00355830"/>
    <w:rsid w:val="0035593F"/>
    <w:rsid w:val="00355A63"/>
    <w:rsid w:val="00355AE7"/>
    <w:rsid w:val="00355AF0"/>
    <w:rsid w:val="00355C14"/>
    <w:rsid w:val="00355CE6"/>
    <w:rsid w:val="00355DD8"/>
    <w:rsid w:val="00355E25"/>
    <w:rsid w:val="00355E28"/>
    <w:rsid w:val="00355E69"/>
    <w:rsid w:val="00355E78"/>
    <w:rsid w:val="00355E7B"/>
    <w:rsid w:val="00355F3A"/>
    <w:rsid w:val="00355FC9"/>
    <w:rsid w:val="00355FFF"/>
    <w:rsid w:val="0035623D"/>
    <w:rsid w:val="003563C6"/>
    <w:rsid w:val="00356496"/>
    <w:rsid w:val="003565A5"/>
    <w:rsid w:val="003565E8"/>
    <w:rsid w:val="0035660B"/>
    <w:rsid w:val="003566B4"/>
    <w:rsid w:val="003566B6"/>
    <w:rsid w:val="003567C3"/>
    <w:rsid w:val="0035694C"/>
    <w:rsid w:val="003569DB"/>
    <w:rsid w:val="00356A0F"/>
    <w:rsid w:val="00356A35"/>
    <w:rsid w:val="00356D1D"/>
    <w:rsid w:val="00356D3A"/>
    <w:rsid w:val="00356F32"/>
    <w:rsid w:val="00356F7C"/>
    <w:rsid w:val="00357187"/>
    <w:rsid w:val="003572F4"/>
    <w:rsid w:val="00357321"/>
    <w:rsid w:val="0035743E"/>
    <w:rsid w:val="00357539"/>
    <w:rsid w:val="00357795"/>
    <w:rsid w:val="003579E7"/>
    <w:rsid w:val="00357A79"/>
    <w:rsid w:val="00357D02"/>
    <w:rsid w:val="00357D06"/>
    <w:rsid w:val="00357DF1"/>
    <w:rsid w:val="00357DF3"/>
    <w:rsid w:val="00357EF1"/>
    <w:rsid w:val="0035B7C4"/>
    <w:rsid w:val="00360059"/>
    <w:rsid w:val="0036017A"/>
    <w:rsid w:val="00360262"/>
    <w:rsid w:val="003602BC"/>
    <w:rsid w:val="00360348"/>
    <w:rsid w:val="003604FC"/>
    <w:rsid w:val="003605AC"/>
    <w:rsid w:val="003606E1"/>
    <w:rsid w:val="00360726"/>
    <w:rsid w:val="0036074F"/>
    <w:rsid w:val="0036082B"/>
    <w:rsid w:val="00360AA6"/>
    <w:rsid w:val="00360B1D"/>
    <w:rsid w:val="00360B4A"/>
    <w:rsid w:val="00360C4C"/>
    <w:rsid w:val="00360CCA"/>
    <w:rsid w:val="00360CF1"/>
    <w:rsid w:val="00360D4A"/>
    <w:rsid w:val="00360F50"/>
    <w:rsid w:val="00360F70"/>
    <w:rsid w:val="00361063"/>
    <w:rsid w:val="00361083"/>
    <w:rsid w:val="003612FD"/>
    <w:rsid w:val="00361371"/>
    <w:rsid w:val="00361513"/>
    <w:rsid w:val="003615D9"/>
    <w:rsid w:val="003615E8"/>
    <w:rsid w:val="00361661"/>
    <w:rsid w:val="0036167A"/>
    <w:rsid w:val="0036188A"/>
    <w:rsid w:val="003618A3"/>
    <w:rsid w:val="003619F0"/>
    <w:rsid w:val="003619F9"/>
    <w:rsid w:val="00361ABB"/>
    <w:rsid w:val="00361EE1"/>
    <w:rsid w:val="00361FAF"/>
    <w:rsid w:val="00361FCD"/>
    <w:rsid w:val="0036204F"/>
    <w:rsid w:val="003621CE"/>
    <w:rsid w:val="003621D7"/>
    <w:rsid w:val="003622E3"/>
    <w:rsid w:val="00362478"/>
    <w:rsid w:val="003624F3"/>
    <w:rsid w:val="00362557"/>
    <w:rsid w:val="00362564"/>
    <w:rsid w:val="003626EB"/>
    <w:rsid w:val="00362836"/>
    <w:rsid w:val="0036288E"/>
    <w:rsid w:val="0036288F"/>
    <w:rsid w:val="003628A5"/>
    <w:rsid w:val="003628B6"/>
    <w:rsid w:val="003629DE"/>
    <w:rsid w:val="003629E6"/>
    <w:rsid w:val="00362A0D"/>
    <w:rsid w:val="00362BE6"/>
    <w:rsid w:val="00362C04"/>
    <w:rsid w:val="00362C06"/>
    <w:rsid w:val="00362C34"/>
    <w:rsid w:val="00362CD7"/>
    <w:rsid w:val="00362E0A"/>
    <w:rsid w:val="00362EC7"/>
    <w:rsid w:val="00362F53"/>
    <w:rsid w:val="00362FCA"/>
    <w:rsid w:val="003630E5"/>
    <w:rsid w:val="00363174"/>
    <w:rsid w:val="00363195"/>
    <w:rsid w:val="00363206"/>
    <w:rsid w:val="00363213"/>
    <w:rsid w:val="00363270"/>
    <w:rsid w:val="003632A0"/>
    <w:rsid w:val="0036333F"/>
    <w:rsid w:val="00363458"/>
    <w:rsid w:val="00363528"/>
    <w:rsid w:val="003635AC"/>
    <w:rsid w:val="003635DD"/>
    <w:rsid w:val="00363601"/>
    <w:rsid w:val="00363668"/>
    <w:rsid w:val="003636D5"/>
    <w:rsid w:val="0036374C"/>
    <w:rsid w:val="003637AC"/>
    <w:rsid w:val="003637EE"/>
    <w:rsid w:val="0036382D"/>
    <w:rsid w:val="00363B7F"/>
    <w:rsid w:val="00363EFB"/>
    <w:rsid w:val="00363F48"/>
    <w:rsid w:val="00363FD2"/>
    <w:rsid w:val="00364153"/>
    <w:rsid w:val="0036429B"/>
    <w:rsid w:val="00364322"/>
    <w:rsid w:val="0036447C"/>
    <w:rsid w:val="00364662"/>
    <w:rsid w:val="0036467C"/>
    <w:rsid w:val="00364726"/>
    <w:rsid w:val="003647E0"/>
    <w:rsid w:val="0036496E"/>
    <w:rsid w:val="00364A34"/>
    <w:rsid w:val="00364A4A"/>
    <w:rsid w:val="00364B8D"/>
    <w:rsid w:val="00364C9F"/>
    <w:rsid w:val="00364CAB"/>
    <w:rsid w:val="00364D2B"/>
    <w:rsid w:val="00364DF5"/>
    <w:rsid w:val="00364E2B"/>
    <w:rsid w:val="00364E50"/>
    <w:rsid w:val="00364E68"/>
    <w:rsid w:val="00364ECE"/>
    <w:rsid w:val="00364EF2"/>
    <w:rsid w:val="00364FC8"/>
    <w:rsid w:val="003651E7"/>
    <w:rsid w:val="00365262"/>
    <w:rsid w:val="003652A8"/>
    <w:rsid w:val="003653CC"/>
    <w:rsid w:val="0036540B"/>
    <w:rsid w:val="00365457"/>
    <w:rsid w:val="0036557E"/>
    <w:rsid w:val="003655F7"/>
    <w:rsid w:val="00365670"/>
    <w:rsid w:val="00365814"/>
    <w:rsid w:val="0036590D"/>
    <w:rsid w:val="003659CE"/>
    <w:rsid w:val="003659DD"/>
    <w:rsid w:val="00365AC2"/>
    <w:rsid w:val="00365AF3"/>
    <w:rsid w:val="00365C09"/>
    <w:rsid w:val="00365C50"/>
    <w:rsid w:val="00365CF4"/>
    <w:rsid w:val="00365D44"/>
    <w:rsid w:val="00365D95"/>
    <w:rsid w:val="00365DE7"/>
    <w:rsid w:val="00365EB0"/>
    <w:rsid w:val="00365EEB"/>
    <w:rsid w:val="00365F1B"/>
    <w:rsid w:val="00365FF2"/>
    <w:rsid w:val="00366063"/>
    <w:rsid w:val="003660E1"/>
    <w:rsid w:val="0036627F"/>
    <w:rsid w:val="00366280"/>
    <w:rsid w:val="003662EB"/>
    <w:rsid w:val="00366384"/>
    <w:rsid w:val="003663D1"/>
    <w:rsid w:val="003665A9"/>
    <w:rsid w:val="0036666F"/>
    <w:rsid w:val="003667A8"/>
    <w:rsid w:val="00366884"/>
    <w:rsid w:val="00366967"/>
    <w:rsid w:val="00366A8B"/>
    <w:rsid w:val="00366AC7"/>
    <w:rsid w:val="00366C2C"/>
    <w:rsid w:val="00366C8E"/>
    <w:rsid w:val="00366E42"/>
    <w:rsid w:val="0036715C"/>
    <w:rsid w:val="003671F8"/>
    <w:rsid w:val="003671FC"/>
    <w:rsid w:val="00367351"/>
    <w:rsid w:val="00367429"/>
    <w:rsid w:val="00367488"/>
    <w:rsid w:val="003674AC"/>
    <w:rsid w:val="003674FE"/>
    <w:rsid w:val="003674FF"/>
    <w:rsid w:val="00367518"/>
    <w:rsid w:val="003677E8"/>
    <w:rsid w:val="003678C2"/>
    <w:rsid w:val="00367C2F"/>
    <w:rsid w:val="00367C48"/>
    <w:rsid w:val="00367C85"/>
    <w:rsid w:val="00367DF3"/>
    <w:rsid w:val="00367FD2"/>
    <w:rsid w:val="00367FEC"/>
    <w:rsid w:val="003702CD"/>
    <w:rsid w:val="00370344"/>
    <w:rsid w:val="003703BA"/>
    <w:rsid w:val="00370577"/>
    <w:rsid w:val="00370587"/>
    <w:rsid w:val="00370646"/>
    <w:rsid w:val="0037087A"/>
    <w:rsid w:val="00370900"/>
    <w:rsid w:val="003709BB"/>
    <w:rsid w:val="003709E0"/>
    <w:rsid w:val="003709F5"/>
    <w:rsid w:val="00370A10"/>
    <w:rsid w:val="00370A3C"/>
    <w:rsid w:val="00370B5A"/>
    <w:rsid w:val="00370C14"/>
    <w:rsid w:val="00370C79"/>
    <w:rsid w:val="00370CBC"/>
    <w:rsid w:val="00370D0E"/>
    <w:rsid w:val="00370DB9"/>
    <w:rsid w:val="00370DE5"/>
    <w:rsid w:val="00370FFA"/>
    <w:rsid w:val="003710C7"/>
    <w:rsid w:val="00371113"/>
    <w:rsid w:val="00371122"/>
    <w:rsid w:val="003713AB"/>
    <w:rsid w:val="003714ED"/>
    <w:rsid w:val="003717EB"/>
    <w:rsid w:val="003718C5"/>
    <w:rsid w:val="00371924"/>
    <w:rsid w:val="0037198B"/>
    <w:rsid w:val="003719E5"/>
    <w:rsid w:val="00371B20"/>
    <w:rsid w:val="00371B6C"/>
    <w:rsid w:val="00371C2C"/>
    <w:rsid w:val="00371D41"/>
    <w:rsid w:val="00371ED6"/>
    <w:rsid w:val="00371F82"/>
    <w:rsid w:val="00371FC0"/>
    <w:rsid w:val="00372034"/>
    <w:rsid w:val="0037209F"/>
    <w:rsid w:val="0037216C"/>
    <w:rsid w:val="003722F9"/>
    <w:rsid w:val="00372350"/>
    <w:rsid w:val="003724EF"/>
    <w:rsid w:val="00372533"/>
    <w:rsid w:val="0037255C"/>
    <w:rsid w:val="0037276A"/>
    <w:rsid w:val="003727AB"/>
    <w:rsid w:val="00372939"/>
    <w:rsid w:val="00372A94"/>
    <w:rsid w:val="00372C82"/>
    <w:rsid w:val="00372EAD"/>
    <w:rsid w:val="00373107"/>
    <w:rsid w:val="00373130"/>
    <w:rsid w:val="00373173"/>
    <w:rsid w:val="0037318E"/>
    <w:rsid w:val="00373302"/>
    <w:rsid w:val="00373340"/>
    <w:rsid w:val="003735BC"/>
    <w:rsid w:val="00373650"/>
    <w:rsid w:val="0037368F"/>
    <w:rsid w:val="00373760"/>
    <w:rsid w:val="00373885"/>
    <w:rsid w:val="00373A75"/>
    <w:rsid w:val="00373B56"/>
    <w:rsid w:val="00373BAB"/>
    <w:rsid w:val="00373C91"/>
    <w:rsid w:val="00373C9D"/>
    <w:rsid w:val="00373CFF"/>
    <w:rsid w:val="00373E45"/>
    <w:rsid w:val="00373E95"/>
    <w:rsid w:val="00373FC6"/>
    <w:rsid w:val="00373FEA"/>
    <w:rsid w:val="00373FFA"/>
    <w:rsid w:val="003740B7"/>
    <w:rsid w:val="00374108"/>
    <w:rsid w:val="00374218"/>
    <w:rsid w:val="00374254"/>
    <w:rsid w:val="00374355"/>
    <w:rsid w:val="003743ED"/>
    <w:rsid w:val="003743F5"/>
    <w:rsid w:val="00374449"/>
    <w:rsid w:val="003744ED"/>
    <w:rsid w:val="0037452F"/>
    <w:rsid w:val="00374605"/>
    <w:rsid w:val="00374656"/>
    <w:rsid w:val="00374773"/>
    <w:rsid w:val="00374819"/>
    <w:rsid w:val="0037485F"/>
    <w:rsid w:val="003748DB"/>
    <w:rsid w:val="003748F9"/>
    <w:rsid w:val="00374A83"/>
    <w:rsid w:val="00374AA8"/>
    <w:rsid w:val="00374B09"/>
    <w:rsid w:val="00374B14"/>
    <w:rsid w:val="00374BA9"/>
    <w:rsid w:val="00374BE6"/>
    <w:rsid w:val="00374CAE"/>
    <w:rsid w:val="00374CB6"/>
    <w:rsid w:val="00374D1A"/>
    <w:rsid w:val="00374E80"/>
    <w:rsid w:val="00374EF0"/>
    <w:rsid w:val="00374F63"/>
    <w:rsid w:val="0037509B"/>
    <w:rsid w:val="003750CC"/>
    <w:rsid w:val="003751D9"/>
    <w:rsid w:val="00375236"/>
    <w:rsid w:val="00375310"/>
    <w:rsid w:val="0037534E"/>
    <w:rsid w:val="0037549D"/>
    <w:rsid w:val="00375576"/>
    <w:rsid w:val="003755DD"/>
    <w:rsid w:val="0037566F"/>
    <w:rsid w:val="0037571D"/>
    <w:rsid w:val="0037585D"/>
    <w:rsid w:val="003758A7"/>
    <w:rsid w:val="0037590D"/>
    <w:rsid w:val="0037596C"/>
    <w:rsid w:val="003759F0"/>
    <w:rsid w:val="00375A0C"/>
    <w:rsid w:val="00375A90"/>
    <w:rsid w:val="00375C91"/>
    <w:rsid w:val="00375E1D"/>
    <w:rsid w:val="00375E33"/>
    <w:rsid w:val="00375ECD"/>
    <w:rsid w:val="00375F3E"/>
    <w:rsid w:val="00375FD1"/>
    <w:rsid w:val="0037600C"/>
    <w:rsid w:val="00376058"/>
    <w:rsid w:val="003760B5"/>
    <w:rsid w:val="003760BF"/>
    <w:rsid w:val="00376301"/>
    <w:rsid w:val="00376367"/>
    <w:rsid w:val="0037643D"/>
    <w:rsid w:val="00376540"/>
    <w:rsid w:val="0037659A"/>
    <w:rsid w:val="003765F2"/>
    <w:rsid w:val="00376650"/>
    <w:rsid w:val="003768F7"/>
    <w:rsid w:val="00376982"/>
    <w:rsid w:val="00376A58"/>
    <w:rsid w:val="00376B37"/>
    <w:rsid w:val="00376B67"/>
    <w:rsid w:val="00376BB0"/>
    <w:rsid w:val="00376BB5"/>
    <w:rsid w:val="00376C65"/>
    <w:rsid w:val="00376CF9"/>
    <w:rsid w:val="00376DAF"/>
    <w:rsid w:val="00376E44"/>
    <w:rsid w:val="00376E6B"/>
    <w:rsid w:val="00376E93"/>
    <w:rsid w:val="00376EEA"/>
    <w:rsid w:val="00376F1D"/>
    <w:rsid w:val="00376F61"/>
    <w:rsid w:val="0037700D"/>
    <w:rsid w:val="003770AA"/>
    <w:rsid w:val="0037714D"/>
    <w:rsid w:val="00377181"/>
    <w:rsid w:val="003771E8"/>
    <w:rsid w:val="003772A3"/>
    <w:rsid w:val="003772D6"/>
    <w:rsid w:val="00377397"/>
    <w:rsid w:val="00377398"/>
    <w:rsid w:val="00377402"/>
    <w:rsid w:val="0037743A"/>
    <w:rsid w:val="00377446"/>
    <w:rsid w:val="00377587"/>
    <w:rsid w:val="0037765A"/>
    <w:rsid w:val="003776ED"/>
    <w:rsid w:val="00377761"/>
    <w:rsid w:val="0037776B"/>
    <w:rsid w:val="003777FB"/>
    <w:rsid w:val="003778A5"/>
    <w:rsid w:val="00377972"/>
    <w:rsid w:val="00377988"/>
    <w:rsid w:val="003779BD"/>
    <w:rsid w:val="003779F6"/>
    <w:rsid w:val="00377AB1"/>
    <w:rsid w:val="00377B36"/>
    <w:rsid w:val="00377CAB"/>
    <w:rsid w:val="00377CB2"/>
    <w:rsid w:val="00377D3E"/>
    <w:rsid w:val="00377D98"/>
    <w:rsid w:val="00377DBD"/>
    <w:rsid w:val="00377E04"/>
    <w:rsid w:val="00377E4E"/>
    <w:rsid w:val="00377EE5"/>
    <w:rsid w:val="00377FA5"/>
    <w:rsid w:val="0038004C"/>
    <w:rsid w:val="00380110"/>
    <w:rsid w:val="0038011C"/>
    <w:rsid w:val="00380120"/>
    <w:rsid w:val="00380145"/>
    <w:rsid w:val="003801A2"/>
    <w:rsid w:val="003801DB"/>
    <w:rsid w:val="003801E8"/>
    <w:rsid w:val="0038020E"/>
    <w:rsid w:val="003802D0"/>
    <w:rsid w:val="0038035D"/>
    <w:rsid w:val="0038044E"/>
    <w:rsid w:val="00380497"/>
    <w:rsid w:val="003804C0"/>
    <w:rsid w:val="003804F2"/>
    <w:rsid w:val="0038058E"/>
    <w:rsid w:val="00380658"/>
    <w:rsid w:val="003806A2"/>
    <w:rsid w:val="00380710"/>
    <w:rsid w:val="003809B5"/>
    <w:rsid w:val="003809E5"/>
    <w:rsid w:val="00380A27"/>
    <w:rsid w:val="00380A3A"/>
    <w:rsid w:val="00380A72"/>
    <w:rsid w:val="00380AA2"/>
    <w:rsid w:val="00380AC6"/>
    <w:rsid w:val="00380B0E"/>
    <w:rsid w:val="00380C10"/>
    <w:rsid w:val="00380C84"/>
    <w:rsid w:val="00380E18"/>
    <w:rsid w:val="00380E3E"/>
    <w:rsid w:val="00380FBB"/>
    <w:rsid w:val="0038108A"/>
    <w:rsid w:val="0038109C"/>
    <w:rsid w:val="00381183"/>
    <w:rsid w:val="003812F6"/>
    <w:rsid w:val="00381473"/>
    <w:rsid w:val="00381546"/>
    <w:rsid w:val="0038155E"/>
    <w:rsid w:val="00381563"/>
    <w:rsid w:val="0038164B"/>
    <w:rsid w:val="0038165E"/>
    <w:rsid w:val="0038178B"/>
    <w:rsid w:val="003817C6"/>
    <w:rsid w:val="003817E0"/>
    <w:rsid w:val="00381803"/>
    <w:rsid w:val="0038187B"/>
    <w:rsid w:val="003818EF"/>
    <w:rsid w:val="0038197D"/>
    <w:rsid w:val="003819A1"/>
    <w:rsid w:val="00381C0E"/>
    <w:rsid w:val="00381C8E"/>
    <w:rsid w:val="00381CA6"/>
    <w:rsid w:val="00381EC4"/>
    <w:rsid w:val="00381F54"/>
    <w:rsid w:val="00381F7B"/>
    <w:rsid w:val="00381FFD"/>
    <w:rsid w:val="00382087"/>
    <w:rsid w:val="00382128"/>
    <w:rsid w:val="00382191"/>
    <w:rsid w:val="003821E6"/>
    <w:rsid w:val="003822CF"/>
    <w:rsid w:val="00382309"/>
    <w:rsid w:val="0038235C"/>
    <w:rsid w:val="0038244F"/>
    <w:rsid w:val="003824CC"/>
    <w:rsid w:val="00382621"/>
    <w:rsid w:val="00382634"/>
    <w:rsid w:val="003826FD"/>
    <w:rsid w:val="00382704"/>
    <w:rsid w:val="003827B9"/>
    <w:rsid w:val="00382859"/>
    <w:rsid w:val="003828E1"/>
    <w:rsid w:val="00382900"/>
    <w:rsid w:val="0038299B"/>
    <w:rsid w:val="00382B09"/>
    <w:rsid w:val="00382C6D"/>
    <w:rsid w:val="00382D19"/>
    <w:rsid w:val="00382DC8"/>
    <w:rsid w:val="00382DEF"/>
    <w:rsid w:val="00382E4B"/>
    <w:rsid w:val="00382EA2"/>
    <w:rsid w:val="00382F84"/>
    <w:rsid w:val="00383033"/>
    <w:rsid w:val="003830A6"/>
    <w:rsid w:val="0038329B"/>
    <w:rsid w:val="003833EF"/>
    <w:rsid w:val="0038369E"/>
    <w:rsid w:val="003837B9"/>
    <w:rsid w:val="0038380D"/>
    <w:rsid w:val="00383847"/>
    <w:rsid w:val="00383956"/>
    <w:rsid w:val="00383962"/>
    <w:rsid w:val="00383C69"/>
    <w:rsid w:val="00383DE4"/>
    <w:rsid w:val="00383EE6"/>
    <w:rsid w:val="0038411E"/>
    <w:rsid w:val="003842A8"/>
    <w:rsid w:val="0038445B"/>
    <w:rsid w:val="003844A1"/>
    <w:rsid w:val="00384675"/>
    <w:rsid w:val="003846EE"/>
    <w:rsid w:val="00384958"/>
    <w:rsid w:val="003849D5"/>
    <w:rsid w:val="00384AC5"/>
    <w:rsid w:val="00384C41"/>
    <w:rsid w:val="00384C84"/>
    <w:rsid w:val="00384CB8"/>
    <w:rsid w:val="00384CD0"/>
    <w:rsid w:val="00384FF2"/>
    <w:rsid w:val="00385016"/>
    <w:rsid w:val="00385029"/>
    <w:rsid w:val="003850C8"/>
    <w:rsid w:val="003850E9"/>
    <w:rsid w:val="003851EA"/>
    <w:rsid w:val="00385244"/>
    <w:rsid w:val="0038524C"/>
    <w:rsid w:val="003852F8"/>
    <w:rsid w:val="003855A9"/>
    <w:rsid w:val="0038560B"/>
    <w:rsid w:val="0038564C"/>
    <w:rsid w:val="0038567C"/>
    <w:rsid w:val="003856D8"/>
    <w:rsid w:val="00385777"/>
    <w:rsid w:val="003857A8"/>
    <w:rsid w:val="003857C0"/>
    <w:rsid w:val="003857E0"/>
    <w:rsid w:val="00385878"/>
    <w:rsid w:val="00385957"/>
    <w:rsid w:val="003859C7"/>
    <w:rsid w:val="00385D27"/>
    <w:rsid w:val="00385E3A"/>
    <w:rsid w:val="00385E45"/>
    <w:rsid w:val="0038608E"/>
    <w:rsid w:val="00386114"/>
    <w:rsid w:val="00386150"/>
    <w:rsid w:val="00386157"/>
    <w:rsid w:val="00386240"/>
    <w:rsid w:val="0038653D"/>
    <w:rsid w:val="0038654C"/>
    <w:rsid w:val="00386585"/>
    <w:rsid w:val="003866E4"/>
    <w:rsid w:val="00386760"/>
    <w:rsid w:val="00386768"/>
    <w:rsid w:val="003867A6"/>
    <w:rsid w:val="003867AE"/>
    <w:rsid w:val="003869A6"/>
    <w:rsid w:val="00386B02"/>
    <w:rsid w:val="00386BE1"/>
    <w:rsid w:val="00386C75"/>
    <w:rsid w:val="00386C88"/>
    <w:rsid w:val="00386F52"/>
    <w:rsid w:val="00387173"/>
    <w:rsid w:val="003871A4"/>
    <w:rsid w:val="0038738E"/>
    <w:rsid w:val="003873EB"/>
    <w:rsid w:val="00387439"/>
    <w:rsid w:val="003874C7"/>
    <w:rsid w:val="003875BC"/>
    <w:rsid w:val="0038783B"/>
    <w:rsid w:val="003878FD"/>
    <w:rsid w:val="00387ACB"/>
    <w:rsid w:val="00387B07"/>
    <w:rsid w:val="00387B93"/>
    <w:rsid w:val="00387F7B"/>
    <w:rsid w:val="00390021"/>
    <w:rsid w:val="00390075"/>
    <w:rsid w:val="0039008D"/>
    <w:rsid w:val="003900AE"/>
    <w:rsid w:val="003900E6"/>
    <w:rsid w:val="003900E7"/>
    <w:rsid w:val="00390132"/>
    <w:rsid w:val="003901D9"/>
    <w:rsid w:val="0039025A"/>
    <w:rsid w:val="00390269"/>
    <w:rsid w:val="003903E6"/>
    <w:rsid w:val="00390575"/>
    <w:rsid w:val="00390598"/>
    <w:rsid w:val="003905BF"/>
    <w:rsid w:val="003905DF"/>
    <w:rsid w:val="00390625"/>
    <w:rsid w:val="0039068E"/>
    <w:rsid w:val="003906F4"/>
    <w:rsid w:val="00390711"/>
    <w:rsid w:val="00390738"/>
    <w:rsid w:val="003907B3"/>
    <w:rsid w:val="003907CC"/>
    <w:rsid w:val="0039083D"/>
    <w:rsid w:val="003909F5"/>
    <w:rsid w:val="00390B68"/>
    <w:rsid w:val="00390C1C"/>
    <w:rsid w:val="00390C29"/>
    <w:rsid w:val="00390C64"/>
    <w:rsid w:val="00390C6A"/>
    <w:rsid w:val="00390DAE"/>
    <w:rsid w:val="00390FC9"/>
    <w:rsid w:val="00391337"/>
    <w:rsid w:val="00391433"/>
    <w:rsid w:val="00391468"/>
    <w:rsid w:val="0039154B"/>
    <w:rsid w:val="00391597"/>
    <w:rsid w:val="003917F7"/>
    <w:rsid w:val="00391875"/>
    <w:rsid w:val="003919AF"/>
    <w:rsid w:val="003919B8"/>
    <w:rsid w:val="003919F4"/>
    <w:rsid w:val="00391A76"/>
    <w:rsid w:val="00391B5D"/>
    <w:rsid w:val="00391C11"/>
    <w:rsid w:val="00391CF2"/>
    <w:rsid w:val="00391D3A"/>
    <w:rsid w:val="00391DFA"/>
    <w:rsid w:val="00391E1D"/>
    <w:rsid w:val="00391E76"/>
    <w:rsid w:val="00391E8A"/>
    <w:rsid w:val="0039243E"/>
    <w:rsid w:val="003924A0"/>
    <w:rsid w:val="003926DE"/>
    <w:rsid w:val="00392751"/>
    <w:rsid w:val="0039280F"/>
    <w:rsid w:val="00392909"/>
    <w:rsid w:val="00392968"/>
    <w:rsid w:val="003929B4"/>
    <w:rsid w:val="00392A2A"/>
    <w:rsid w:val="00392BEF"/>
    <w:rsid w:val="00392D4B"/>
    <w:rsid w:val="00392D78"/>
    <w:rsid w:val="00392DC1"/>
    <w:rsid w:val="00392E19"/>
    <w:rsid w:val="00392E36"/>
    <w:rsid w:val="00392FD4"/>
    <w:rsid w:val="00392FF9"/>
    <w:rsid w:val="00393224"/>
    <w:rsid w:val="0039330E"/>
    <w:rsid w:val="00393427"/>
    <w:rsid w:val="003934E6"/>
    <w:rsid w:val="00393666"/>
    <w:rsid w:val="003937C2"/>
    <w:rsid w:val="0039387A"/>
    <w:rsid w:val="00393942"/>
    <w:rsid w:val="00393995"/>
    <w:rsid w:val="00393B05"/>
    <w:rsid w:val="00393B31"/>
    <w:rsid w:val="00393BB2"/>
    <w:rsid w:val="00393C0B"/>
    <w:rsid w:val="00393C6B"/>
    <w:rsid w:val="00393C86"/>
    <w:rsid w:val="00393F18"/>
    <w:rsid w:val="00394111"/>
    <w:rsid w:val="00394126"/>
    <w:rsid w:val="003941FB"/>
    <w:rsid w:val="003942B9"/>
    <w:rsid w:val="00394304"/>
    <w:rsid w:val="00394387"/>
    <w:rsid w:val="0039440B"/>
    <w:rsid w:val="00394417"/>
    <w:rsid w:val="0039457A"/>
    <w:rsid w:val="00394769"/>
    <w:rsid w:val="003948B2"/>
    <w:rsid w:val="00394ACE"/>
    <w:rsid w:val="00394B16"/>
    <w:rsid w:val="00394B4C"/>
    <w:rsid w:val="00394D23"/>
    <w:rsid w:val="00394D90"/>
    <w:rsid w:val="00394DF0"/>
    <w:rsid w:val="00394E40"/>
    <w:rsid w:val="00394E82"/>
    <w:rsid w:val="003952A9"/>
    <w:rsid w:val="003952B6"/>
    <w:rsid w:val="003952DE"/>
    <w:rsid w:val="00395374"/>
    <w:rsid w:val="00395395"/>
    <w:rsid w:val="00395406"/>
    <w:rsid w:val="00395432"/>
    <w:rsid w:val="0039547C"/>
    <w:rsid w:val="0039554F"/>
    <w:rsid w:val="00395647"/>
    <w:rsid w:val="0039574A"/>
    <w:rsid w:val="00395892"/>
    <w:rsid w:val="0039589F"/>
    <w:rsid w:val="00395982"/>
    <w:rsid w:val="00395BFF"/>
    <w:rsid w:val="00395C90"/>
    <w:rsid w:val="00395D49"/>
    <w:rsid w:val="00395DD4"/>
    <w:rsid w:val="00395ECB"/>
    <w:rsid w:val="0039603C"/>
    <w:rsid w:val="00396235"/>
    <w:rsid w:val="00396243"/>
    <w:rsid w:val="00396321"/>
    <w:rsid w:val="0039632D"/>
    <w:rsid w:val="003964EE"/>
    <w:rsid w:val="00396508"/>
    <w:rsid w:val="00396538"/>
    <w:rsid w:val="0039662C"/>
    <w:rsid w:val="00396769"/>
    <w:rsid w:val="0039678C"/>
    <w:rsid w:val="00396BB7"/>
    <w:rsid w:val="00396BC0"/>
    <w:rsid w:val="00396C42"/>
    <w:rsid w:val="00396CAE"/>
    <w:rsid w:val="00396E59"/>
    <w:rsid w:val="00396F85"/>
    <w:rsid w:val="00396FA6"/>
    <w:rsid w:val="00396FE4"/>
    <w:rsid w:val="00397063"/>
    <w:rsid w:val="00397083"/>
    <w:rsid w:val="00397153"/>
    <w:rsid w:val="003972B0"/>
    <w:rsid w:val="00397301"/>
    <w:rsid w:val="00397368"/>
    <w:rsid w:val="00397370"/>
    <w:rsid w:val="00397422"/>
    <w:rsid w:val="0039762F"/>
    <w:rsid w:val="00397778"/>
    <w:rsid w:val="0039779E"/>
    <w:rsid w:val="0039786A"/>
    <w:rsid w:val="00397976"/>
    <w:rsid w:val="00397A5F"/>
    <w:rsid w:val="00397B0F"/>
    <w:rsid w:val="00397B27"/>
    <w:rsid w:val="00397B96"/>
    <w:rsid w:val="00397BED"/>
    <w:rsid w:val="00397C42"/>
    <w:rsid w:val="00397CE7"/>
    <w:rsid w:val="00397D0C"/>
    <w:rsid w:val="00397D0E"/>
    <w:rsid w:val="00397DF6"/>
    <w:rsid w:val="00397E2E"/>
    <w:rsid w:val="00397E48"/>
    <w:rsid w:val="00397EC6"/>
    <w:rsid w:val="00397EEC"/>
    <w:rsid w:val="00397F28"/>
    <w:rsid w:val="00397FFC"/>
    <w:rsid w:val="003A014F"/>
    <w:rsid w:val="003A023D"/>
    <w:rsid w:val="003A02DE"/>
    <w:rsid w:val="003A0372"/>
    <w:rsid w:val="003A0767"/>
    <w:rsid w:val="003A08AC"/>
    <w:rsid w:val="003A0A2A"/>
    <w:rsid w:val="003A0A92"/>
    <w:rsid w:val="003A0B1C"/>
    <w:rsid w:val="003A0B5C"/>
    <w:rsid w:val="003A0B6D"/>
    <w:rsid w:val="003A0EBB"/>
    <w:rsid w:val="003A0EE3"/>
    <w:rsid w:val="003A0FA0"/>
    <w:rsid w:val="003A0FD4"/>
    <w:rsid w:val="003A1172"/>
    <w:rsid w:val="003A117C"/>
    <w:rsid w:val="003A11D2"/>
    <w:rsid w:val="003A12BB"/>
    <w:rsid w:val="003A14D0"/>
    <w:rsid w:val="003A1554"/>
    <w:rsid w:val="003A15BF"/>
    <w:rsid w:val="003A1605"/>
    <w:rsid w:val="003A161B"/>
    <w:rsid w:val="003A162C"/>
    <w:rsid w:val="003A1674"/>
    <w:rsid w:val="003A1808"/>
    <w:rsid w:val="003A189A"/>
    <w:rsid w:val="003A18C7"/>
    <w:rsid w:val="003A19C0"/>
    <w:rsid w:val="003A1D18"/>
    <w:rsid w:val="003A1E47"/>
    <w:rsid w:val="003A1FCC"/>
    <w:rsid w:val="003A1FDF"/>
    <w:rsid w:val="003A21FC"/>
    <w:rsid w:val="003A222D"/>
    <w:rsid w:val="003A2360"/>
    <w:rsid w:val="003A241D"/>
    <w:rsid w:val="003A24AE"/>
    <w:rsid w:val="003A25C1"/>
    <w:rsid w:val="003A27D8"/>
    <w:rsid w:val="003A281A"/>
    <w:rsid w:val="003A293D"/>
    <w:rsid w:val="003A2954"/>
    <w:rsid w:val="003A2A13"/>
    <w:rsid w:val="003A2A70"/>
    <w:rsid w:val="003A2A7F"/>
    <w:rsid w:val="003A2AEE"/>
    <w:rsid w:val="003A2C83"/>
    <w:rsid w:val="003A2D1E"/>
    <w:rsid w:val="003A2D5D"/>
    <w:rsid w:val="003A2E5B"/>
    <w:rsid w:val="003A2F4A"/>
    <w:rsid w:val="003A2FB1"/>
    <w:rsid w:val="003A3053"/>
    <w:rsid w:val="003A306D"/>
    <w:rsid w:val="003A314D"/>
    <w:rsid w:val="003A31D7"/>
    <w:rsid w:val="003A3238"/>
    <w:rsid w:val="003A3377"/>
    <w:rsid w:val="003A346D"/>
    <w:rsid w:val="003A3479"/>
    <w:rsid w:val="003A3553"/>
    <w:rsid w:val="003A3668"/>
    <w:rsid w:val="003A36E1"/>
    <w:rsid w:val="003A38ED"/>
    <w:rsid w:val="003A3978"/>
    <w:rsid w:val="003A3A41"/>
    <w:rsid w:val="003A3B73"/>
    <w:rsid w:val="003A3BF5"/>
    <w:rsid w:val="003A3CD3"/>
    <w:rsid w:val="003A3E13"/>
    <w:rsid w:val="003A4018"/>
    <w:rsid w:val="003A4042"/>
    <w:rsid w:val="003A42D4"/>
    <w:rsid w:val="003A4356"/>
    <w:rsid w:val="003A468A"/>
    <w:rsid w:val="003A46A0"/>
    <w:rsid w:val="003A4732"/>
    <w:rsid w:val="003A474D"/>
    <w:rsid w:val="003A4753"/>
    <w:rsid w:val="003A486F"/>
    <w:rsid w:val="003A4989"/>
    <w:rsid w:val="003A49EA"/>
    <w:rsid w:val="003A49FB"/>
    <w:rsid w:val="003A4C53"/>
    <w:rsid w:val="003A4C8D"/>
    <w:rsid w:val="003A4D38"/>
    <w:rsid w:val="003A4D81"/>
    <w:rsid w:val="003A4D96"/>
    <w:rsid w:val="003A4DDE"/>
    <w:rsid w:val="003A4EB8"/>
    <w:rsid w:val="003A5025"/>
    <w:rsid w:val="003A50AB"/>
    <w:rsid w:val="003A51FC"/>
    <w:rsid w:val="003A520F"/>
    <w:rsid w:val="003A5466"/>
    <w:rsid w:val="003A5481"/>
    <w:rsid w:val="003A548E"/>
    <w:rsid w:val="003A54B5"/>
    <w:rsid w:val="003A5508"/>
    <w:rsid w:val="003A564F"/>
    <w:rsid w:val="003A5735"/>
    <w:rsid w:val="003A575E"/>
    <w:rsid w:val="003A5AA8"/>
    <w:rsid w:val="003A5C5B"/>
    <w:rsid w:val="003A5C97"/>
    <w:rsid w:val="003A5D12"/>
    <w:rsid w:val="003A5D3D"/>
    <w:rsid w:val="003A5E05"/>
    <w:rsid w:val="003A5E1C"/>
    <w:rsid w:val="003A5E68"/>
    <w:rsid w:val="003A6192"/>
    <w:rsid w:val="003A61FD"/>
    <w:rsid w:val="003A6224"/>
    <w:rsid w:val="003A63C4"/>
    <w:rsid w:val="003A6471"/>
    <w:rsid w:val="003A651E"/>
    <w:rsid w:val="003A6762"/>
    <w:rsid w:val="003A67F1"/>
    <w:rsid w:val="003A69D3"/>
    <w:rsid w:val="003A6B06"/>
    <w:rsid w:val="003A6B7A"/>
    <w:rsid w:val="003A6B7B"/>
    <w:rsid w:val="003A6BDE"/>
    <w:rsid w:val="003A6C5C"/>
    <w:rsid w:val="003A6CC4"/>
    <w:rsid w:val="003A6EAC"/>
    <w:rsid w:val="003A6ECC"/>
    <w:rsid w:val="003A6EE6"/>
    <w:rsid w:val="003A7272"/>
    <w:rsid w:val="003A7417"/>
    <w:rsid w:val="003A7498"/>
    <w:rsid w:val="003A762E"/>
    <w:rsid w:val="003A7745"/>
    <w:rsid w:val="003A7803"/>
    <w:rsid w:val="003A7871"/>
    <w:rsid w:val="003A787E"/>
    <w:rsid w:val="003A78AE"/>
    <w:rsid w:val="003A7AAD"/>
    <w:rsid w:val="003A7B04"/>
    <w:rsid w:val="003A7B5E"/>
    <w:rsid w:val="003A7C24"/>
    <w:rsid w:val="003A7DBA"/>
    <w:rsid w:val="003A7E12"/>
    <w:rsid w:val="003A7EFB"/>
    <w:rsid w:val="003A7F36"/>
    <w:rsid w:val="003A7F4E"/>
    <w:rsid w:val="003A7F64"/>
    <w:rsid w:val="003B004D"/>
    <w:rsid w:val="003B0100"/>
    <w:rsid w:val="003B0138"/>
    <w:rsid w:val="003B03B0"/>
    <w:rsid w:val="003B03CF"/>
    <w:rsid w:val="003B042E"/>
    <w:rsid w:val="003B0757"/>
    <w:rsid w:val="003B09BC"/>
    <w:rsid w:val="003B0AD9"/>
    <w:rsid w:val="003B0B5B"/>
    <w:rsid w:val="003B0CF2"/>
    <w:rsid w:val="003B0E3B"/>
    <w:rsid w:val="003B0EB7"/>
    <w:rsid w:val="003B0F01"/>
    <w:rsid w:val="003B0F5A"/>
    <w:rsid w:val="003B0F5B"/>
    <w:rsid w:val="003B1000"/>
    <w:rsid w:val="003B1055"/>
    <w:rsid w:val="003B12B7"/>
    <w:rsid w:val="003B13BB"/>
    <w:rsid w:val="003B1449"/>
    <w:rsid w:val="003B1485"/>
    <w:rsid w:val="003B1583"/>
    <w:rsid w:val="003B1591"/>
    <w:rsid w:val="003B169A"/>
    <w:rsid w:val="003B1724"/>
    <w:rsid w:val="003B1743"/>
    <w:rsid w:val="003B1864"/>
    <w:rsid w:val="003B1899"/>
    <w:rsid w:val="003B19AF"/>
    <w:rsid w:val="003B19C7"/>
    <w:rsid w:val="003B1A90"/>
    <w:rsid w:val="003B1A96"/>
    <w:rsid w:val="003B1B45"/>
    <w:rsid w:val="003B1D3A"/>
    <w:rsid w:val="003B1D62"/>
    <w:rsid w:val="003B1D67"/>
    <w:rsid w:val="003B1DA8"/>
    <w:rsid w:val="003B1DC9"/>
    <w:rsid w:val="003B1E87"/>
    <w:rsid w:val="003B1F0A"/>
    <w:rsid w:val="003B1FBC"/>
    <w:rsid w:val="003B20A0"/>
    <w:rsid w:val="003B20B7"/>
    <w:rsid w:val="003B20E4"/>
    <w:rsid w:val="003B21D4"/>
    <w:rsid w:val="003B220E"/>
    <w:rsid w:val="003B227D"/>
    <w:rsid w:val="003B2350"/>
    <w:rsid w:val="003B23E9"/>
    <w:rsid w:val="003B2413"/>
    <w:rsid w:val="003B2427"/>
    <w:rsid w:val="003B25A4"/>
    <w:rsid w:val="003B28E5"/>
    <w:rsid w:val="003B29D6"/>
    <w:rsid w:val="003B29F2"/>
    <w:rsid w:val="003B2A0B"/>
    <w:rsid w:val="003B2AD5"/>
    <w:rsid w:val="003B2BC3"/>
    <w:rsid w:val="003B2D09"/>
    <w:rsid w:val="003B2DDB"/>
    <w:rsid w:val="003B2E77"/>
    <w:rsid w:val="003B2FD0"/>
    <w:rsid w:val="003B33FE"/>
    <w:rsid w:val="003B347A"/>
    <w:rsid w:val="003B3501"/>
    <w:rsid w:val="003B354A"/>
    <w:rsid w:val="003B36F4"/>
    <w:rsid w:val="003B376D"/>
    <w:rsid w:val="003B3902"/>
    <w:rsid w:val="003B399A"/>
    <w:rsid w:val="003B3A76"/>
    <w:rsid w:val="003B3DCF"/>
    <w:rsid w:val="003B3EBB"/>
    <w:rsid w:val="003B3F09"/>
    <w:rsid w:val="003B3F2C"/>
    <w:rsid w:val="003B4234"/>
    <w:rsid w:val="003B43AC"/>
    <w:rsid w:val="003B43E5"/>
    <w:rsid w:val="003B444A"/>
    <w:rsid w:val="003B44B8"/>
    <w:rsid w:val="003B45ED"/>
    <w:rsid w:val="003B46B4"/>
    <w:rsid w:val="003B4785"/>
    <w:rsid w:val="003B49DC"/>
    <w:rsid w:val="003B49EE"/>
    <w:rsid w:val="003B4AE7"/>
    <w:rsid w:val="003B4AF5"/>
    <w:rsid w:val="003B4EBB"/>
    <w:rsid w:val="003B4F28"/>
    <w:rsid w:val="003B4F56"/>
    <w:rsid w:val="003B4FF2"/>
    <w:rsid w:val="003B50AD"/>
    <w:rsid w:val="003B5131"/>
    <w:rsid w:val="003B516B"/>
    <w:rsid w:val="003B5217"/>
    <w:rsid w:val="003B5240"/>
    <w:rsid w:val="003B52BA"/>
    <w:rsid w:val="003B5373"/>
    <w:rsid w:val="003B53F8"/>
    <w:rsid w:val="003B54F5"/>
    <w:rsid w:val="003B557B"/>
    <w:rsid w:val="003B559D"/>
    <w:rsid w:val="003B5608"/>
    <w:rsid w:val="003B57FC"/>
    <w:rsid w:val="003B581B"/>
    <w:rsid w:val="003B586A"/>
    <w:rsid w:val="003B5879"/>
    <w:rsid w:val="003B594D"/>
    <w:rsid w:val="003B5951"/>
    <w:rsid w:val="003B5A08"/>
    <w:rsid w:val="003B5C3A"/>
    <w:rsid w:val="003B5CC8"/>
    <w:rsid w:val="003B5D1C"/>
    <w:rsid w:val="003B5D4E"/>
    <w:rsid w:val="003B602E"/>
    <w:rsid w:val="003B606C"/>
    <w:rsid w:val="003B6078"/>
    <w:rsid w:val="003B6171"/>
    <w:rsid w:val="003B63E5"/>
    <w:rsid w:val="003B687B"/>
    <w:rsid w:val="003B69AB"/>
    <w:rsid w:val="003B6AF8"/>
    <w:rsid w:val="003B6EE5"/>
    <w:rsid w:val="003B6FBD"/>
    <w:rsid w:val="003B6FBF"/>
    <w:rsid w:val="003B70CF"/>
    <w:rsid w:val="003B7348"/>
    <w:rsid w:val="003B73ED"/>
    <w:rsid w:val="003B7423"/>
    <w:rsid w:val="003B745B"/>
    <w:rsid w:val="003B759A"/>
    <w:rsid w:val="003B75EA"/>
    <w:rsid w:val="003B769F"/>
    <w:rsid w:val="003B776F"/>
    <w:rsid w:val="003B7866"/>
    <w:rsid w:val="003B78FD"/>
    <w:rsid w:val="003B79EA"/>
    <w:rsid w:val="003B7A65"/>
    <w:rsid w:val="003B7AC7"/>
    <w:rsid w:val="003B7B44"/>
    <w:rsid w:val="003B7B86"/>
    <w:rsid w:val="003B7BA3"/>
    <w:rsid w:val="003B7BFF"/>
    <w:rsid w:val="003B7C1D"/>
    <w:rsid w:val="003B7CC5"/>
    <w:rsid w:val="003B7DFF"/>
    <w:rsid w:val="003B7E61"/>
    <w:rsid w:val="003B7F94"/>
    <w:rsid w:val="003B7FF7"/>
    <w:rsid w:val="003C016E"/>
    <w:rsid w:val="003C03B2"/>
    <w:rsid w:val="003C0504"/>
    <w:rsid w:val="003C0543"/>
    <w:rsid w:val="003C05F3"/>
    <w:rsid w:val="003C074F"/>
    <w:rsid w:val="003C076D"/>
    <w:rsid w:val="003C0804"/>
    <w:rsid w:val="003C0836"/>
    <w:rsid w:val="003C0919"/>
    <w:rsid w:val="003C0970"/>
    <w:rsid w:val="003C0A40"/>
    <w:rsid w:val="003C0AA0"/>
    <w:rsid w:val="003C0AA7"/>
    <w:rsid w:val="003C0B48"/>
    <w:rsid w:val="003C0BB3"/>
    <w:rsid w:val="003C0BE8"/>
    <w:rsid w:val="003C0D8B"/>
    <w:rsid w:val="003C0D9B"/>
    <w:rsid w:val="003C0E25"/>
    <w:rsid w:val="003C0EF8"/>
    <w:rsid w:val="003C10DD"/>
    <w:rsid w:val="003C1195"/>
    <w:rsid w:val="003C1200"/>
    <w:rsid w:val="003C1272"/>
    <w:rsid w:val="003C12FE"/>
    <w:rsid w:val="003C1319"/>
    <w:rsid w:val="003C1459"/>
    <w:rsid w:val="003C1582"/>
    <w:rsid w:val="003C15A8"/>
    <w:rsid w:val="003C1607"/>
    <w:rsid w:val="003C16B4"/>
    <w:rsid w:val="003C1989"/>
    <w:rsid w:val="003C19A6"/>
    <w:rsid w:val="003C1A48"/>
    <w:rsid w:val="003C1AD9"/>
    <w:rsid w:val="003C1B18"/>
    <w:rsid w:val="003C1BFD"/>
    <w:rsid w:val="003C1CE6"/>
    <w:rsid w:val="003C1D07"/>
    <w:rsid w:val="003C1F83"/>
    <w:rsid w:val="003C2099"/>
    <w:rsid w:val="003C20E5"/>
    <w:rsid w:val="003C22BB"/>
    <w:rsid w:val="003C244E"/>
    <w:rsid w:val="003C251E"/>
    <w:rsid w:val="003C2697"/>
    <w:rsid w:val="003C2719"/>
    <w:rsid w:val="003C277E"/>
    <w:rsid w:val="003C294E"/>
    <w:rsid w:val="003C296C"/>
    <w:rsid w:val="003C2A0F"/>
    <w:rsid w:val="003C2A38"/>
    <w:rsid w:val="003C2A46"/>
    <w:rsid w:val="003C2C06"/>
    <w:rsid w:val="003C2C1B"/>
    <w:rsid w:val="003C2D04"/>
    <w:rsid w:val="003C2D5B"/>
    <w:rsid w:val="003C2D9C"/>
    <w:rsid w:val="003C2DA0"/>
    <w:rsid w:val="003C2E14"/>
    <w:rsid w:val="003C2E6A"/>
    <w:rsid w:val="003C2F94"/>
    <w:rsid w:val="003C3056"/>
    <w:rsid w:val="003C3072"/>
    <w:rsid w:val="003C3226"/>
    <w:rsid w:val="003C3298"/>
    <w:rsid w:val="003C32CC"/>
    <w:rsid w:val="003C3447"/>
    <w:rsid w:val="003C34F2"/>
    <w:rsid w:val="003C3531"/>
    <w:rsid w:val="003C3603"/>
    <w:rsid w:val="003C3758"/>
    <w:rsid w:val="003C375D"/>
    <w:rsid w:val="003C3785"/>
    <w:rsid w:val="003C37B6"/>
    <w:rsid w:val="003C3935"/>
    <w:rsid w:val="003C3949"/>
    <w:rsid w:val="003C3A31"/>
    <w:rsid w:val="003C3A93"/>
    <w:rsid w:val="003C3AE9"/>
    <w:rsid w:val="003C3B36"/>
    <w:rsid w:val="003C3E15"/>
    <w:rsid w:val="003C3F21"/>
    <w:rsid w:val="003C4012"/>
    <w:rsid w:val="003C40A3"/>
    <w:rsid w:val="003C4104"/>
    <w:rsid w:val="003C4308"/>
    <w:rsid w:val="003C45EF"/>
    <w:rsid w:val="003C4606"/>
    <w:rsid w:val="003C472B"/>
    <w:rsid w:val="003C4747"/>
    <w:rsid w:val="003C47A6"/>
    <w:rsid w:val="003C49BC"/>
    <w:rsid w:val="003C4A80"/>
    <w:rsid w:val="003C4A88"/>
    <w:rsid w:val="003C4B5B"/>
    <w:rsid w:val="003C4C71"/>
    <w:rsid w:val="003C4C8C"/>
    <w:rsid w:val="003C4D4B"/>
    <w:rsid w:val="003C4D9E"/>
    <w:rsid w:val="003C4E2E"/>
    <w:rsid w:val="003C4E42"/>
    <w:rsid w:val="003C4F64"/>
    <w:rsid w:val="003C4FCE"/>
    <w:rsid w:val="003C5231"/>
    <w:rsid w:val="003C523E"/>
    <w:rsid w:val="003C5270"/>
    <w:rsid w:val="003C5271"/>
    <w:rsid w:val="003C5409"/>
    <w:rsid w:val="003C5412"/>
    <w:rsid w:val="003C541E"/>
    <w:rsid w:val="003C5537"/>
    <w:rsid w:val="003C560B"/>
    <w:rsid w:val="003C566C"/>
    <w:rsid w:val="003C584E"/>
    <w:rsid w:val="003C585A"/>
    <w:rsid w:val="003C59BB"/>
    <w:rsid w:val="003C59C0"/>
    <w:rsid w:val="003C5B40"/>
    <w:rsid w:val="003C5B83"/>
    <w:rsid w:val="003C5C08"/>
    <w:rsid w:val="003C5CA2"/>
    <w:rsid w:val="003C5D5B"/>
    <w:rsid w:val="003C5DC6"/>
    <w:rsid w:val="003C5E20"/>
    <w:rsid w:val="003C612D"/>
    <w:rsid w:val="003C6337"/>
    <w:rsid w:val="003C638A"/>
    <w:rsid w:val="003C65AE"/>
    <w:rsid w:val="003C6618"/>
    <w:rsid w:val="003C669C"/>
    <w:rsid w:val="003C66BD"/>
    <w:rsid w:val="003C673E"/>
    <w:rsid w:val="003C6768"/>
    <w:rsid w:val="003C681B"/>
    <w:rsid w:val="003C688C"/>
    <w:rsid w:val="003C68AA"/>
    <w:rsid w:val="003C68EE"/>
    <w:rsid w:val="003C6968"/>
    <w:rsid w:val="003C6C65"/>
    <w:rsid w:val="003C6D1D"/>
    <w:rsid w:val="003C6D67"/>
    <w:rsid w:val="003C6DF8"/>
    <w:rsid w:val="003C6E4D"/>
    <w:rsid w:val="003C6E50"/>
    <w:rsid w:val="003C6EAE"/>
    <w:rsid w:val="003C6FC5"/>
    <w:rsid w:val="003C70BF"/>
    <w:rsid w:val="003C7163"/>
    <w:rsid w:val="003C72E7"/>
    <w:rsid w:val="003C738E"/>
    <w:rsid w:val="003C7439"/>
    <w:rsid w:val="003C74EC"/>
    <w:rsid w:val="003C75C5"/>
    <w:rsid w:val="003C75F1"/>
    <w:rsid w:val="003C779B"/>
    <w:rsid w:val="003C7837"/>
    <w:rsid w:val="003C79BC"/>
    <w:rsid w:val="003C7A50"/>
    <w:rsid w:val="003C7BA7"/>
    <w:rsid w:val="003C7BF9"/>
    <w:rsid w:val="003C7C0B"/>
    <w:rsid w:val="003C7C93"/>
    <w:rsid w:val="003C7CA4"/>
    <w:rsid w:val="003C7E9D"/>
    <w:rsid w:val="003C7FC5"/>
    <w:rsid w:val="003D005A"/>
    <w:rsid w:val="003D0298"/>
    <w:rsid w:val="003D02B1"/>
    <w:rsid w:val="003D02E6"/>
    <w:rsid w:val="003D04B1"/>
    <w:rsid w:val="003D0617"/>
    <w:rsid w:val="003D0754"/>
    <w:rsid w:val="003D0C1F"/>
    <w:rsid w:val="003D0C67"/>
    <w:rsid w:val="003D0E4D"/>
    <w:rsid w:val="003D0EA9"/>
    <w:rsid w:val="003D0EAE"/>
    <w:rsid w:val="003D10AE"/>
    <w:rsid w:val="003D1165"/>
    <w:rsid w:val="003D11B4"/>
    <w:rsid w:val="003D1200"/>
    <w:rsid w:val="003D1251"/>
    <w:rsid w:val="003D12EF"/>
    <w:rsid w:val="003D134F"/>
    <w:rsid w:val="003D1387"/>
    <w:rsid w:val="003D1392"/>
    <w:rsid w:val="003D13B0"/>
    <w:rsid w:val="003D13BB"/>
    <w:rsid w:val="003D13D4"/>
    <w:rsid w:val="003D1456"/>
    <w:rsid w:val="003D14AD"/>
    <w:rsid w:val="003D14CA"/>
    <w:rsid w:val="003D14E4"/>
    <w:rsid w:val="003D1581"/>
    <w:rsid w:val="003D159A"/>
    <w:rsid w:val="003D1761"/>
    <w:rsid w:val="003D1989"/>
    <w:rsid w:val="003D1A70"/>
    <w:rsid w:val="003D1B32"/>
    <w:rsid w:val="003D1B83"/>
    <w:rsid w:val="003D1BB8"/>
    <w:rsid w:val="003D1D94"/>
    <w:rsid w:val="003D1F94"/>
    <w:rsid w:val="003D1FFE"/>
    <w:rsid w:val="003D2001"/>
    <w:rsid w:val="003D209F"/>
    <w:rsid w:val="003D23A1"/>
    <w:rsid w:val="003D23AF"/>
    <w:rsid w:val="003D23BE"/>
    <w:rsid w:val="003D2468"/>
    <w:rsid w:val="003D24C0"/>
    <w:rsid w:val="003D2650"/>
    <w:rsid w:val="003D27A7"/>
    <w:rsid w:val="003D2825"/>
    <w:rsid w:val="003D2B7D"/>
    <w:rsid w:val="003D2BEC"/>
    <w:rsid w:val="003D2C25"/>
    <w:rsid w:val="003D2DA1"/>
    <w:rsid w:val="003D2DD5"/>
    <w:rsid w:val="003D2F92"/>
    <w:rsid w:val="003D2FF7"/>
    <w:rsid w:val="003D3026"/>
    <w:rsid w:val="003D30C2"/>
    <w:rsid w:val="003D3104"/>
    <w:rsid w:val="003D3166"/>
    <w:rsid w:val="003D31A5"/>
    <w:rsid w:val="003D31AC"/>
    <w:rsid w:val="003D31AD"/>
    <w:rsid w:val="003D3480"/>
    <w:rsid w:val="003D35DD"/>
    <w:rsid w:val="003D3638"/>
    <w:rsid w:val="003D3674"/>
    <w:rsid w:val="003D3683"/>
    <w:rsid w:val="003D3701"/>
    <w:rsid w:val="003D377D"/>
    <w:rsid w:val="003D3A0E"/>
    <w:rsid w:val="003D3A83"/>
    <w:rsid w:val="003D3B0B"/>
    <w:rsid w:val="003D3BFF"/>
    <w:rsid w:val="003D3C15"/>
    <w:rsid w:val="003D3C46"/>
    <w:rsid w:val="003D3D1D"/>
    <w:rsid w:val="003D3D6E"/>
    <w:rsid w:val="003D3DFB"/>
    <w:rsid w:val="003D3E1C"/>
    <w:rsid w:val="003D3EA3"/>
    <w:rsid w:val="003D3F29"/>
    <w:rsid w:val="003D3FC7"/>
    <w:rsid w:val="003D4000"/>
    <w:rsid w:val="003D4002"/>
    <w:rsid w:val="003D4089"/>
    <w:rsid w:val="003D40AF"/>
    <w:rsid w:val="003D40C5"/>
    <w:rsid w:val="003D40FA"/>
    <w:rsid w:val="003D4160"/>
    <w:rsid w:val="003D4296"/>
    <w:rsid w:val="003D42A7"/>
    <w:rsid w:val="003D42E7"/>
    <w:rsid w:val="003D42ED"/>
    <w:rsid w:val="003D42FD"/>
    <w:rsid w:val="003D4302"/>
    <w:rsid w:val="003D430D"/>
    <w:rsid w:val="003D4508"/>
    <w:rsid w:val="003D4522"/>
    <w:rsid w:val="003D45E7"/>
    <w:rsid w:val="003D45F4"/>
    <w:rsid w:val="003D46C9"/>
    <w:rsid w:val="003D4758"/>
    <w:rsid w:val="003D479B"/>
    <w:rsid w:val="003D47EC"/>
    <w:rsid w:val="003D47F6"/>
    <w:rsid w:val="003D4832"/>
    <w:rsid w:val="003D4841"/>
    <w:rsid w:val="003D4928"/>
    <w:rsid w:val="003D4CD5"/>
    <w:rsid w:val="003D4FA2"/>
    <w:rsid w:val="003D5109"/>
    <w:rsid w:val="003D516F"/>
    <w:rsid w:val="003D51DB"/>
    <w:rsid w:val="003D52A5"/>
    <w:rsid w:val="003D5691"/>
    <w:rsid w:val="003D575E"/>
    <w:rsid w:val="003D58BA"/>
    <w:rsid w:val="003D5922"/>
    <w:rsid w:val="003D5AF9"/>
    <w:rsid w:val="003D5DA0"/>
    <w:rsid w:val="003D5DB0"/>
    <w:rsid w:val="003D5EE7"/>
    <w:rsid w:val="003D60C7"/>
    <w:rsid w:val="003D60D0"/>
    <w:rsid w:val="003D611E"/>
    <w:rsid w:val="003D6135"/>
    <w:rsid w:val="003D615C"/>
    <w:rsid w:val="003D61E8"/>
    <w:rsid w:val="003D63FA"/>
    <w:rsid w:val="003D6447"/>
    <w:rsid w:val="003D6494"/>
    <w:rsid w:val="003D652C"/>
    <w:rsid w:val="003D6626"/>
    <w:rsid w:val="003D666F"/>
    <w:rsid w:val="003D668E"/>
    <w:rsid w:val="003D66AD"/>
    <w:rsid w:val="003D66C6"/>
    <w:rsid w:val="003D6706"/>
    <w:rsid w:val="003D6764"/>
    <w:rsid w:val="003D676B"/>
    <w:rsid w:val="003D6825"/>
    <w:rsid w:val="003D6832"/>
    <w:rsid w:val="003D6A92"/>
    <w:rsid w:val="003D6AB9"/>
    <w:rsid w:val="003D6AC8"/>
    <w:rsid w:val="003D6B02"/>
    <w:rsid w:val="003D6C4F"/>
    <w:rsid w:val="003D6CE1"/>
    <w:rsid w:val="003D6E43"/>
    <w:rsid w:val="003D6E4D"/>
    <w:rsid w:val="003D6E6D"/>
    <w:rsid w:val="003D7282"/>
    <w:rsid w:val="003D7581"/>
    <w:rsid w:val="003D7633"/>
    <w:rsid w:val="003D77B7"/>
    <w:rsid w:val="003D7858"/>
    <w:rsid w:val="003D79A7"/>
    <w:rsid w:val="003D7A1A"/>
    <w:rsid w:val="003D7B2D"/>
    <w:rsid w:val="003D7F5B"/>
    <w:rsid w:val="003D7FDF"/>
    <w:rsid w:val="003E008F"/>
    <w:rsid w:val="003E0132"/>
    <w:rsid w:val="003E0316"/>
    <w:rsid w:val="003E041F"/>
    <w:rsid w:val="003E045F"/>
    <w:rsid w:val="003E047B"/>
    <w:rsid w:val="003E0494"/>
    <w:rsid w:val="003E05BF"/>
    <w:rsid w:val="003E065B"/>
    <w:rsid w:val="003E0A1C"/>
    <w:rsid w:val="003E0B4D"/>
    <w:rsid w:val="003E0BC4"/>
    <w:rsid w:val="003E0BD0"/>
    <w:rsid w:val="003E0D65"/>
    <w:rsid w:val="003E0E1B"/>
    <w:rsid w:val="003E100C"/>
    <w:rsid w:val="003E12DC"/>
    <w:rsid w:val="003E139D"/>
    <w:rsid w:val="003E1481"/>
    <w:rsid w:val="003E1549"/>
    <w:rsid w:val="003E16B6"/>
    <w:rsid w:val="003E1792"/>
    <w:rsid w:val="003E18E7"/>
    <w:rsid w:val="003E1978"/>
    <w:rsid w:val="003E1A87"/>
    <w:rsid w:val="003E1AE0"/>
    <w:rsid w:val="003E1BED"/>
    <w:rsid w:val="003E1D8D"/>
    <w:rsid w:val="003E1D9C"/>
    <w:rsid w:val="003E1F2E"/>
    <w:rsid w:val="003E1FF0"/>
    <w:rsid w:val="003E2253"/>
    <w:rsid w:val="003E22B5"/>
    <w:rsid w:val="003E2349"/>
    <w:rsid w:val="003E24AA"/>
    <w:rsid w:val="003E2539"/>
    <w:rsid w:val="003E255B"/>
    <w:rsid w:val="003E26C5"/>
    <w:rsid w:val="003E26C9"/>
    <w:rsid w:val="003E2704"/>
    <w:rsid w:val="003E28F3"/>
    <w:rsid w:val="003E2964"/>
    <w:rsid w:val="003E2A67"/>
    <w:rsid w:val="003E2A77"/>
    <w:rsid w:val="003E2AEF"/>
    <w:rsid w:val="003E2B56"/>
    <w:rsid w:val="003E2EA5"/>
    <w:rsid w:val="003E2FC1"/>
    <w:rsid w:val="003E30A7"/>
    <w:rsid w:val="003E312C"/>
    <w:rsid w:val="003E314A"/>
    <w:rsid w:val="003E325E"/>
    <w:rsid w:val="003E326C"/>
    <w:rsid w:val="003E3288"/>
    <w:rsid w:val="003E32CB"/>
    <w:rsid w:val="003E3456"/>
    <w:rsid w:val="003E36D1"/>
    <w:rsid w:val="003E3760"/>
    <w:rsid w:val="003E3814"/>
    <w:rsid w:val="003E3920"/>
    <w:rsid w:val="003E39B2"/>
    <w:rsid w:val="003E3B31"/>
    <w:rsid w:val="003E3B83"/>
    <w:rsid w:val="003E3B91"/>
    <w:rsid w:val="003E3C07"/>
    <w:rsid w:val="003E3C3E"/>
    <w:rsid w:val="003E3CDA"/>
    <w:rsid w:val="003E3CEE"/>
    <w:rsid w:val="003E3EDC"/>
    <w:rsid w:val="003E3FF9"/>
    <w:rsid w:val="003E402E"/>
    <w:rsid w:val="003E4100"/>
    <w:rsid w:val="003E413D"/>
    <w:rsid w:val="003E4177"/>
    <w:rsid w:val="003E4339"/>
    <w:rsid w:val="003E4410"/>
    <w:rsid w:val="003E45E6"/>
    <w:rsid w:val="003E46E0"/>
    <w:rsid w:val="003E47BF"/>
    <w:rsid w:val="003E4806"/>
    <w:rsid w:val="003E484C"/>
    <w:rsid w:val="003E49BC"/>
    <w:rsid w:val="003E4C0C"/>
    <w:rsid w:val="003E4D25"/>
    <w:rsid w:val="003E4E14"/>
    <w:rsid w:val="003E4F0A"/>
    <w:rsid w:val="003E50D2"/>
    <w:rsid w:val="003E510B"/>
    <w:rsid w:val="003E516C"/>
    <w:rsid w:val="003E521B"/>
    <w:rsid w:val="003E53C1"/>
    <w:rsid w:val="003E545D"/>
    <w:rsid w:val="003E5471"/>
    <w:rsid w:val="003E5505"/>
    <w:rsid w:val="003E553C"/>
    <w:rsid w:val="003E5634"/>
    <w:rsid w:val="003E564E"/>
    <w:rsid w:val="003E56CB"/>
    <w:rsid w:val="003E575C"/>
    <w:rsid w:val="003E578F"/>
    <w:rsid w:val="003E587E"/>
    <w:rsid w:val="003E58A4"/>
    <w:rsid w:val="003E58EC"/>
    <w:rsid w:val="003E59EC"/>
    <w:rsid w:val="003E5BC5"/>
    <w:rsid w:val="003E5C4F"/>
    <w:rsid w:val="003E5C78"/>
    <w:rsid w:val="003E5E24"/>
    <w:rsid w:val="003E5E2A"/>
    <w:rsid w:val="003E5E38"/>
    <w:rsid w:val="003E5E4F"/>
    <w:rsid w:val="003E5EC0"/>
    <w:rsid w:val="003E5EE3"/>
    <w:rsid w:val="003E61E7"/>
    <w:rsid w:val="003E6445"/>
    <w:rsid w:val="003E64A9"/>
    <w:rsid w:val="003E64F6"/>
    <w:rsid w:val="003E650D"/>
    <w:rsid w:val="003E6773"/>
    <w:rsid w:val="003E679A"/>
    <w:rsid w:val="003E685D"/>
    <w:rsid w:val="003E6A1E"/>
    <w:rsid w:val="003E6A64"/>
    <w:rsid w:val="003E6CA2"/>
    <w:rsid w:val="003E6E47"/>
    <w:rsid w:val="003E6E4F"/>
    <w:rsid w:val="003E6F98"/>
    <w:rsid w:val="003E7078"/>
    <w:rsid w:val="003E714F"/>
    <w:rsid w:val="003E7160"/>
    <w:rsid w:val="003E718D"/>
    <w:rsid w:val="003E7198"/>
    <w:rsid w:val="003E72CD"/>
    <w:rsid w:val="003E72F5"/>
    <w:rsid w:val="003E7327"/>
    <w:rsid w:val="003E736C"/>
    <w:rsid w:val="003E74D4"/>
    <w:rsid w:val="003E74D7"/>
    <w:rsid w:val="003E7520"/>
    <w:rsid w:val="003E762D"/>
    <w:rsid w:val="003E7703"/>
    <w:rsid w:val="003E7850"/>
    <w:rsid w:val="003E78E5"/>
    <w:rsid w:val="003E78EA"/>
    <w:rsid w:val="003E790E"/>
    <w:rsid w:val="003E794C"/>
    <w:rsid w:val="003E7999"/>
    <w:rsid w:val="003E79B9"/>
    <w:rsid w:val="003E79BE"/>
    <w:rsid w:val="003E79FB"/>
    <w:rsid w:val="003E7AD9"/>
    <w:rsid w:val="003E7B04"/>
    <w:rsid w:val="003E7B71"/>
    <w:rsid w:val="003E7CC2"/>
    <w:rsid w:val="003E7D19"/>
    <w:rsid w:val="003E7D98"/>
    <w:rsid w:val="003E7E9D"/>
    <w:rsid w:val="003E7F4B"/>
    <w:rsid w:val="003E7F81"/>
    <w:rsid w:val="003F0029"/>
    <w:rsid w:val="003F0148"/>
    <w:rsid w:val="003F021C"/>
    <w:rsid w:val="003F0322"/>
    <w:rsid w:val="003F03E3"/>
    <w:rsid w:val="003F06E2"/>
    <w:rsid w:val="003F06F1"/>
    <w:rsid w:val="003F0702"/>
    <w:rsid w:val="003F07DE"/>
    <w:rsid w:val="003F092F"/>
    <w:rsid w:val="003F0AAB"/>
    <w:rsid w:val="003F0AE1"/>
    <w:rsid w:val="003F0AF2"/>
    <w:rsid w:val="003F0C12"/>
    <w:rsid w:val="003F0C45"/>
    <w:rsid w:val="003F0C7B"/>
    <w:rsid w:val="003F0E83"/>
    <w:rsid w:val="003F0ECE"/>
    <w:rsid w:val="003F0EFF"/>
    <w:rsid w:val="003F0F4F"/>
    <w:rsid w:val="003F100D"/>
    <w:rsid w:val="003F1102"/>
    <w:rsid w:val="003F114E"/>
    <w:rsid w:val="003F1367"/>
    <w:rsid w:val="003F139D"/>
    <w:rsid w:val="003F13C5"/>
    <w:rsid w:val="003F1430"/>
    <w:rsid w:val="003F14E4"/>
    <w:rsid w:val="003F15FD"/>
    <w:rsid w:val="003F16E5"/>
    <w:rsid w:val="003F1700"/>
    <w:rsid w:val="003F1832"/>
    <w:rsid w:val="003F18B7"/>
    <w:rsid w:val="003F195A"/>
    <w:rsid w:val="003F1A17"/>
    <w:rsid w:val="003F1A9A"/>
    <w:rsid w:val="003F1AB6"/>
    <w:rsid w:val="003F1B68"/>
    <w:rsid w:val="003F1C2A"/>
    <w:rsid w:val="003F1C6B"/>
    <w:rsid w:val="003F1C9D"/>
    <w:rsid w:val="003F1CC1"/>
    <w:rsid w:val="003F1D01"/>
    <w:rsid w:val="003F1D34"/>
    <w:rsid w:val="003F1DBD"/>
    <w:rsid w:val="003F1DCB"/>
    <w:rsid w:val="003F1DDD"/>
    <w:rsid w:val="003F1DF6"/>
    <w:rsid w:val="003F1E53"/>
    <w:rsid w:val="003F1FEA"/>
    <w:rsid w:val="003F2054"/>
    <w:rsid w:val="003F21AA"/>
    <w:rsid w:val="003F2252"/>
    <w:rsid w:val="003F2370"/>
    <w:rsid w:val="003F259B"/>
    <w:rsid w:val="003F25BA"/>
    <w:rsid w:val="003F2679"/>
    <w:rsid w:val="003F26AE"/>
    <w:rsid w:val="003F270C"/>
    <w:rsid w:val="003F2735"/>
    <w:rsid w:val="003F2741"/>
    <w:rsid w:val="003F2894"/>
    <w:rsid w:val="003F2907"/>
    <w:rsid w:val="003F2ADE"/>
    <w:rsid w:val="003F2B14"/>
    <w:rsid w:val="003F2B96"/>
    <w:rsid w:val="003F2BAE"/>
    <w:rsid w:val="003F2DAB"/>
    <w:rsid w:val="003F2EA5"/>
    <w:rsid w:val="003F2F28"/>
    <w:rsid w:val="003F306A"/>
    <w:rsid w:val="003F31B0"/>
    <w:rsid w:val="003F320D"/>
    <w:rsid w:val="003F3294"/>
    <w:rsid w:val="003F33E4"/>
    <w:rsid w:val="003F33F8"/>
    <w:rsid w:val="003F3428"/>
    <w:rsid w:val="003F343B"/>
    <w:rsid w:val="003F344E"/>
    <w:rsid w:val="003F34AA"/>
    <w:rsid w:val="003F34C9"/>
    <w:rsid w:val="003F34E2"/>
    <w:rsid w:val="003F350D"/>
    <w:rsid w:val="003F3579"/>
    <w:rsid w:val="003F368C"/>
    <w:rsid w:val="003F3738"/>
    <w:rsid w:val="003F3960"/>
    <w:rsid w:val="003F396F"/>
    <w:rsid w:val="003F39F6"/>
    <w:rsid w:val="003F3B1D"/>
    <w:rsid w:val="003F3D99"/>
    <w:rsid w:val="003F3E67"/>
    <w:rsid w:val="003F3E6B"/>
    <w:rsid w:val="003F3EA3"/>
    <w:rsid w:val="003F3FA7"/>
    <w:rsid w:val="003F3FD5"/>
    <w:rsid w:val="003F3FFE"/>
    <w:rsid w:val="003F4043"/>
    <w:rsid w:val="003F406C"/>
    <w:rsid w:val="003F409D"/>
    <w:rsid w:val="003F40B9"/>
    <w:rsid w:val="003F40E5"/>
    <w:rsid w:val="003F40EF"/>
    <w:rsid w:val="003F413F"/>
    <w:rsid w:val="003F41B0"/>
    <w:rsid w:val="003F41F3"/>
    <w:rsid w:val="003F42C6"/>
    <w:rsid w:val="003F4480"/>
    <w:rsid w:val="003F4572"/>
    <w:rsid w:val="003F459F"/>
    <w:rsid w:val="003F4635"/>
    <w:rsid w:val="003F46DA"/>
    <w:rsid w:val="003F46E0"/>
    <w:rsid w:val="003F4765"/>
    <w:rsid w:val="003F4844"/>
    <w:rsid w:val="003F4A2F"/>
    <w:rsid w:val="003F4AD7"/>
    <w:rsid w:val="003F4D3E"/>
    <w:rsid w:val="003F4D64"/>
    <w:rsid w:val="003F4E4A"/>
    <w:rsid w:val="003F4F65"/>
    <w:rsid w:val="003F5005"/>
    <w:rsid w:val="003F5124"/>
    <w:rsid w:val="003F5135"/>
    <w:rsid w:val="003F527A"/>
    <w:rsid w:val="003F528F"/>
    <w:rsid w:val="003F52CC"/>
    <w:rsid w:val="003F5394"/>
    <w:rsid w:val="003F5514"/>
    <w:rsid w:val="003F5524"/>
    <w:rsid w:val="003F569D"/>
    <w:rsid w:val="003F56AE"/>
    <w:rsid w:val="003F56D1"/>
    <w:rsid w:val="003F56D3"/>
    <w:rsid w:val="003F581B"/>
    <w:rsid w:val="003F58AE"/>
    <w:rsid w:val="003F597C"/>
    <w:rsid w:val="003F5AB6"/>
    <w:rsid w:val="003F5BEB"/>
    <w:rsid w:val="003F5C17"/>
    <w:rsid w:val="003F5C95"/>
    <w:rsid w:val="003F5DD6"/>
    <w:rsid w:val="003F5ED3"/>
    <w:rsid w:val="003F60D1"/>
    <w:rsid w:val="003F6250"/>
    <w:rsid w:val="003F6294"/>
    <w:rsid w:val="003F62E7"/>
    <w:rsid w:val="003F6472"/>
    <w:rsid w:val="003F64DB"/>
    <w:rsid w:val="003F6586"/>
    <w:rsid w:val="003F65C5"/>
    <w:rsid w:val="003F6709"/>
    <w:rsid w:val="003F6742"/>
    <w:rsid w:val="003F6780"/>
    <w:rsid w:val="003F6801"/>
    <w:rsid w:val="003F68C1"/>
    <w:rsid w:val="003F6931"/>
    <w:rsid w:val="003F6B89"/>
    <w:rsid w:val="003F6C2B"/>
    <w:rsid w:val="003F6C55"/>
    <w:rsid w:val="003F6C8D"/>
    <w:rsid w:val="003F6CB8"/>
    <w:rsid w:val="003F6E11"/>
    <w:rsid w:val="003F6E6F"/>
    <w:rsid w:val="003F6EE1"/>
    <w:rsid w:val="003F6FB3"/>
    <w:rsid w:val="003F6FC5"/>
    <w:rsid w:val="003F6FED"/>
    <w:rsid w:val="003F7099"/>
    <w:rsid w:val="003F70FD"/>
    <w:rsid w:val="003F7155"/>
    <w:rsid w:val="003F71B8"/>
    <w:rsid w:val="003F71D2"/>
    <w:rsid w:val="003F71DE"/>
    <w:rsid w:val="003F7209"/>
    <w:rsid w:val="003F7220"/>
    <w:rsid w:val="003F72FE"/>
    <w:rsid w:val="003F7318"/>
    <w:rsid w:val="003F73F5"/>
    <w:rsid w:val="003F745D"/>
    <w:rsid w:val="003F7499"/>
    <w:rsid w:val="003F75AA"/>
    <w:rsid w:val="003F75B7"/>
    <w:rsid w:val="003F75D7"/>
    <w:rsid w:val="003F77B1"/>
    <w:rsid w:val="003F7855"/>
    <w:rsid w:val="003F7A44"/>
    <w:rsid w:val="003F7B26"/>
    <w:rsid w:val="003F7CE4"/>
    <w:rsid w:val="003F7CEF"/>
    <w:rsid w:val="003F7D8E"/>
    <w:rsid w:val="003F7D93"/>
    <w:rsid w:val="00400191"/>
    <w:rsid w:val="004001CC"/>
    <w:rsid w:val="004001F6"/>
    <w:rsid w:val="00400203"/>
    <w:rsid w:val="0040030B"/>
    <w:rsid w:val="0040034B"/>
    <w:rsid w:val="00400386"/>
    <w:rsid w:val="004003D6"/>
    <w:rsid w:val="0040047D"/>
    <w:rsid w:val="004005CB"/>
    <w:rsid w:val="004008FC"/>
    <w:rsid w:val="0040091B"/>
    <w:rsid w:val="004009E9"/>
    <w:rsid w:val="00400A77"/>
    <w:rsid w:val="00400A7F"/>
    <w:rsid w:val="00400AAD"/>
    <w:rsid w:val="00400AE6"/>
    <w:rsid w:val="00400B25"/>
    <w:rsid w:val="00400B74"/>
    <w:rsid w:val="00400C08"/>
    <w:rsid w:val="00400C35"/>
    <w:rsid w:val="00400CC7"/>
    <w:rsid w:val="00400EE7"/>
    <w:rsid w:val="00400F13"/>
    <w:rsid w:val="00401062"/>
    <w:rsid w:val="00401095"/>
    <w:rsid w:val="0040115B"/>
    <w:rsid w:val="00401177"/>
    <w:rsid w:val="00401262"/>
    <w:rsid w:val="00401373"/>
    <w:rsid w:val="004013D3"/>
    <w:rsid w:val="004013E4"/>
    <w:rsid w:val="004014CC"/>
    <w:rsid w:val="004014E3"/>
    <w:rsid w:val="004015C1"/>
    <w:rsid w:val="004015D1"/>
    <w:rsid w:val="00401736"/>
    <w:rsid w:val="00401834"/>
    <w:rsid w:val="00401838"/>
    <w:rsid w:val="00401885"/>
    <w:rsid w:val="004019AE"/>
    <w:rsid w:val="00401A36"/>
    <w:rsid w:val="00401A43"/>
    <w:rsid w:val="00401A53"/>
    <w:rsid w:val="00401B1C"/>
    <w:rsid w:val="00401B6C"/>
    <w:rsid w:val="00401D0B"/>
    <w:rsid w:val="00401E39"/>
    <w:rsid w:val="00401E76"/>
    <w:rsid w:val="00401EF4"/>
    <w:rsid w:val="00401FB9"/>
    <w:rsid w:val="00402018"/>
    <w:rsid w:val="00402066"/>
    <w:rsid w:val="0040207E"/>
    <w:rsid w:val="00402107"/>
    <w:rsid w:val="004022DB"/>
    <w:rsid w:val="00402450"/>
    <w:rsid w:val="00402453"/>
    <w:rsid w:val="004024AC"/>
    <w:rsid w:val="0040265C"/>
    <w:rsid w:val="00402783"/>
    <w:rsid w:val="004027BE"/>
    <w:rsid w:val="00402A41"/>
    <w:rsid w:val="00402A7D"/>
    <w:rsid w:val="00402AA5"/>
    <w:rsid w:val="00402BA2"/>
    <w:rsid w:val="00402E08"/>
    <w:rsid w:val="00402FD6"/>
    <w:rsid w:val="00403130"/>
    <w:rsid w:val="00403163"/>
    <w:rsid w:val="004031E8"/>
    <w:rsid w:val="0040336D"/>
    <w:rsid w:val="00403486"/>
    <w:rsid w:val="00403541"/>
    <w:rsid w:val="0040358E"/>
    <w:rsid w:val="00403596"/>
    <w:rsid w:val="00403753"/>
    <w:rsid w:val="0040382A"/>
    <w:rsid w:val="0040389F"/>
    <w:rsid w:val="004038A6"/>
    <w:rsid w:val="004038BE"/>
    <w:rsid w:val="004038F4"/>
    <w:rsid w:val="00403971"/>
    <w:rsid w:val="00403A89"/>
    <w:rsid w:val="00403C24"/>
    <w:rsid w:val="00403C75"/>
    <w:rsid w:val="00403C93"/>
    <w:rsid w:val="00403D93"/>
    <w:rsid w:val="00403E6E"/>
    <w:rsid w:val="00403F4D"/>
    <w:rsid w:val="00404010"/>
    <w:rsid w:val="00404180"/>
    <w:rsid w:val="00404199"/>
    <w:rsid w:val="004041C6"/>
    <w:rsid w:val="00404221"/>
    <w:rsid w:val="00404270"/>
    <w:rsid w:val="00404384"/>
    <w:rsid w:val="0040439B"/>
    <w:rsid w:val="0040449C"/>
    <w:rsid w:val="0040454D"/>
    <w:rsid w:val="0040456B"/>
    <w:rsid w:val="004045B1"/>
    <w:rsid w:val="0040465E"/>
    <w:rsid w:val="004046C0"/>
    <w:rsid w:val="004046D5"/>
    <w:rsid w:val="00404823"/>
    <w:rsid w:val="0040483D"/>
    <w:rsid w:val="0040491B"/>
    <w:rsid w:val="004049DD"/>
    <w:rsid w:val="00404B07"/>
    <w:rsid w:val="00404BE4"/>
    <w:rsid w:val="00404C00"/>
    <w:rsid w:val="00404C2B"/>
    <w:rsid w:val="00404C34"/>
    <w:rsid w:val="00404E22"/>
    <w:rsid w:val="00404E4E"/>
    <w:rsid w:val="00404E8C"/>
    <w:rsid w:val="00404EE2"/>
    <w:rsid w:val="0040512A"/>
    <w:rsid w:val="00405189"/>
    <w:rsid w:val="00405235"/>
    <w:rsid w:val="0040530B"/>
    <w:rsid w:val="00405390"/>
    <w:rsid w:val="0040545F"/>
    <w:rsid w:val="00405467"/>
    <w:rsid w:val="004054FF"/>
    <w:rsid w:val="0040550F"/>
    <w:rsid w:val="00405655"/>
    <w:rsid w:val="0040569F"/>
    <w:rsid w:val="0040571B"/>
    <w:rsid w:val="00405783"/>
    <w:rsid w:val="004057C3"/>
    <w:rsid w:val="004058C8"/>
    <w:rsid w:val="00405B35"/>
    <w:rsid w:val="00405BFC"/>
    <w:rsid w:val="00405C5D"/>
    <w:rsid w:val="00405C9D"/>
    <w:rsid w:val="00405CBC"/>
    <w:rsid w:val="00405D26"/>
    <w:rsid w:val="00405DBB"/>
    <w:rsid w:val="00405E71"/>
    <w:rsid w:val="00405ED8"/>
    <w:rsid w:val="00405F19"/>
    <w:rsid w:val="00406039"/>
    <w:rsid w:val="004060ED"/>
    <w:rsid w:val="004062DC"/>
    <w:rsid w:val="004062F1"/>
    <w:rsid w:val="004062F4"/>
    <w:rsid w:val="004062FF"/>
    <w:rsid w:val="0040637E"/>
    <w:rsid w:val="004063A2"/>
    <w:rsid w:val="004063B3"/>
    <w:rsid w:val="00406417"/>
    <w:rsid w:val="0040649A"/>
    <w:rsid w:val="004064C9"/>
    <w:rsid w:val="00406520"/>
    <w:rsid w:val="004065CE"/>
    <w:rsid w:val="004066D3"/>
    <w:rsid w:val="004068F6"/>
    <w:rsid w:val="00406929"/>
    <w:rsid w:val="0040697E"/>
    <w:rsid w:val="00406A2B"/>
    <w:rsid w:val="00406A5B"/>
    <w:rsid w:val="00406B10"/>
    <w:rsid w:val="00406CF3"/>
    <w:rsid w:val="00406E25"/>
    <w:rsid w:val="00406E80"/>
    <w:rsid w:val="00406E8B"/>
    <w:rsid w:val="00406ECC"/>
    <w:rsid w:val="00406F41"/>
    <w:rsid w:val="00406FAB"/>
    <w:rsid w:val="00407006"/>
    <w:rsid w:val="0040701D"/>
    <w:rsid w:val="0040712A"/>
    <w:rsid w:val="004071C6"/>
    <w:rsid w:val="00407461"/>
    <w:rsid w:val="004074B4"/>
    <w:rsid w:val="00407545"/>
    <w:rsid w:val="0040770C"/>
    <w:rsid w:val="0040775E"/>
    <w:rsid w:val="00407764"/>
    <w:rsid w:val="004078F7"/>
    <w:rsid w:val="00407919"/>
    <w:rsid w:val="004079CB"/>
    <w:rsid w:val="00407ACD"/>
    <w:rsid w:val="00407C73"/>
    <w:rsid w:val="00407C98"/>
    <w:rsid w:val="00407CAA"/>
    <w:rsid w:val="00407D54"/>
    <w:rsid w:val="00407D6D"/>
    <w:rsid w:val="00407EE4"/>
    <w:rsid w:val="00407F05"/>
    <w:rsid w:val="00407F6C"/>
    <w:rsid w:val="00407FA2"/>
    <w:rsid w:val="0041001B"/>
    <w:rsid w:val="004102AE"/>
    <w:rsid w:val="004102B1"/>
    <w:rsid w:val="004103CF"/>
    <w:rsid w:val="004103E6"/>
    <w:rsid w:val="0041053A"/>
    <w:rsid w:val="00410577"/>
    <w:rsid w:val="0041077B"/>
    <w:rsid w:val="00410974"/>
    <w:rsid w:val="0041097C"/>
    <w:rsid w:val="00410987"/>
    <w:rsid w:val="00410B27"/>
    <w:rsid w:val="00410C51"/>
    <w:rsid w:val="00410ED8"/>
    <w:rsid w:val="00410F30"/>
    <w:rsid w:val="00410FF7"/>
    <w:rsid w:val="004110FF"/>
    <w:rsid w:val="00411289"/>
    <w:rsid w:val="004112DB"/>
    <w:rsid w:val="0041136D"/>
    <w:rsid w:val="0041142F"/>
    <w:rsid w:val="00411469"/>
    <w:rsid w:val="00411508"/>
    <w:rsid w:val="00411511"/>
    <w:rsid w:val="004117D1"/>
    <w:rsid w:val="0041182F"/>
    <w:rsid w:val="00411852"/>
    <w:rsid w:val="0041189D"/>
    <w:rsid w:val="004119A5"/>
    <w:rsid w:val="004119BA"/>
    <w:rsid w:val="00411A4B"/>
    <w:rsid w:val="00411B7A"/>
    <w:rsid w:val="00411BA1"/>
    <w:rsid w:val="00411BD7"/>
    <w:rsid w:val="00411C4C"/>
    <w:rsid w:val="00411C9B"/>
    <w:rsid w:val="00412165"/>
    <w:rsid w:val="004121E9"/>
    <w:rsid w:val="00412271"/>
    <w:rsid w:val="00412346"/>
    <w:rsid w:val="004123CF"/>
    <w:rsid w:val="00412403"/>
    <w:rsid w:val="00412409"/>
    <w:rsid w:val="00412546"/>
    <w:rsid w:val="0041287F"/>
    <w:rsid w:val="004128E7"/>
    <w:rsid w:val="00412B6C"/>
    <w:rsid w:val="00412D66"/>
    <w:rsid w:val="00412E31"/>
    <w:rsid w:val="00412E85"/>
    <w:rsid w:val="00412EA9"/>
    <w:rsid w:val="0041312A"/>
    <w:rsid w:val="004132E8"/>
    <w:rsid w:val="0041338A"/>
    <w:rsid w:val="004134F1"/>
    <w:rsid w:val="004135EE"/>
    <w:rsid w:val="00413701"/>
    <w:rsid w:val="00413827"/>
    <w:rsid w:val="00413833"/>
    <w:rsid w:val="004138AB"/>
    <w:rsid w:val="004138EB"/>
    <w:rsid w:val="004139C9"/>
    <w:rsid w:val="00413AAB"/>
    <w:rsid w:val="00413AC1"/>
    <w:rsid w:val="00413BC6"/>
    <w:rsid w:val="00413C12"/>
    <w:rsid w:val="00413C2A"/>
    <w:rsid w:val="00413D22"/>
    <w:rsid w:val="00413DEF"/>
    <w:rsid w:val="00413E7F"/>
    <w:rsid w:val="00413EAB"/>
    <w:rsid w:val="00413F34"/>
    <w:rsid w:val="00413FD6"/>
    <w:rsid w:val="00413FE7"/>
    <w:rsid w:val="00413FF9"/>
    <w:rsid w:val="00414085"/>
    <w:rsid w:val="004140B4"/>
    <w:rsid w:val="004140F6"/>
    <w:rsid w:val="004141A2"/>
    <w:rsid w:val="0041425B"/>
    <w:rsid w:val="004143EB"/>
    <w:rsid w:val="00414458"/>
    <w:rsid w:val="00414498"/>
    <w:rsid w:val="004144E1"/>
    <w:rsid w:val="00414607"/>
    <w:rsid w:val="00414729"/>
    <w:rsid w:val="00414819"/>
    <w:rsid w:val="0041482D"/>
    <w:rsid w:val="004148CC"/>
    <w:rsid w:val="00414974"/>
    <w:rsid w:val="00414B01"/>
    <w:rsid w:val="00414CA4"/>
    <w:rsid w:val="00414DAE"/>
    <w:rsid w:val="00414E1D"/>
    <w:rsid w:val="00414E38"/>
    <w:rsid w:val="00414FA2"/>
    <w:rsid w:val="00414FF9"/>
    <w:rsid w:val="004150BF"/>
    <w:rsid w:val="004150CF"/>
    <w:rsid w:val="004152E5"/>
    <w:rsid w:val="00415451"/>
    <w:rsid w:val="00415470"/>
    <w:rsid w:val="004155C6"/>
    <w:rsid w:val="004155D2"/>
    <w:rsid w:val="0041562D"/>
    <w:rsid w:val="004156D2"/>
    <w:rsid w:val="004156E8"/>
    <w:rsid w:val="0041579A"/>
    <w:rsid w:val="004157B3"/>
    <w:rsid w:val="00415835"/>
    <w:rsid w:val="00415934"/>
    <w:rsid w:val="00415A6B"/>
    <w:rsid w:val="00415A78"/>
    <w:rsid w:val="00415ABD"/>
    <w:rsid w:val="00415BD1"/>
    <w:rsid w:val="00415C60"/>
    <w:rsid w:val="00415C67"/>
    <w:rsid w:val="00415D24"/>
    <w:rsid w:val="00415E8F"/>
    <w:rsid w:val="00415E96"/>
    <w:rsid w:val="00415F07"/>
    <w:rsid w:val="00415F0C"/>
    <w:rsid w:val="00416096"/>
    <w:rsid w:val="004160F8"/>
    <w:rsid w:val="0041634C"/>
    <w:rsid w:val="00416399"/>
    <w:rsid w:val="00416529"/>
    <w:rsid w:val="00416573"/>
    <w:rsid w:val="004165A8"/>
    <w:rsid w:val="004165C4"/>
    <w:rsid w:val="004166BD"/>
    <w:rsid w:val="00416729"/>
    <w:rsid w:val="004167AC"/>
    <w:rsid w:val="0041680F"/>
    <w:rsid w:val="00416818"/>
    <w:rsid w:val="004169B0"/>
    <w:rsid w:val="00416B49"/>
    <w:rsid w:val="00416BA0"/>
    <w:rsid w:val="00416C58"/>
    <w:rsid w:val="00416C72"/>
    <w:rsid w:val="00416CA3"/>
    <w:rsid w:val="00416CB5"/>
    <w:rsid w:val="00416DD6"/>
    <w:rsid w:val="00416DF7"/>
    <w:rsid w:val="00416E69"/>
    <w:rsid w:val="00416EE5"/>
    <w:rsid w:val="00416FBB"/>
    <w:rsid w:val="00417002"/>
    <w:rsid w:val="0041712B"/>
    <w:rsid w:val="00417142"/>
    <w:rsid w:val="0041718E"/>
    <w:rsid w:val="00417401"/>
    <w:rsid w:val="004174DC"/>
    <w:rsid w:val="0041759B"/>
    <w:rsid w:val="004177A6"/>
    <w:rsid w:val="0041785C"/>
    <w:rsid w:val="00417913"/>
    <w:rsid w:val="00417921"/>
    <w:rsid w:val="00417931"/>
    <w:rsid w:val="004179F3"/>
    <w:rsid w:val="00417A25"/>
    <w:rsid w:val="00417AD6"/>
    <w:rsid w:val="00417CAB"/>
    <w:rsid w:val="00417D5D"/>
    <w:rsid w:val="00417DDB"/>
    <w:rsid w:val="00417DF7"/>
    <w:rsid w:val="00417F6A"/>
    <w:rsid w:val="0042018B"/>
    <w:rsid w:val="00420207"/>
    <w:rsid w:val="004202EA"/>
    <w:rsid w:val="00420466"/>
    <w:rsid w:val="004204B4"/>
    <w:rsid w:val="00420548"/>
    <w:rsid w:val="0042068D"/>
    <w:rsid w:val="004206BE"/>
    <w:rsid w:val="00420744"/>
    <w:rsid w:val="0042082E"/>
    <w:rsid w:val="00420860"/>
    <w:rsid w:val="0042098E"/>
    <w:rsid w:val="00420A05"/>
    <w:rsid w:val="00420B63"/>
    <w:rsid w:val="00420CEF"/>
    <w:rsid w:val="00420DB0"/>
    <w:rsid w:val="00420DDF"/>
    <w:rsid w:val="00420DE1"/>
    <w:rsid w:val="00421016"/>
    <w:rsid w:val="004210F0"/>
    <w:rsid w:val="0042110F"/>
    <w:rsid w:val="00421137"/>
    <w:rsid w:val="004212F7"/>
    <w:rsid w:val="0042143F"/>
    <w:rsid w:val="0042148C"/>
    <w:rsid w:val="0042159F"/>
    <w:rsid w:val="004215A5"/>
    <w:rsid w:val="004216FC"/>
    <w:rsid w:val="00421714"/>
    <w:rsid w:val="00421843"/>
    <w:rsid w:val="004218A5"/>
    <w:rsid w:val="00421A37"/>
    <w:rsid w:val="00421ABB"/>
    <w:rsid w:val="00421B47"/>
    <w:rsid w:val="00421B4B"/>
    <w:rsid w:val="00421B76"/>
    <w:rsid w:val="00421D89"/>
    <w:rsid w:val="00421E77"/>
    <w:rsid w:val="00421E8B"/>
    <w:rsid w:val="00421F13"/>
    <w:rsid w:val="00421F68"/>
    <w:rsid w:val="00421F7C"/>
    <w:rsid w:val="00421FF5"/>
    <w:rsid w:val="0042201F"/>
    <w:rsid w:val="004220EB"/>
    <w:rsid w:val="00422179"/>
    <w:rsid w:val="00422189"/>
    <w:rsid w:val="00422294"/>
    <w:rsid w:val="004222F1"/>
    <w:rsid w:val="00422493"/>
    <w:rsid w:val="0042249D"/>
    <w:rsid w:val="004225F7"/>
    <w:rsid w:val="004226F2"/>
    <w:rsid w:val="004226F9"/>
    <w:rsid w:val="004227A2"/>
    <w:rsid w:val="004227B3"/>
    <w:rsid w:val="004227EB"/>
    <w:rsid w:val="0042293E"/>
    <w:rsid w:val="00422940"/>
    <w:rsid w:val="00422A0B"/>
    <w:rsid w:val="00422B4C"/>
    <w:rsid w:val="00422BD1"/>
    <w:rsid w:val="00422D41"/>
    <w:rsid w:val="00422D9A"/>
    <w:rsid w:val="00422EF6"/>
    <w:rsid w:val="00422F41"/>
    <w:rsid w:val="00422FAC"/>
    <w:rsid w:val="0042307D"/>
    <w:rsid w:val="0042319D"/>
    <w:rsid w:val="004231C7"/>
    <w:rsid w:val="00423244"/>
    <w:rsid w:val="004232F5"/>
    <w:rsid w:val="00423320"/>
    <w:rsid w:val="00423429"/>
    <w:rsid w:val="0042351A"/>
    <w:rsid w:val="00423550"/>
    <w:rsid w:val="00423626"/>
    <w:rsid w:val="004236BD"/>
    <w:rsid w:val="00423709"/>
    <w:rsid w:val="0042370D"/>
    <w:rsid w:val="00423767"/>
    <w:rsid w:val="0042379D"/>
    <w:rsid w:val="004237D4"/>
    <w:rsid w:val="00423875"/>
    <w:rsid w:val="00423986"/>
    <w:rsid w:val="00423992"/>
    <w:rsid w:val="004239E7"/>
    <w:rsid w:val="00423BEB"/>
    <w:rsid w:val="00423CE4"/>
    <w:rsid w:val="00423F69"/>
    <w:rsid w:val="00423FF2"/>
    <w:rsid w:val="0042417C"/>
    <w:rsid w:val="004241AE"/>
    <w:rsid w:val="00424249"/>
    <w:rsid w:val="00424260"/>
    <w:rsid w:val="004243FB"/>
    <w:rsid w:val="00424524"/>
    <w:rsid w:val="0042453E"/>
    <w:rsid w:val="0042457F"/>
    <w:rsid w:val="0042461C"/>
    <w:rsid w:val="00424687"/>
    <w:rsid w:val="00424804"/>
    <w:rsid w:val="00424847"/>
    <w:rsid w:val="004248C1"/>
    <w:rsid w:val="00424963"/>
    <w:rsid w:val="00424975"/>
    <w:rsid w:val="00424980"/>
    <w:rsid w:val="004249BF"/>
    <w:rsid w:val="00424A70"/>
    <w:rsid w:val="00424A93"/>
    <w:rsid w:val="00424AB1"/>
    <w:rsid w:val="00424BC7"/>
    <w:rsid w:val="00424BEC"/>
    <w:rsid w:val="00424CC1"/>
    <w:rsid w:val="00424DC0"/>
    <w:rsid w:val="00424DC8"/>
    <w:rsid w:val="00424E1D"/>
    <w:rsid w:val="00424EB3"/>
    <w:rsid w:val="00424EEB"/>
    <w:rsid w:val="00424FEF"/>
    <w:rsid w:val="00425018"/>
    <w:rsid w:val="00425025"/>
    <w:rsid w:val="00425028"/>
    <w:rsid w:val="004250E0"/>
    <w:rsid w:val="00425102"/>
    <w:rsid w:val="00425161"/>
    <w:rsid w:val="00425162"/>
    <w:rsid w:val="004251B5"/>
    <w:rsid w:val="00425224"/>
    <w:rsid w:val="00425240"/>
    <w:rsid w:val="0042528D"/>
    <w:rsid w:val="00425372"/>
    <w:rsid w:val="004253F2"/>
    <w:rsid w:val="004255DF"/>
    <w:rsid w:val="00425711"/>
    <w:rsid w:val="00425722"/>
    <w:rsid w:val="0042578C"/>
    <w:rsid w:val="00425A4A"/>
    <w:rsid w:val="00425A5C"/>
    <w:rsid w:val="00425AE8"/>
    <w:rsid w:val="00425B4B"/>
    <w:rsid w:val="00425B76"/>
    <w:rsid w:val="00425BC2"/>
    <w:rsid w:val="00425CC8"/>
    <w:rsid w:val="00425D34"/>
    <w:rsid w:val="00425D7C"/>
    <w:rsid w:val="00425D82"/>
    <w:rsid w:val="00425E45"/>
    <w:rsid w:val="00425E66"/>
    <w:rsid w:val="00425EB3"/>
    <w:rsid w:val="00425ED2"/>
    <w:rsid w:val="00425FAD"/>
    <w:rsid w:val="0042600D"/>
    <w:rsid w:val="00426230"/>
    <w:rsid w:val="0042624A"/>
    <w:rsid w:val="004262CE"/>
    <w:rsid w:val="0042636E"/>
    <w:rsid w:val="004263D1"/>
    <w:rsid w:val="00426417"/>
    <w:rsid w:val="004264D1"/>
    <w:rsid w:val="004264E8"/>
    <w:rsid w:val="004264F0"/>
    <w:rsid w:val="0042655B"/>
    <w:rsid w:val="004266A3"/>
    <w:rsid w:val="004267D3"/>
    <w:rsid w:val="00426811"/>
    <w:rsid w:val="0042684D"/>
    <w:rsid w:val="004269E8"/>
    <w:rsid w:val="00426A0D"/>
    <w:rsid w:val="00426BAF"/>
    <w:rsid w:val="00426C63"/>
    <w:rsid w:val="00426C67"/>
    <w:rsid w:val="00426CE6"/>
    <w:rsid w:val="00426E35"/>
    <w:rsid w:val="004270CA"/>
    <w:rsid w:val="00427108"/>
    <w:rsid w:val="00427322"/>
    <w:rsid w:val="0042736B"/>
    <w:rsid w:val="004273C5"/>
    <w:rsid w:val="0042745C"/>
    <w:rsid w:val="0042754B"/>
    <w:rsid w:val="00427828"/>
    <w:rsid w:val="00427A09"/>
    <w:rsid w:val="00427B6A"/>
    <w:rsid w:val="00427BC5"/>
    <w:rsid w:val="00427BF6"/>
    <w:rsid w:val="00427C03"/>
    <w:rsid w:val="00427E46"/>
    <w:rsid w:val="00427E5B"/>
    <w:rsid w:val="00427E7D"/>
    <w:rsid w:val="00427E8B"/>
    <w:rsid w:val="0043005C"/>
    <w:rsid w:val="00430069"/>
    <w:rsid w:val="0043038E"/>
    <w:rsid w:val="004303B2"/>
    <w:rsid w:val="004303C4"/>
    <w:rsid w:val="00430429"/>
    <w:rsid w:val="0043043E"/>
    <w:rsid w:val="004304EA"/>
    <w:rsid w:val="004304F6"/>
    <w:rsid w:val="00430698"/>
    <w:rsid w:val="004306A2"/>
    <w:rsid w:val="00430712"/>
    <w:rsid w:val="004307A3"/>
    <w:rsid w:val="0043084A"/>
    <w:rsid w:val="004308B7"/>
    <w:rsid w:val="00430A95"/>
    <w:rsid w:val="00430AF9"/>
    <w:rsid w:val="00430BAB"/>
    <w:rsid w:val="00430BC8"/>
    <w:rsid w:val="00430C4E"/>
    <w:rsid w:val="00430C62"/>
    <w:rsid w:val="00430C63"/>
    <w:rsid w:val="00430C6E"/>
    <w:rsid w:val="00430CE3"/>
    <w:rsid w:val="00430E0C"/>
    <w:rsid w:val="00430E24"/>
    <w:rsid w:val="00430E25"/>
    <w:rsid w:val="00430E2A"/>
    <w:rsid w:val="00430EE4"/>
    <w:rsid w:val="00430F65"/>
    <w:rsid w:val="00431015"/>
    <w:rsid w:val="00431064"/>
    <w:rsid w:val="00431316"/>
    <w:rsid w:val="004314AF"/>
    <w:rsid w:val="0043164D"/>
    <w:rsid w:val="00431686"/>
    <w:rsid w:val="0043171F"/>
    <w:rsid w:val="004319B5"/>
    <w:rsid w:val="004319CF"/>
    <w:rsid w:val="004319ED"/>
    <w:rsid w:val="00431A3E"/>
    <w:rsid w:val="00431A7F"/>
    <w:rsid w:val="00431B0B"/>
    <w:rsid w:val="00431BAC"/>
    <w:rsid w:val="00431CE8"/>
    <w:rsid w:val="00431D39"/>
    <w:rsid w:val="00431EDB"/>
    <w:rsid w:val="00431FDB"/>
    <w:rsid w:val="00432030"/>
    <w:rsid w:val="004320A5"/>
    <w:rsid w:val="004320B0"/>
    <w:rsid w:val="004320D1"/>
    <w:rsid w:val="0043212B"/>
    <w:rsid w:val="00432160"/>
    <w:rsid w:val="004321A2"/>
    <w:rsid w:val="004324ED"/>
    <w:rsid w:val="004324F0"/>
    <w:rsid w:val="0043257B"/>
    <w:rsid w:val="004325A1"/>
    <w:rsid w:val="004325AA"/>
    <w:rsid w:val="00432756"/>
    <w:rsid w:val="00432767"/>
    <w:rsid w:val="0043280C"/>
    <w:rsid w:val="00432839"/>
    <w:rsid w:val="00432859"/>
    <w:rsid w:val="0043287F"/>
    <w:rsid w:val="00432884"/>
    <w:rsid w:val="00432919"/>
    <w:rsid w:val="0043295B"/>
    <w:rsid w:val="004329BF"/>
    <w:rsid w:val="004329EB"/>
    <w:rsid w:val="00432A00"/>
    <w:rsid w:val="00432A50"/>
    <w:rsid w:val="00432ACD"/>
    <w:rsid w:val="00432BF8"/>
    <w:rsid w:val="00432CC8"/>
    <w:rsid w:val="00432D1D"/>
    <w:rsid w:val="00432E7C"/>
    <w:rsid w:val="00432FA5"/>
    <w:rsid w:val="00433001"/>
    <w:rsid w:val="0043305B"/>
    <w:rsid w:val="00433068"/>
    <w:rsid w:val="004330EE"/>
    <w:rsid w:val="00433118"/>
    <w:rsid w:val="00433251"/>
    <w:rsid w:val="004334D3"/>
    <w:rsid w:val="00433563"/>
    <w:rsid w:val="004335C9"/>
    <w:rsid w:val="004335DD"/>
    <w:rsid w:val="004337BD"/>
    <w:rsid w:val="004337C7"/>
    <w:rsid w:val="004337DE"/>
    <w:rsid w:val="00433878"/>
    <w:rsid w:val="004338E9"/>
    <w:rsid w:val="004338FE"/>
    <w:rsid w:val="00433A49"/>
    <w:rsid w:val="00433B29"/>
    <w:rsid w:val="00433B81"/>
    <w:rsid w:val="00433C67"/>
    <w:rsid w:val="00433C69"/>
    <w:rsid w:val="00433DBB"/>
    <w:rsid w:val="00433F4C"/>
    <w:rsid w:val="00433FEF"/>
    <w:rsid w:val="00434021"/>
    <w:rsid w:val="00434069"/>
    <w:rsid w:val="00434090"/>
    <w:rsid w:val="004341A5"/>
    <w:rsid w:val="00434278"/>
    <w:rsid w:val="004342AE"/>
    <w:rsid w:val="00434452"/>
    <w:rsid w:val="004344BD"/>
    <w:rsid w:val="004344D5"/>
    <w:rsid w:val="00434517"/>
    <w:rsid w:val="0043459B"/>
    <w:rsid w:val="004345B8"/>
    <w:rsid w:val="004345F7"/>
    <w:rsid w:val="004348BA"/>
    <w:rsid w:val="004348C6"/>
    <w:rsid w:val="00434A2A"/>
    <w:rsid w:val="00434ABE"/>
    <w:rsid w:val="00434B53"/>
    <w:rsid w:val="00434BC9"/>
    <w:rsid w:val="00434C0C"/>
    <w:rsid w:val="00434C27"/>
    <w:rsid w:val="00434C31"/>
    <w:rsid w:val="00434DBF"/>
    <w:rsid w:val="00434F70"/>
    <w:rsid w:val="00434FAC"/>
    <w:rsid w:val="004350B1"/>
    <w:rsid w:val="00435183"/>
    <w:rsid w:val="004351F9"/>
    <w:rsid w:val="0043527A"/>
    <w:rsid w:val="0043535A"/>
    <w:rsid w:val="004353FC"/>
    <w:rsid w:val="0043560E"/>
    <w:rsid w:val="0043593B"/>
    <w:rsid w:val="00435AF7"/>
    <w:rsid w:val="00435B85"/>
    <w:rsid w:val="00435BD8"/>
    <w:rsid w:val="00435C60"/>
    <w:rsid w:val="00435CC3"/>
    <w:rsid w:val="00435CED"/>
    <w:rsid w:val="00435D5C"/>
    <w:rsid w:val="00435DD5"/>
    <w:rsid w:val="00435DFF"/>
    <w:rsid w:val="00435FFB"/>
    <w:rsid w:val="0043603E"/>
    <w:rsid w:val="00436058"/>
    <w:rsid w:val="0043610D"/>
    <w:rsid w:val="00436112"/>
    <w:rsid w:val="0043618B"/>
    <w:rsid w:val="00436233"/>
    <w:rsid w:val="004362F8"/>
    <w:rsid w:val="004363D3"/>
    <w:rsid w:val="004363ED"/>
    <w:rsid w:val="00436424"/>
    <w:rsid w:val="0043642F"/>
    <w:rsid w:val="00436580"/>
    <w:rsid w:val="004365C2"/>
    <w:rsid w:val="00436783"/>
    <w:rsid w:val="004367DD"/>
    <w:rsid w:val="004368D4"/>
    <w:rsid w:val="004368D6"/>
    <w:rsid w:val="004369AD"/>
    <w:rsid w:val="00436AFB"/>
    <w:rsid w:val="00436B30"/>
    <w:rsid w:val="00436B48"/>
    <w:rsid w:val="00436BCD"/>
    <w:rsid w:val="00436C3F"/>
    <w:rsid w:val="00436C95"/>
    <w:rsid w:val="00436EF8"/>
    <w:rsid w:val="00437006"/>
    <w:rsid w:val="00437121"/>
    <w:rsid w:val="00437167"/>
    <w:rsid w:val="004371BC"/>
    <w:rsid w:val="00437248"/>
    <w:rsid w:val="004374F5"/>
    <w:rsid w:val="004375B9"/>
    <w:rsid w:val="004375ED"/>
    <w:rsid w:val="004376D8"/>
    <w:rsid w:val="00437873"/>
    <w:rsid w:val="00437915"/>
    <w:rsid w:val="00437941"/>
    <w:rsid w:val="00437C66"/>
    <w:rsid w:val="00437CBF"/>
    <w:rsid w:val="00437CF5"/>
    <w:rsid w:val="00437D65"/>
    <w:rsid w:val="00437E79"/>
    <w:rsid w:val="00437F8B"/>
    <w:rsid w:val="00440099"/>
    <w:rsid w:val="0044009D"/>
    <w:rsid w:val="004402FE"/>
    <w:rsid w:val="00440314"/>
    <w:rsid w:val="0044034B"/>
    <w:rsid w:val="00440350"/>
    <w:rsid w:val="004403FA"/>
    <w:rsid w:val="0044040D"/>
    <w:rsid w:val="00440571"/>
    <w:rsid w:val="00440575"/>
    <w:rsid w:val="0044057C"/>
    <w:rsid w:val="004405C8"/>
    <w:rsid w:val="00440630"/>
    <w:rsid w:val="00440636"/>
    <w:rsid w:val="004406A9"/>
    <w:rsid w:val="004407A6"/>
    <w:rsid w:val="004407DA"/>
    <w:rsid w:val="00440812"/>
    <w:rsid w:val="00440900"/>
    <w:rsid w:val="00440DA8"/>
    <w:rsid w:val="00440DC6"/>
    <w:rsid w:val="00440EC1"/>
    <w:rsid w:val="004411DF"/>
    <w:rsid w:val="0044126E"/>
    <w:rsid w:val="00441336"/>
    <w:rsid w:val="0044139D"/>
    <w:rsid w:val="0044159E"/>
    <w:rsid w:val="00441658"/>
    <w:rsid w:val="00441794"/>
    <w:rsid w:val="0044184E"/>
    <w:rsid w:val="004418BE"/>
    <w:rsid w:val="004418ED"/>
    <w:rsid w:val="00441970"/>
    <w:rsid w:val="00441A0D"/>
    <w:rsid w:val="00441ADD"/>
    <w:rsid w:val="00441AE0"/>
    <w:rsid w:val="00441C23"/>
    <w:rsid w:val="00441C60"/>
    <w:rsid w:val="00441D52"/>
    <w:rsid w:val="00441D81"/>
    <w:rsid w:val="00441D84"/>
    <w:rsid w:val="00441D86"/>
    <w:rsid w:val="00441EE5"/>
    <w:rsid w:val="00441F2A"/>
    <w:rsid w:val="00441FC6"/>
    <w:rsid w:val="00441FD7"/>
    <w:rsid w:val="00442020"/>
    <w:rsid w:val="00442021"/>
    <w:rsid w:val="004420C0"/>
    <w:rsid w:val="004421AC"/>
    <w:rsid w:val="00442259"/>
    <w:rsid w:val="004423AA"/>
    <w:rsid w:val="00442434"/>
    <w:rsid w:val="0044254D"/>
    <w:rsid w:val="0044274B"/>
    <w:rsid w:val="004427ED"/>
    <w:rsid w:val="0044292F"/>
    <w:rsid w:val="004429AB"/>
    <w:rsid w:val="004429CD"/>
    <w:rsid w:val="00442A1F"/>
    <w:rsid w:val="00442B8B"/>
    <w:rsid w:val="00442C30"/>
    <w:rsid w:val="00442CB4"/>
    <w:rsid w:val="00442CE4"/>
    <w:rsid w:val="00442D44"/>
    <w:rsid w:val="00442E12"/>
    <w:rsid w:val="00442ED1"/>
    <w:rsid w:val="00442F3F"/>
    <w:rsid w:val="00442F71"/>
    <w:rsid w:val="00442F8C"/>
    <w:rsid w:val="00442FAF"/>
    <w:rsid w:val="004430CB"/>
    <w:rsid w:val="00443236"/>
    <w:rsid w:val="00443317"/>
    <w:rsid w:val="0044346E"/>
    <w:rsid w:val="004434E0"/>
    <w:rsid w:val="0044369F"/>
    <w:rsid w:val="004436B9"/>
    <w:rsid w:val="00443701"/>
    <w:rsid w:val="0044381E"/>
    <w:rsid w:val="0044384B"/>
    <w:rsid w:val="004438D8"/>
    <w:rsid w:val="004439B9"/>
    <w:rsid w:val="00443A61"/>
    <w:rsid w:val="00443AE5"/>
    <w:rsid w:val="00443B2E"/>
    <w:rsid w:val="00443C35"/>
    <w:rsid w:val="00443F6F"/>
    <w:rsid w:val="00443FB2"/>
    <w:rsid w:val="00443FB9"/>
    <w:rsid w:val="00444103"/>
    <w:rsid w:val="0044411C"/>
    <w:rsid w:val="0044413C"/>
    <w:rsid w:val="004441B1"/>
    <w:rsid w:val="00444213"/>
    <w:rsid w:val="00444248"/>
    <w:rsid w:val="00444288"/>
    <w:rsid w:val="00444423"/>
    <w:rsid w:val="00444461"/>
    <w:rsid w:val="00444612"/>
    <w:rsid w:val="004446C0"/>
    <w:rsid w:val="00444793"/>
    <w:rsid w:val="00444850"/>
    <w:rsid w:val="004448B0"/>
    <w:rsid w:val="0044490D"/>
    <w:rsid w:val="0044497D"/>
    <w:rsid w:val="00444B86"/>
    <w:rsid w:val="00444C6F"/>
    <w:rsid w:val="00444CE3"/>
    <w:rsid w:val="00444D66"/>
    <w:rsid w:val="00444D97"/>
    <w:rsid w:val="00444E10"/>
    <w:rsid w:val="00444ECC"/>
    <w:rsid w:val="00444EDC"/>
    <w:rsid w:val="004450A7"/>
    <w:rsid w:val="00445218"/>
    <w:rsid w:val="0044522C"/>
    <w:rsid w:val="004452AB"/>
    <w:rsid w:val="004453AF"/>
    <w:rsid w:val="004453CC"/>
    <w:rsid w:val="004453F1"/>
    <w:rsid w:val="0044542B"/>
    <w:rsid w:val="0044546A"/>
    <w:rsid w:val="004454AD"/>
    <w:rsid w:val="00445665"/>
    <w:rsid w:val="00445683"/>
    <w:rsid w:val="00445688"/>
    <w:rsid w:val="00445892"/>
    <w:rsid w:val="00445A02"/>
    <w:rsid w:val="00445C1E"/>
    <w:rsid w:val="00445C38"/>
    <w:rsid w:val="00445D31"/>
    <w:rsid w:val="00445EF5"/>
    <w:rsid w:val="00445FC3"/>
    <w:rsid w:val="004460C0"/>
    <w:rsid w:val="004461D4"/>
    <w:rsid w:val="0044621F"/>
    <w:rsid w:val="00446332"/>
    <w:rsid w:val="004465AD"/>
    <w:rsid w:val="00446735"/>
    <w:rsid w:val="00446885"/>
    <w:rsid w:val="00446AEA"/>
    <w:rsid w:val="00446BC4"/>
    <w:rsid w:val="00446BC8"/>
    <w:rsid w:val="00446C2C"/>
    <w:rsid w:val="00446CEA"/>
    <w:rsid w:val="00446E7B"/>
    <w:rsid w:val="00446F4C"/>
    <w:rsid w:val="00446F63"/>
    <w:rsid w:val="00446FEB"/>
    <w:rsid w:val="00446FFF"/>
    <w:rsid w:val="00447008"/>
    <w:rsid w:val="0044707F"/>
    <w:rsid w:val="004470E9"/>
    <w:rsid w:val="00447217"/>
    <w:rsid w:val="00447265"/>
    <w:rsid w:val="0044727C"/>
    <w:rsid w:val="00447307"/>
    <w:rsid w:val="00447543"/>
    <w:rsid w:val="00447579"/>
    <w:rsid w:val="0044758E"/>
    <w:rsid w:val="00447629"/>
    <w:rsid w:val="00447668"/>
    <w:rsid w:val="0044774E"/>
    <w:rsid w:val="00447950"/>
    <w:rsid w:val="004479F6"/>
    <w:rsid w:val="00447AE8"/>
    <w:rsid w:val="00447BC4"/>
    <w:rsid w:val="00447C85"/>
    <w:rsid w:val="00447D65"/>
    <w:rsid w:val="00447D8C"/>
    <w:rsid w:val="00447DA8"/>
    <w:rsid w:val="00447E05"/>
    <w:rsid w:val="00447E16"/>
    <w:rsid w:val="00447E21"/>
    <w:rsid w:val="00447E8B"/>
    <w:rsid w:val="00447FA5"/>
    <w:rsid w:val="00450039"/>
    <w:rsid w:val="0045004C"/>
    <w:rsid w:val="004500BB"/>
    <w:rsid w:val="004501AB"/>
    <w:rsid w:val="00450249"/>
    <w:rsid w:val="0045028C"/>
    <w:rsid w:val="00450363"/>
    <w:rsid w:val="00450408"/>
    <w:rsid w:val="00450441"/>
    <w:rsid w:val="004504C1"/>
    <w:rsid w:val="0045070E"/>
    <w:rsid w:val="0045083B"/>
    <w:rsid w:val="0045097F"/>
    <w:rsid w:val="00450A88"/>
    <w:rsid w:val="00450D66"/>
    <w:rsid w:val="00450D8F"/>
    <w:rsid w:val="00450DCC"/>
    <w:rsid w:val="00450E7B"/>
    <w:rsid w:val="00450F53"/>
    <w:rsid w:val="004510A0"/>
    <w:rsid w:val="004511D3"/>
    <w:rsid w:val="004511D9"/>
    <w:rsid w:val="00451211"/>
    <w:rsid w:val="0045123A"/>
    <w:rsid w:val="0045127D"/>
    <w:rsid w:val="004512E4"/>
    <w:rsid w:val="004512FC"/>
    <w:rsid w:val="00451364"/>
    <w:rsid w:val="00451368"/>
    <w:rsid w:val="004514DE"/>
    <w:rsid w:val="00451582"/>
    <w:rsid w:val="004517C8"/>
    <w:rsid w:val="004517F1"/>
    <w:rsid w:val="00451846"/>
    <w:rsid w:val="00451882"/>
    <w:rsid w:val="00451A40"/>
    <w:rsid w:val="00451A96"/>
    <w:rsid w:val="00451AFC"/>
    <w:rsid w:val="00451B21"/>
    <w:rsid w:val="00451B24"/>
    <w:rsid w:val="00451B6B"/>
    <w:rsid w:val="00451B7A"/>
    <w:rsid w:val="00451C5E"/>
    <w:rsid w:val="00451C8A"/>
    <w:rsid w:val="00451D0B"/>
    <w:rsid w:val="00451D15"/>
    <w:rsid w:val="00451E26"/>
    <w:rsid w:val="00451ECE"/>
    <w:rsid w:val="00451EE5"/>
    <w:rsid w:val="00451F21"/>
    <w:rsid w:val="00451FE2"/>
    <w:rsid w:val="00451FF5"/>
    <w:rsid w:val="00452010"/>
    <w:rsid w:val="00452095"/>
    <w:rsid w:val="00452223"/>
    <w:rsid w:val="004522D7"/>
    <w:rsid w:val="004522E4"/>
    <w:rsid w:val="00452315"/>
    <w:rsid w:val="0045233B"/>
    <w:rsid w:val="004523F3"/>
    <w:rsid w:val="00452454"/>
    <w:rsid w:val="004526AE"/>
    <w:rsid w:val="00452757"/>
    <w:rsid w:val="004527B4"/>
    <w:rsid w:val="004528F3"/>
    <w:rsid w:val="00452938"/>
    <w:rsid w:val="00452A5C"/>
    <w:rsid w:val="00452A93"/>
    <w:rsid w:val="00452ADC"/>
    <w:rsid w:val="00452B7C"/>
    <w:rsid w:val="00452C56"/>
    <w:rsid w:val="00452C9C"/>
    <w:rsid w:val="00452CFA"/>
    <w:rsid w:val="00452D41"/>
    <w:rsid w:val="00452E00"/>
    <w:rsid w:val="00452EBA"/>
    <w:rsid w:val="00452ED7"/>
    <w:rsid w:val="00452F19"/>
    <w:rsid w:val="00453068"/>
    <w:rsid w:val="0045315D"/>
    <w:rsid w:val="004532DD"/>
    <w:rsid w:val="00453488"/>
    <w:rsid w:val="004534A3"/>
    <w:rsid w:val="0045357D"/>
    <w:rsid w:val="004535E5"/>
    <w:rsid w:val="0045363B"/>
    <w:rsid w:val="00453678"/>
    <w:rsid w:val="004536D7"/>
    <w:rsid w:val="0045371A"/>
    <w:rsid w:val="00453858"/>
    <w:rsid w:val="004539D4"/>
    <w:rsid w:val="00453AAD"/>
    <w:rsid w:val="00453B85"/>
    <w:rsid w:val="00453CF7"/>
    <w:rsid w:val="00453D4F"/>
    <w:rsid w:val="00453D75"/>
    <w:rsid w:val="00453EB3"/>
    <w:rsid w:val="00453F69"/>
    <w:rsid w:val="00453F8B"/>
    <w:rsid w:val="00453FB3"/>
    <w:rsid w:val="00454011"/>
    <w:rsid w:val="004541AE"/>
    <w:rsid w:val="0045447A"/>
    <w:rsid w:val="004544AC"/>
    <w:rsid w:val="004544D7"/>
    <w:rsid w:val="0045458C"/>
    <w:rsid w:val="0045459D"/>
    <w:rsid w:val="0045466B"/>
    <w:rsid w:val="00454760"/>
    <w:rsid w:val="0045486E"/>
    <w:rsid w:val="0045487D"/>
    <w:rsid w:val="004548BF"/>
    <w:rsid w:val="00454977"/>
    <w:rsid w:val="00454A0E"/>
    <w:rsid w:val="00454B84"/>
    <w:rsid w:val="00454BC6"/>
    <w:rsid w:val="00454CD6"/>
    <w:rsid w:val="00454D1E"/>
    <w:rsid w:val="00454D6D"/>
    <w:rsid w:val="00454E01"/>
    <w:rsid w:val="00454E0A"/>
    <w:rsid w:val="00454E34"/>
    <w:rsid w:val="00454E5A"/>
    <w:rsid w:val="00454FA5"/>
    <w:rsid w:val="0045531E"/>
    <w:rsid w:val="00455340"/>
    <w:rsid w:val="0045537A"/>
    <w:rsid w:val="004553FD"/>
    <w:rsid w:val="004554F5"/>
    <w:rsid w:val="00455550"/>
    <w:rsid w:val="004555E0"/>
    <w:rsid w:val="00455797"/>
    <w:rsid w:val="004558D5"/>
    <w:rsid w:val="00455987"/>
    <w:rsid w:val="0045598D"/>
    <w:rsid w:val="00455A1E"/>
    <w:rsid w:val="00455AA6"/>
    <w:rsid w:val="00455ADF"/>
    <w:rsid w:val="00455B9A"/>
    <w:rsid w:val="00455BB3"/>
    <w:rsid w:val="00455C58"/>
    <w:rsid w:val="00455D38"/>
    <w:rsid w:val="00455D66"/>
    <w:rsid w:val="00455E42"/>
    <w:rsid w:val="00455EE5"/>
    <w:rsid w:val="00455F3F"/>
    <w:rsid w:val="00455FC2"/>
    <w:rsid w:val="0045602F"/>
    <w:rsid w:val="00456059"/>
    <w:rsid w:val="0045606F"/>
    <w:rsid w:val="00456157"/>
    <w:rsid w:val="004561CD"/>
    <w:rsid w:val="004561DF"/>
    <w:rsid w:val="00456227"/>
    <w:rsid w:val="004563A0"/>
    <w:rsid w:val="0045650A"/>
    <w:rsid w:val="0045651C"/>
    <w:rsid w:val="0045666E"/>
    <w:rsid w:val="00456676"/>
    <w:rsid w:val="00456693"/>
    <w:rsid w:val="004566B8"/>
    <w:rsid w:val="004566DD"/>
    <w:rsid w:val="0045686B"/>
    <w:rsid w:val="0045691F"/>
    <w:rsid w:val="00456BB2"/>
    <w:rsid w:val="00456C32"/>
    <w:rsid w:val="00456CC2"/>
    <w:rsid w:val="00456D07"/>
    <w:rsid w:val="00456D33"/>
    <w:rsid w:val="00456D41"/>
    <w:rsid w:val="00456DB5"/>
    <w:rsid w:val="00456FFF"/>
    <w:rsid w:val="0045701A"/>
    <w:rsid w:val="0045709D"/>
    <w:rsid w:val="0045713A"/>
    <w:rsid w:val="0045717C"/>
    <w:rsid w:val="0045738C"/>
    <w:rsid w:val="004573A1"/>
    <w:rsid w:val="004573BC"/>
    <w:rsid w:val="00457441"/>
    <w:rsid w:val="004574E5"/>
    <w:rsid w:val="004575B8"/>
    <w:rsid w:val="00457655"/>
    <w:rsid w:val="00457658"/>
    <w:rsid w:val="00457A27"/>
    <w:rsid w:val="00457B41"/>
    <w:rsid w:val="00457D06"/>
    <w:rsid w:val="0046000E"/>
    <w:rsid w:val="00460231"/>
    <w:rsid w:val="0046026B"/>
    <w:rsid w:val="004602B0"/>
    <w:rsid w:val="004602D7"/>
    <w:rsid w:val="00460300"/>
    <w:rsid w:val="00460341"/>
    <w:rsid w:val="0046038A"/>
    <w:rsid w:val="004604F9"/>
    <w:rsid w:val="00460521"/>
    <w:rsid w:val="004605CE"/>
    <w:rsid w:val="00460622"/>
    <w:rsid w:val="00460706"/>
    <w:rsid w:val="0046077A"/>
    <w:rsid w:val="00460815"/>
    <w:rsid w:val="00460881"/>
    <w:rsid w:val="004608D1"/>
    <w:rsid w:val="00460915"/>
    <w:rsid w:val="0046096B"/>
    <w:rsid w:val="00460A7A"/>
    <w:rsid w:val="00460DDF"/>
    <w:rsid w:val="00460E4B"/>
    <w:rsid w:val="00460EAC"/>
    <w:rsid w:val="00460F44"/>
    <w:rsid w:val="00460FAB"/>
    <w:rsid w:val="00460FD3"/>
    <w:rsid w:val="004610E0"/>
    <w:rsid w:val="004611DF"/>
    <w:rsid w:val="004611FD"/>
    <w:rsid w:val="00461218"/>
    <w:rsid w:val="0046125F"/>
    <w:rsid w:val="00461318"/>
    <w:rsid w:val="004613DA"/>
    <w:rsid w:val="004613DD"/>
    <w:rsid w:val="004614C0"/>
    <w:rsid w:val="00461535"/>
    <w:rsid w:val="004615AC"/>
    <w:rsid w:val="0046161F"/>
    <w:rsid w:val="00461813"/>
    <w:rsid w:val="00461830"/>
    <w:rsid w:val="004618F7"/>
    <w:rsid w:val="00461957"/>
    <w:rsid w:val="00461AF8"/>
    <w:rsid w:val="00461DC8"/>
    <w:rsid w:val="00461DFE"/>
    <w:rsid w:val="00461F3B"/>
    <w:rsid w:val="00461FA5"/>
    <w:rsid w:val="00461FD8"/>
    <w:rsid w:val="0046205D"/>
    <w:rsid w:val="00462083"/>
    <w:rsid w:val="004622DD"/>
    <w:rsid w:val="004625A0"/>
    <w:rsid w:val="004625B6"/>
    <w:rsid w:val="004625BE"/>
    <w:rsid w:val="0046266F"/>
    <w:rsid w:val="00462769"/>
    <w:rsid w:val="004628D0"/>
    <w:rsid w:val="00462A59"/>
    <w:rsid w:val="00462AE2"/>
    <w:rsid w:val="00462B00"/>
    <w:rsid w:val="00462C96"/>
    <w:rsid w:val="00462D1C"/>
    <w:rsid w:val="00462D21"/>
    <w:rsid w:val="00462D75"/>
    <w:rsid w:val="00462DDD"/>
    <w:rsid w:val="00462F9E"/>
    <w:rsid w:val="00463172"/>
    <w:rsid w:val="00463174"/>
    <w:rsid w:val="0046325C"/>
    <w:rsid w:val="004632B3"/>
    <w:rsid w:val="004632C1"/>
    <w:rsid w:val="004632D5"/>
    <w:rsid w:val="004634AA"/>
    <w:rsid w:val="00463595"/>
    <w:rsid w:val="004636D3"/>
    <w:rsid w:val="004637DD"/>
    <w:rsid w:val="0046382A"/>
    <w:rsid w:val="00463A77"/>
    <w:rsid w:val="00463AAB"/>
    <w:rsid w:val="00463BBD"/>
    <w:rsid w:val="00463BD1"/>
    <w:rsid w:val="00463BEF"/>
    <w:rsid w:val="00463C0E"/>
    <w:rsid w:val="00463C4D"/>
    <w:rsid w:val="00463CEA"/>
    <w:rsid w:val="00463D41"/>
    <w:rsid w:val="00463DBE"/>
    <w:rsid w:val="00463E7D"/>
    <w:rsid w:val="00463EB5"/>
    <w:rsid w:val="00463F5A"/>
    <w:rsid w:val="00463FF5"/>
    <w:rsid w:val="00464058"/>
    <w:rsid w:val="00464199"/>
    <w:rsid w:val="00464262"/>
    <w:rsid w:val="00464264"/>
    <w:rsid w:val="004642CD"/>
    <w:rsid w:val="0046432B"/>
    <w:rsid w:val="004643A1"/>
    <w:rsid w:val="00464472"/>
    <w:rsid w:val="00464479"/>
    <w:rsid w:val="004645D3"/>
    <w:rsid w:val="00464719"/>
    <w:rsid w:val="0046483C"/>
    <w:rsid w:val="00464856"/>
    <w:rsid w:val="0046492C"/>
    <w:rsid w:val="00464934"/>
    <w:rsid w:val="004649C1"/>
    <w:rsid w:val="004649EB"/>
    <w:rsid w:val="00464AB6"/>
    <w:rsid w:val="00464B39"/>
    <w:rsid w:val="00464DB9"/>
    <w:rsid w:val="00464DFF"/>
    <w:rsid w:val="00464EA2"/>
    <w:rsid w:val="00465072"/>
    <w:rsid w:val="004651A2"/>
    <w:rsid w:val="004651E4"/>
    <w:rsid w:val="004652B1"/>
    <w:rsid w:val="0046532A"/>
    <w:rsid w:val="00465601"/>
    <w:rsid w:val="0046562C"/>
    <w:rsid w:val="004656BE"/>
    <w:rsid w:val="004656D8"/>
    <w:rsid w:val="00465726"/>
    <w:rsid w:val="004657BE"/>
    <w:rsid w:val="00465862"/>
    <w:rsid w:val="00465CC8"/>
    <w:rsid w:val="00465D0D"/>
    <w:rsid w:val="00465E00"/>
    <w:rsid w:val="00465EA4"/>
    <w:rsid w:val="00465F32"/>
    <w:rsid w:val="00465F93"/>
    <w:rsid w:val="00466014"/>
    <w:rsid w:val="0046609A"/>
    <w:rsid w:val="004660DE"/>
    <w:rsid w:val="004660F6"/>
    <w:rsid w:val="0046613C"/>
    <w:rsid w:val="004661D3"/>
    <w:rsid w:val="004661DB"/>
    <w:rsid w:val="00466355"/>
    <w:rsid w:val="004664B3"/>
    <w:rsid w:val="00466565"/>
    <w:rsid w:val="00466697"/>
    <w:rsid w:val="004666E7"/>
    <w:rsid w:val="004666F2"/>
    <w:rsid w:val="00466946"/>
    <w:rsid w:val="0046694C"/>
    <w:rsid w:val="00466982"/>
    <w:rsid w:val="00466A1E"/>
    <w:rsid w:val="00466A55"/>
    <w:rsid w:val="00466A64"/>
    <w:rsid w:val="00466B4A"/>
    <w:rsid w:val="00466E8E"/>
    <w:rsid w:val="00466ECE"/>
    <w:rsid w:val="00466F68"/>
    <w:rsid w:val="004670BD"/>
    <w:rsid w:val="0046711C"/>
    <w:rsid w:val="004671E4"/>
    <w:rsid w:val="0046722D"/>
    <w:rsid w:val="004672DE"/>
    <w:rsid w:val="0046743E"/>
    <w:rsid w:val="004674F5"/>
    <w:rsid w:val="00467597"/>
    <w:rsid w:val="004676F2"/>
    <w:rsid w:val="0046773D"/>
    <w:rsid w:val="004677E4"/>
    <w:rsid w:val="0046782E"/>
    <w:rsid w:val="004678B8"/>
    <w:rsid w:val="00467932"/>
    <w:rsid w:val="00467B81"/>
    <w:rsid w:val="00467C0D"/>
    <w:rsid w:val="00467C9F"/>
    <w:rsid w:val="00467CCE"/>
    <w:rsid w:val="00467CFE"/>
    <w:rsid w:val="00467E90"/>
    <w:rsid w:val="00467F0E"/>
    <w:rsid w:val="00467F3B"/>
    <w:rsid w:val="00467F4D"/>
    <w:rsid w:val="00467F5C"/>
    <w:rsid w:val="00467F96"/>
    <w:rsid w:val="0047009B"/>
    <w:rsid w:val="0047011C"/>
    <w:rsid w:val="0047012A"/>
    <w:rsid w:val="00470242"/>
    <w:rsid w:val="00470247"/>
    <w:rsid w:val="004702C1"/>
    <w:rsid w:val="0047033E"/>
    <w:rsid w:val="004705B0"/>
    <w:rsid w:val="0047063A"/>
    <w:rsid w:val="004706EF"/>
    <w:rsid w:val="004707A5"/>
    <w:rsid w:val="0047096F"/>
    <w:rsid w:val="004709E2"/>
    <w:rsid w:val="00470A0A"/>
    <w:rsid w:val="00470A9C"/>
    <w:rsid w:val="00470B22"/>
    <w:rsid w:val="00470C2C"/>
    <w:rsid w:val="00470D40"/>
    <w:rsid w:val="00470E5F"/>
    <w:rsid w:val="00470FB0"/>
    <w:rsid w:val="004710D1"/>
    <w:rsid w:val="0047131D"/>
    <w:rsid w:val="00471548"/>
    <w:rsid w:val="004715CA"/>
    <w:rsid w:val="00471735"/>
    <w:rsid w:val="00471763"/>
    <w:rsid w:val="00471862"/>
    <w:rsid w:val="0047186E"/>
    <w:rsid w:val="0047195F"/>
    <w:rsid w:val="00471A6A"/>
    <w:rsid w:val="00471B0F"/>
    <w:rsid w:val="00471B41"/>
    <w:rsid w:val="00471C79"/>
    <w:rsid w:val="00471DFE"/>
    <w:rsid w:val="00471E49"/>
    <w:rsid w:val="00471E57"/>
    <w:rsid w:val="00471ED5"/>
    <w:rsid w:val="00471F8B"/>
    <w:rsid w:val="00471FCA"/>
    <w:rsid w:val="00472023"/>
    <w:rsid w:val="00472066"/>
    <w:rsid w:val="00472395"/>
    <w:rsid w:val="004723F7"/>
    <w:rsid w:val="0047246C"/>
    <w:rsid w:val="004725DA"/>
    <w:rsid w:val="00472615"/>
    <w:rsid w:val="0047263A"/>
    <w:rsid w:val="00472713"/>
    <w:rsid w:val="0047286D"/>
    <w:rsid w:val="004729C3"/>
    <w:rsid w:val="004729C7"/>
    <w:rsid w:val="00472A36"/>
    <w:rsid w:val="00472A3C"/>
    <w:rsid w:val="00472C09"/>
    <w:rsid w:val="00472C9A"/>
    <w:rsid w:val="00472CEA"/>
    <w:rsid w:val="00472E1E"/>
    <w:rsid w:val="00472E95"/>
    <w:rsid w:val="00472EA0"/>
    <w:rsid w:val="00472EED"/>
    <w:rsid w:val="00472EFD"/>
    <w:rsid w:val="00472F88"/>
    <w:rsid w:val="00472FD7"/>
    <w:rsid w:val="004730B5"/>
    <w:rsid w:val="00473113"/>
    <w:rsid w:val="004732A5"/>
    <w:rsid w:val="00473416"/>
    <w:rsid w:val="00473474"/>
    <w:rsid w:val="00473613"/>
    <w:rsid w:val="0047381F"/>
    <w:rsid w:val="004738AC"/>
    <w:rsid w:val="004739F2"/>
    <w:rsid w:val="00473A43"/>
    <w:rsid w:val="00473A74"/>
    <w:rsid w:val="00473AF4"/>
    <w:rsid w:val="00473B01"/>
    <w:rsid w:val="00473B46"/>
    <w:rsid w:val="00473CBB"/>
    <w:rsid w:val="00473D68"/>
    <w:rsid w:val="00473E19"/>
    <w:rsid w:val="00473EE3"/>
    <w:rsid w:val="00474030"/>
    <w:rsid w:val="004740D0"/>
    <w:rsid w:val="0047414A"/>
    <w:rsid w:val="004744C3"/>
    <w:rsid w:val="0047472B"/>
    <w:rsid w:val="00474915"/>
    <w:rsid w:val="004749F2"/>
    <w:rsid w:val="00474A2D"/>
    <w:rsid w:val="00474BA8"/>
    <w:rsid w:val="00474BFE"/>
    <w:rsid w:val="00474CE9"/>
    <w:rsid w:val="00474D77"/>
    <w:rsid w:val="00474D7F"/>
    <w:rsid w:val="00474E4D"/>
    <w:rsid w:val="00474EA0"/>
    <w:rsid w:val="00474F40"/>
    <w:rsid w:val="00474FE2"/>
    <w:rsid w:val="00474FEC"/>
    <w:rsid w:val="00474FF0"/>
    <w:rsid w:val="00475007"/>
    <w:rsid w:val="004751CC"/>
    <w:rsid w:val="00475275"/>
    <w:rsid w:val="00475303"/>
    <w:rsid w:val="0047539D"/>
    <w:rsid w:val="0047541F"/>
    <w:rsid w:val="00475480"/>
    <w:rsid w:val="00475483"/>
    <w:rsid w:val="004754E9"/>
    <w:rsid w:val="00475523"/>
    <w:rsid w:val="0047557F"/>
    <w:rsid w:val="004755F2"/>
    <w:rsid w:val="004755FB"/>
    <w:rsid w:val="00475761"/>
    <w:rsid w:val="00475881"/>
    <w:rsid w:val="0047588D"/>
    <w:rsid w:val="00475913"/>
    <w:rsid w:val="00475978"/>
    <w:rsid w:val="00475A6D"/>
    <w:rsid w:val="00475C43"/>
    <w:rsid w:val="00475CC1"/>
    <w:rsid w:val="00475D3B"/>
    <w:rsid w:val="004760A7"/>
    <w:rsid w:val="004761A4"/>
    <w:rsid w:val="004761ED"/>
    <w:rsid w:val="0047627D"/>
    <w:rsid w:val="004762A9"/>
    <w:rsid w:val="0047653D"/>
    <w:rsid w:val="00476590"/>
    <w:rsid w:val="004766E2"/>
    <w:rsid w:val="00476797"/>
    <w:rsid w:val="004767C1"/>
    <w:rsid w:val="00476851"/>
    <w:rsid w:val="004768F6"/>
    <w:rsid w:val="00476B26"/>
    <w:rsid w:val="00476B4D"/>
    <w:rsid w:val="00476B88"/>
    <w:rsid w:val="00476BA8"/>
    <w:rsid w:val="00476BEA"/>
    <w:rsid w:val="00477053"/>
    <w:rsid w:val="004770A7"/>
    <w:rsid w:val="004773A8"/>
    <w:rsid w:val="00477410"/>
    <w:rsid w:val="00477714"/>
    <w:rsid w:val="0047794C"/>
    <w:rsid w:val="00477993"/>
    <w:rsid w:val="004779EE"/>
    <w:rsid w:val="00477AC5"/>
    <w:rsid w:val="00477B66"/>
    <w:rsid w:val="00477B74"/>
    <w:rsid w:val="00477BCA"/>
    <w:rsid w:val="00477C04"/>
    <w:rsid w:val="00477D5A"/>
    <w:rsid w:val="00477E53"/>
    <w:rsid w:val="00477EA5"/>
    <w:rsid w:val="00477F13"/>
    <w:rsid w:val="00477F3F"/>
    <w:rsid w:val="00477FBC"/>
    <w:rsid w:val="00480005"/>
    <w:rsid w:val="0048002C"/>
    <w:rsid w:val="00480045"/>
    <w:rsid w:val="00480096"/>
    <w:rsid w:val="004800EE"/>
    <w:rsid w:val="00480127"/>
    <w:rsid w:val="00480319"/>
    <w:rsid w:val="0048044E"/>
    <w:rsid w:val="004805AA"/>
    <w:rsid w:val="004805B3"/>
    <w:rsid w:val="004806A6"/>
    <w:rsid w:val="004806DD"/>
    <w:rsid w:val="00480706"/>
    <w:rsid w:val="00480750"/>
    <w:rsid w:val="00480787"/>
    <w:rsid w:val="004808CE"/>
    <w:rsid w:val="00480A82"/>
    <w:rsid w:val="00480A9D"/>
    <w:rsid w:val="00480BC4"/>
    <w:rsid w:val="00480C7F"/>
    <w:rsid w:val="00480C86"/>
    <w:rsid w:val="00480CA0"/>
    <w:rsid w:val="00480CE5"/>
    <w:rsid w:val="00480D47"/>
    <w:rsid w:val="00480DB2"/>
    <w:rsid w:val="00480E0A"/>
    <w:rsid w:val="00480F78"/>
    <w:rsid w:val="00480FB4"/>
    <w:rsid w:val="0048116B"/>
    <w:rsid w:val="004811B8"/>
    <w:rsid w:val="0048122B"/>
    <w:rsid w:val="0048144C"/>
    <w:rsid w:val="00481517"/>
    <w:rsid w:val="00481535"/>
    <w:rsid w:val="0048156D"/>
    <w:rsid w:val="0048159F"/>
    <w:rsid w:val="0048163F"/>
    <w:rsid w:val="00481667"/>
    <w:rsid w:val="00481695"/>
    <w:rsid w:val="004818D0"/>
    <w:rsid w:val="0048190D"/>
    <w:rsid w:val="00481CAF"/>
    <w:rsid w:val="00481D47"/>
    <w:rsid w:val="00481E20"/>
    <w:rsid w:val="00481ECD"/>
    <w:rsid w:val="00481F08"/>
    <w:rsid w:val="00482627"/>
    <w:rsid w:val="0048264C"/>
    <w:rsid w:val="004826A7"/>
    <w:rsid w:val="004827BB"/>
    <w:rsid w:val="00482891"/>
    <w:rsid w:val="0048298F"/>
    <w:rsid w:val="004829A1"/>
    <w:rsid w:val="00482ABD"/>
    <w:rsid w:val="00482B32"/>
    <w:rsid w:val="00482E7D"/>
    <w:rsid w:val="00483054"/>
    <w:rsid w:val="00483160"/>
    <w:rsid w:val="0048319E"/>
    <w:rsid w:val="00483278"/>
    <w:rsid w:val="00483329"/>
    <w:rsid w:val="00483396"/>
    <w:rsid w:val="004834FC"/>
    <w:rsid w:val="004835F9"/>
    <w:rsid w:val="004837ED"/>
    <w:rsid w:val="00483884"/>
    <w:rsid w:val="00483955"/>
    <w:rsid w:val="00483A0D"/>
    <w:rsid w:val="00483B7B"/>
    <w:rsid w:val="00483C74"/>
    <w:rsid w:val="00483CD5"/>
    <w:rsid w:val="00483D47"/>
    <w:rsid w:val="00483D98"/>
    <w:rsid w:val="00483ECF"/>
    <w:rsid w:val="0048406B"/>
    <w:rsid w:val="0048411B"/>
    <w:rsid w:val="00484154"/>
    <w:rsid w:val="0048419C"/>
    <w:rsid w:val="00484266"/>
    <w:rsid w:val="00484309"/>
    <w:rsid w:val="00484334"/>
    <w:rsid w:val="004844FF"/>
    <w:rsid w:val="0048450C"/>
    <w:rsid w:val="00484637"/>
    <w:rsid w:val="004846DF"/>
    <w:rsid w:val="00484743"/>
    <w:rsid w:val="004847B8"/>
    <w:rsid w:val="00484876"/>
    <w:rsid w:val="00484924"/>
    <w:rsid w:val="004849C1"/>
    <w:rsid w:val="00484B3D"/>
    <w:rsid w:val="00484B6D"/>
    <w:rsid w:val="00484C09"/>
    <w:rsid w:val="00484C2F"/>
    <w:rsid w:val="00484C42"/>
    <w:rsid w:val="00484C50"/>
    <w:rsid w:val="00484D8B"/>
    <w:rsid w:val="00484EEA"/>
    <w:rsid w:val="00485031"/>
    <w:rsid w:val="0048509D"/>
    <w:rsid w:val="004850A4"/>
    <w:rsid w:val="004850B0"/>
    <w:rsid w:val="004850BF"/>
    <w:rsid w:val="004850E0"/>
    <w:rsid w:val="0048515E"/>
    <w:rsid w:val="00485455"/>
    <w:rsid w:val="00485493"/>
    <w:rsid w:val="004854E9"/>
    <w:rsid w:val="0048550D"/>
    <w:rsid w:val="004857A2"/>
    <w:rsid w:val="004858C4"/>
    <w:rsid w:val="004859A7"/>
    <w:rsid w:val="004859F5"/>
    <w:rsid w:val="00485AE5"/>
    <w:rsid w:val="00485B41"/>
    <w:rsid w:val="00485BBB"/>
    <w:rsid w:val="00486086"/>
    <w:rsid w:val="0048608A"/>
    <w:rsid w:val="004860A5"/>
    <w:rsid w:val="004860CC"/>
    <w:rsid w:val="004862FC"/>
    <w:rsid w:val="00486558"/>
    <w:rsid w:val="00486596"/>
    <w:rsid w:val="0048677E"/>
    <w:rsid w:val="00486818"/>
    <w:rsid w:val="00486844"/>
    <w:rsid w:val="004868F4"/>
    <w:rsid w:val="00486945"/>
    <w:rsid w:val="00486981"/>
    <w:rsid w:val="00486A5C"/>
    <w:rsid w:val="00486ACA"/>
    <w:rsid w:val="00486B10"/>
    <w:rsid w:val="00486CAF"/>
    <w:rsid w:val="00486D17"/>
    <w:rsid w:val="00486DB0"/>
    <w:rsid w:val="00486DC2"/>
    <w:rsid w:val="00486ED7"/>
    <w:rsid w:val="00486EEB"/>
    <w:rsid w:val="00486EEC"/>
    <w:rsid w:val="00487037"/>
    <w:rsid w:val="00487043"/>
    <w:rsid w:val="00487167"/>
    <w:rsid w:val="004871A2"/>
    <w:rsid w:val="0048721A"/>
    <w:rsid w:val="004872D0"/>
    <w:rsid w:val="0048733F"/>
    <w:rsid w:val="00487374"/>
    <w:rsid w:val="004873C5"/>
    <w:rsid w:val="0048743C"/>
    <w:rsid w:val="00487488"/>
    <w:rsid w:val="004874A6"/>
    <w:rsid w:val="004874A8"/>
    <w:rsid w:val="004874BB"/>
    <w:rsid w:val="00487805"/>
    <w:rsid w:val="00487974"/>
    <w:rsid w:val="00487A5D"/>
    <w:rsid w:val="00487AD7"/>
    <w:rsid w:val="00487B4B"/>
    <w:rsid w:val="00487E0F"/>
    <w:rsid w:val="00487E8C"/>
    <w:rsid w:val="00487E90"/>
    <w:rsid w:val="00487EB9"/>
    <w:rsid w:val="00487F7E"/>
    <w:rsid w:val="00487FB1"/>
    <w:rsid w:val="00487FDC"/>
    <w:rsid w:val="004901DE"/>
    <w:rsid w:val="004901FA"/>
    <w:rsid w:val="0049026D"/>
    <w:rsid w:val="00490349"/>
    <w:rsid w:val="00490527"/>
    <w:rsid w:val="0049057C"/>
    <w:rsid w:val="00490634"/>
    <w:rsid w:val="0049063A"/>
    <w:rsid w:val="00490686"/>
    <w:rsid w:val="004907DE"/>
    <w:rsid w:val="004908E2"/>
    <w:rsid w:val="00490A3D"/>
    <w:rsid w:val="00490A9C"/>
    <w:rsid w:val="00490F40"/>
    <w:rsid w:val="00490F90"/>
    <w:rsid w:val="004910C4"/>
    <w:rsid w:val="004911F0"/>
    <w:rsid w:val="00491303"/>
    <w:rsid w:val="0049133D"/>
    <w:rsid w:val="0049138F"/>
    <w:rsid w:val="00491494"/>
    <w:rsid w:val="004914CB"/>
    <w:rsid w:val="0049164A"/>
    <w:rsid w:val="00491721"/>
    <w:rsid w:val="0049178E"/>
    <w:rsid w:val="00491912"/>
    <w:rsid w:val="00491AF2"/>
    <w:rsid w:val="00491BE1"/>
    <w:rsid w:val="00491E5F"/>
    <w:rsid w:val="00491EF2"/>
    <w:rsid w:val="00491F45"/>
    <w:rsid w:val="00492021"/>
    <w:rsid w:val="004920D4"/>
    <w:rsid w:val="00492232"/>
    <w:rsid w:val="004923B0"/>
    <w:rsid w:val="00492449"/>
    <w:rsid w:val="0049253D"/>
    <w:rsid w:val="00492552"/>
    <w:rsid w:val="004925AD"/>
    <w:rsid w:val="00492672"/>
    <w:rsid w:val="004926B9"/>
    <w:rsid w:val="00492703"/>
    <w:rsid w:val="00492807"/>
    <w:rsid w:val="00492940"/>
    <w:rsid w:val="00492983"/>
    <w:rsid w:val="00492A50"/>
    <w:rsid w:val="00492ADE"/>
    <w:rsid w:val="00492C85"/>
    <w:rsid w:val="00492CA0"/>
    <w:rsid w:val="00492D43"/>
    <w:rsid w:val="00492D55"/>
    <w:rsid w:val="00492DE6"/>
    <w:rsid w:val="00492F3A"/>
    <w:rsid w:val="00492F61"/>
    <w:rsid w:val="00492FF2"/>
    <w:rsid w:val="00493006"/>
    <w:rsid w:val="004931D8"/>
    <w:rsid w:val="00493249"/>
    <w:rsid w:val="00493299"/>
    <w:rsid w:val="004934C0"/>
    <w:rsid w:val="004934E8"/>
    <w:rsid w:val="0049353D"/>
    <w:rsid w:val="0049357B"/>
    <w:rsid w:val="00493756"/>
    <w:rsid w:val="00493778"/>
    <w:rsid w:val="004938AB"/>
    <w:rsid w:val="00493A1F"/>
    <w:rsid w:val="00493B60"/>
    <w:rsid w:val="00493C30"/>
    <w:rsid w:val="00493D13"/>
    <w:rsid w:val="00493DA2"/>
    <w:rsid w:val="00493DD0"/>
    <w:rsid w:val="00493E25"/>
    <w:rsid w:val="00493E4A"/>
    <w:rsid w:val="00493EEB"/>
    <w:rsid w:val="00493FA0"/>
    <w:rsid w:val="00493FA2"/>
    <w:rsid w:val="0049416F"/>
    <w:rsid w:val="004941AA"/>
    <w:rsid w:val="004943B1"/>
    <w:rsid w:val="00494476"/>
    <w:rsid w:val="004947F2"/>
    <w:rsid w:val="0049481F"/>
    <w:rsid w:val="00494850"/>
    <w:rsid w:val="0049490A"/>
    <w:rsid w:val="00494A0A"/>
    <w:rsid w:val="00494A65"/>
    <w:rsid w:val="00494C18"/>
    <w:rsid w:val="00494C79"/>
    <w:rsid w:val="00494FB1"/>
    <w:rsid w:val="00494FC9"/>
    <w:rsid w:val="004950C9"/>
    <w:rsid w:val="0049515F"/>
    <w:rsid w:val="00495220"/>
    <w:rsid w:val="00495256"/>
    <w:rsid w:val="004952AE"/>
    <w:rsid w:val="004952F2"/>
    <w:rsid w:val="004953B2"/>
    <w:rsid w:val="004953B6"/>
    <w:rsid w:val="004953D6"/>
    <w:rsid w:val="004954AA"/>
    <w:rsid w:val="004954C1"/>
    <w:rsid w:val="00495533"/>
    <w:rsid w:val="00495590"/>
    <w:rsid w:val="00495592"/>
    <w:rsid w:val="004955C1"/>
    <w:rsid w:val="00495683"/>
    <w:rsid w:val="004957D3"/>
    <w:rsid w:val="004958B8"/>
    <w:rsid w:val="00495A01"/>
    <w:rsid w:val="00495D9F"/>
    <w:rsid w:val="00495EDB"/>
    <w:rsid w:val="00496059"/>
    <w:rsid w:val="0049620F"/>
    <w:rsid w:val="00496227"/>
    <w:rsid w:val="00496290"/>
    <w:rsid w:val="00496424"/>
    <w:rsid w:val="00496428"/>
    <w:rsid w:val="0049648C"/>
    <w:rsid w:val="00496523"/>
    <w:rsid w:val="004965FD"/>
    <w:rsid w:val="00496671"/>
    <w:rsid w:val="0049675B"/>
    <w:rsid w:val="004967A3"/>
    <w:rsid w:val="00496908"/>
    <w:rsid w:val="004969EA"/>
    <w:rsid w:val="00496A39"/>
    <w:rsid w:val="00496A64"/>
    <w:rsid w:val="00496ADD"/>
    <w:rsid w:val="00496B19"/>
    <w:rsid w:val="00496B80"/>
    <w:rsid w:val="00496BE7"/>
    <w:rsid w:val="00496C6E"/>
    <w:rsid w:val="00496E22"/>
    <w:rsid w:val="00496E3C"/>
    <w:rsid w:val="00496E7B"/>
    <w:rsid w:val="00497041"/>
    <w:rsid w:val="00497093"/>
    <w:rsid w:val="0049710C"/>
    <w:rsid w:val="0049717D"/>
    <w:rsid w:val="0049719D"/>
    <w:rsid w:val="00497342"/>
    <w:rsid w:val="00497381"/>
    <w:rsid w:val="004973D2"/>
    <w:rsid w:val="00497422"/>
    <w:rsid w:val="0049754D"/>
    <w:rsid w:val="00497623"/>
    <w:rsid w:val="00497801"/>
    <w:rsid w:val="00497A09"/>
    <w:rsid w:val="00497BCF"/>
    <w:rsid w:val="00497BE0"/>
    <w:rsid w:val="00497C92"/>
    <w:rsid w:val="00497D3A"/>
    <w:rsid w:val="00497E1E"/>
    <w:rsid w:val="00497FB2"/>
    <w:rsid w:val="004A00AB"/>
    <w:rsid w:val="004A017D"/>
    <w:rsid w:val="004A027A"/>
    <w:rsid w:val="004A0373"/>
    <w:rsid w:val="004A04E9"/>
    <w:rsid w:val="004A05C0"/>
    <w:rsid w:val="004A06FB"/>
    <w:rsid w:val="004A0764"/>
    <w:rsid w:val="004A088C"/>
    <w:rsid w:val="004A09F4"/>
    <w:rsid w:val="004A0A71"/>
    <w:rsid w:val="004A0A79"/>
    <w:rsid w:val="004A0A97"/>
    <w:rsid w:val="004A0C79"/>
    <w:rsid w:val="004A0D0E"/>
    <w:rsid w:val="004A0D8B"/>
    <w:rsid w:val="004A0DFF"/>
    <w:rsid w:val="004A0E8E"/>
    <w:rsid w:val="004A0EF1"/>
    <w:rsid w:val="004A0F71"/>
    <w:rsid w:val="004A0F80"/>
    <w:rsid w:val="004A108D"/>
    <w:rsid w:val="004A10E8"/>
    <w:rsid w:val="004A10FB"/>
    <w:rsid w:val="004A110B"/>
    <w:rsid w:val="004A113E"/>
    <w:rsid w:val="004A1306"/>
    <w:rsid w:val="004A1441"/>
    <w:rsid w:val="004A14DF"/>
    <w:rsid w:val="004A1560"/>
    <w:rsid w:val="004A1723"/>
    <w:rsid w:val="004A18FA"/>
    <w:rsid w:val="004A1BED"/>
    <w:rsid w:val="004A1C8E"/>
    <w:rsid w:val="004A1D70"/>
    <w:rsid w:val="004A1E2F"/>
    <w:rsid w:val="004A1FD3"/>
    <w:rsid w:val="004A204C"/>
    <w:rsid w:val="004A205B"/>
    <w:rsid w:val="004A205F"/>
    <w:rsid w:val="004A208C"/>
    <w:rsid w:val="004A20C2"/>
    <w:rsid w:val="004A20F7"/>
    <w:rsid w:val="004A21E4"/>
    <w:rsid w:val="004A2291"/>
    <w:rsid w:val="004A24D6"/>
    <w:rsid w:val="004A24EA"/>
    <w:rsid w:val="004A25A9"/>
    <w:rsid w:val="004A2614"/>
    <w:rsid w:val="004A26E7"/>
    <w:rsid w:val="004A2822"/>
    <w:rsid w:val="004A28F2"/>
    <w:rsid w:val="004A2950"/>
    <w:rsid w:val="004A2977"/>
    <w:rsid w:val="004A29AD"/>
    <w:rsid w:val="004A29B3"/>
    <w:rsid w:val="004A29E0"/>
    <w:rsid w:val="004A2A81"/>
    <w:rsid w:val="004A2B59"/>
    <w:rsid w:val="004A2D41"/>
    <w:rsid w:val="004A2D5E"/>
    <w:rsid w:val="004A2E1C"/>
    <w:rsid w:val="004A2F06"/>
    <w:rsid w:val="004A2FA8"/>
    <w:rsid w:val="004A2FC5"/>
    <w:rsid w:val="004A3030"/>
    <w:rsid w:val="004A3057"/>
    <w:rsid w:val="004A30CB"/>
    <w:rsid w:val="004A3291"/>
    <w:rsid w:val="004A32C1"/>
    <w:rsid w:val="004A33CD"/>
    <w:rsid w:val="004A377B"/>
    <w:rsid w:val="004A37EE"/>
    <w:rsid w:val="004A389C"/>
    <w:rsid w:val="004A38FB"/>
    <w:rsid w:val="004A3A2F"/>
    <w:rsid w:val="004A3A93"/>
    <w:rsid w:val="004A3BE2"/>
    <w:rsid w:val="004A3CF8"/>
    <w:rsid w:val="004A3E6B"/>
    <w:rsid w:val="004A3E8C"/>
    <w:rsid w:val="004A414E"/>
    <w:rsid w:val="004A4193"/>
    <w:rsid w:val="004A4540"/>
    <w:rsid w:val="004A4810"/>
    <w:rsid w:val="004A484A"/>
    <w:rsid w:val="004A48B8"/>
    <w:rsid w:val="004A490C"/>
    <w:rsid w:val="004A496C"/>
    <w:rsid w:val="004A4B1C"/>
    <w:rsid w:val="004A4BF9"/>
    <w:rsid w:val="004A4DDD"/>
    <w:rsid w:val="004A4E19"/>
    <w:rsid w:val="004A4EAC"/>
    <w:rsid w:val="004A5006"/>
    <w:rsid w:val="004A51E4"/>
    <w:rsid w:val="004A5230"/>
    <w:rsid w:val="004A5331"/>
    <w:rsid w:val="004A534F"/>
    <w:rsid w:val="004A53A5"/>
    <w:rsid w:val="004A5456"/>
    <w:rsid w:val="004A551C"/>
    <w:rsid w:val="004A565F"/>
    <w:rsid w:val="004A5785"/>
    <w:rsid w:val="004A57BE"/>
    <w:rsid w:val="004A5821"/>
    <w:rsid w:val="004A58BF"/>
    <w:rsid w:val="004A5990"/>
    <w:rsid w:val="004A5A76"/>
    <w:rsid w:val="004A5B5D"/>
    <w:rsid w:val="004A5B90"/>
    <w:rsid w:val="004A5C3D"/>
    <w:rsid w:val="004A5CAF"/>
    <w:rsid w:val="004A5DEA"/>
    <w:rsid w:val="004A5FC1"/>
    <w:rsid w:val="004A5FD8"/>
    <w:rsid w:val="004A5FDE"/>
    <w:rsid w:val="004A602A"/>
    <w:rsid w:val="004A62AF"/>
    <w:rsid w:val="004A6329"/>
    <w:rsid w:val="004A64E3"/>
    <w:rsid w:val="004A66F5"/>
    <w:rsid w:val="004A6708"/>
    <w:rsid w:val="004A67C2"/>
    <w:rsid w:val="004A67F0"/>
    <w:rsid w:val="004A6813"/>
    <w:rsid w:val="004A68DC"/>
    <w:rsid w:val="004A6986"/>
    <w:rsid w:val="004A6993"/>
    <w:rsid w:val="004A6A7E"/>
    <w:rsid w:val="004A6A80"/>
    <w:rsid w:val="004A6BA1"/>
    <w:rsid w:val="004A6DC5"/>
    <w:rsid w:val="004A6FCA"/>
    <w:rsid w:val="004A7145"/>
    <w:rsid w:val="004A7316"/>
    <w:rsid w:val="004A740E"/>
    <w:rsid w:val="004A74F7"/>
    <w:rsid w:val="004A7528"/>
    <w:rsid w:val="004A752A"/>
    <w:rsid w:val="004A768F"/>
    <w:rsid w:val="004A775D"/>
    <w:rsid w:val="004A78F2"/>
    <w:rsid w:val="004A7947"/>
    <w:rsid w:val="004A795F"/>
    <w:rsid w:val="004A7A40"/>
    <w:rsid w:val="004A7CF3"/>
    <w:rsid w:val="004A7D4B"/>
    <w:rsid w:val="004A7E35"/>
    <w:rsid w:val="004B0000"/>
    <w:rsid w:val="004B0017"/>
    <w:rsid w:val="004B0045"/>
    <w:rsid w:val="004B007F"/>
    <w:rsid w:val="004B00B2"/>
    <w:rsid w:val="004B015D"/>
    <w:rsid w:val="004B022D"/>
    <w:rsid w:val="004B0262"/>
    <w:rsid w:val="004B0378"/>
    <w:rsid w:val="004B0512"/>
    <w:rsid w:val="004B052C"/>
    <w:rsid w:val="004B055F"/>
    <w:rsid w:val="004B0564"/>
    <w:rsid w:val="004B056F"/>
    <w:rsid w:val="004B05C2"/>
    <w:rsid w:val="004B061A"/>
    <w:rsid w:val="004B0761"/>
    <w:rsid w:val="004B0998"/>
    <w:rsid w:val="004B0A91"/>
    <w:rsid w:val="004B0BE1"/>
    <w:rsid w:val="004B0CEB"/>
    <w:rsid w:val="004B0D91"/>
    <w:rsid w:val="004B0E14"/>
    <w:rsid w:val="004B0ECC"/>
    <w:rsid w:val="004B0FB5"/>
    <w:rsid w:val="004B11C3"/>
    <w:rsid w:val="004B1312"/>
    <w:rsid w:val="004B1355"/>
    <w:rsid w:val="004B15BE"/>
    <w:rsid w:val="004B15D4"/>
    <w:rsid w:val="004B16C5"/>
    <w:rsid w:val="004B16F7"/>
    <w:rsid w:val="004B17A4"/>
    <w:rsid w:val="004B18F1"/>
    <w:rsid w:val="004B19CF"/>
    <w:rsid w:val="004B1A69"/>
    <w:rsid w:val="004B1A9F"/>
    <w:rsid w:val="004B1ACE"/>
    <w:rsid w:val="004B1AFB"/>
    <w:rsid w:val="004B1B98"/>
    <w:rsid w:val="004B1BCE"/>
    <w:rsid w:val="004B1D54"/>
    <w:rsid w:val="004B1E4F"/>
    <w:rsid w:val="004B1F1F"/>
    <w:rsid w:val="004B210B"/>
    <w:rsid w:val="004B211B"/>
    <w:rsid w:val="004B21A1"/>
    <w:rsid w:val="004B2206"/>
    <w:rsid w:val="004B2226"/>
    <w:rsid w:val="004B229F"/>
    <w:rsid w:val="004B22B2"/>
    <w:rsid w:val="004B22BD"/>
    <w:rsid w:val="004B23F9"/>
    <w:rsid w:val="004B2444"/>
    <w:rsid w:val="004B24D5"/>
    <w:rsid w:val="004B25D6"/>
    <w:rsid w:val="004B269D"/>
    <w:rsid w:val="004B26B6"/>
    <w:rsid w:val="004B2713"/>
    <w:rsid w:val="004B2852"/>
    <w:rsid w:val="004B2A4A"/>
    <w:rsid w:val="004B2AA0"/>
    <w:rsid w:val="004B2AA3"/>
    <w:rsid w:val="004B2C56"/>
    <w:rsid w:val="004B2C88"/>
    <w:rsid w:val="004B2D7D"/>
    <w:rsid w:val="004B2E03"/>
    <w:rsid w:val="004B2EA8"/>
    <w:rsid w:val="004B2ECC"/>
    <w:rsid w:val="004B2F9F"/>
    <w:rsid w:val="004B2FAB"/>
    <w:rsid w:val="004B317A"/>
    <w:rsid w:val="004B32C0"/>
    <w:rsid w:val="004B32D7"/>
    <w:rsid w:val="004B334D"/>
    <w:rsid w:val="004B338C"/>
    <w:rsid w:val="004B338E"/>
    <w:rsid w:val="004B3393"/>
    <w:rsid w:val="004B3436"/>
    <w:rsid w:val="004B343D"/>
    <w:rsid w:val="004B35FD"/>
    <w:rsid w:val="004B3711"/>
    <w:rsid w:val="004B3712"/>
    <w:rsid w:val="004B3714"/>
    <w:rsid w:val="004B3779"/>
    <w:rsid w:val="004B37A8"/>
    <w:rsid w:val="004B3845"/>
    <w:rsid w:val="004B3964"/>
    <w:rsid w:val="004B3A13"/>
    <w:rsid w:val="004B3A8F"/>
    <w:rsid w:val="004B3A95"/>
    <w:rsid w:val="004B3CC0"/>
    <w:rsid w:val="004B3D4E"/>
    <w:rsid w:val="004B3E12"/>
    <w:rsid w:val="004B3E2C"/>
    <w:rsid w:val="004B3F72"/>
    <w:rsid w:val="004B3FEA"/>
    <w:rsid w:val="004B406C"/>
    <w:rsid w:val="004B4134"/>
    <w:rsid w:val="004B424F"/>
    <w:rsid w:val="004B4284"/>
    <w:rsid w:val="004B42E5"/>
    <w:rsid w:val="004B4385"/>
    <w:rsid w:val="004B43F3"/>
    <w:rsid w:val="004B44D8"/>
    <w:rsid w:val="004B465E"/>
    <w:rsid w:val="004B469F"/>
    <w:rsid w:val="004B46C1"/>
    <w:rsid w:val="004B4781"/>
    <w:rsid w:val="004B47B4"/>
    <w:rsid w:val="004B4800"/>
    <w:rsid w:val="004B480A"/>
    <w:rsid w:val="004B48DC"/>
    <w:rsid w:val="004B4919"/>
    <w:rsid w:val="004B498D"/>
    <w:rsid w:val="004B49F9"/>
    <w:rsid w:val="004B4C0B"/>
    <w:rsid w:val="004B4C41"/>
    <w:rsid w:val="004B4C6A"/>
    <w:rsid w:val="004B4DFA"/>
    <w:rsid w:val="004B4EAE"/>
    <w:rsid w:val="004B4EBF"/>
    <w:rsid w:val="004B4F87"/>
    <w:rsid w:val="004B506D"/>
    <w:rsid w:val="004B5083"/>
    <w:rsid w:val="004B50BA"/>
    <w:rsid w:val="004B50C0"/>
    <w:rsid w:val="004B513A"/>
    <w:rsid w:val="004B5310"/>
    <w:rsid w:val="004B54A0"/>
    <w:rsid w:val="004B563D"/>
    <w:rsid w:val="004B5660"/>
    <w:rsid w:val="004B5671"/>
    <w:rsid w:val="004B56CF"/>
    <w:rsid w:val="004B56F6"/>
    <w:rsid w:val="004B57E2"/>
    <w:rsid w:val="004B5AD9"/>
    <w:rsid w:val="004B5BA7"/>
    <w:rsid w:val="004B5BFA"/>
    <w:rsid w:val="004B5C14"/>
    <w:rsid w:val="004B5D2F"/>
    <w:rsid w:val="004B5E0C"/>
    <w:rsid w:val="004B5EDB"/>
    <w:rsid w:val="004B5F18"/>
    <w:rsid w:val="004B5F9D"/>
    <w:rsid w:val="004B6077"/>
    <w:rsid w:val="004B6377"/>
    <w:rsid w:val="004B6444"/>
    <w:rsid w:val="004B644D"/>
    <w:rsid w:val="004B64B3"/>
    <w:rsid w:val="004B65DD"/>
    <w:rsid w:val="004B661D"/>
    <w:rsid w:val="004B6628"/>
    <w:rsid w:val="004B67FC"/>
    <w:rsid w:val="004B6896"/>
    <w:rsid w:val="004B69C1"/>
    <w:rsid w:val="004B6B13"/>
    <w:rsid w:val="004B6B21"/>
    <w:rsid w:val="004B6C79"/>
    <w:rsid w:val="004B6D80"/>
    <w:rsid w:val="004B6D8E"/>
    <w:rsid w:val="004B6E35"/>
    <w:rsid w:val="004B6E51"/>
    <w:rsid w:val="004B70D0"/>
    <w:rsid w:val="004B7196"/>
    <w:rsid w:val="004B7261"/>
    <w:rsid w:val="004B730E"/>
    <w:rsid w:val="004B7310"/>
    <w:rsid w:val="004B737E"/>
    <w:rsid w:val="004B74F9"/>
    <w:rsid w:val="004B764B"/>
    <w:rsid w:val="004B7788"/>
    <w:rsid w:val="004B77C1"/>
    <w:rsid w:val="004B77D7"/>
    <w:rsid w:val="004B77E3"/>
    <w:rsid w:val="004B7891"/>
    <w:rsid w:val="004B7A92"/>
    <w:rsid w:val="004B7CBC"/>
    <w:rsid w:val="004B7D2F"/>
    <w:rsid w:val="004B7E69"/>
    <w:rsid w:val="004C0179"/>
    <w:rsid w:val="004C0184"/>
    <w:rsid w:val="004C0200"/>
    <w:rsid w:val="004C0336"/>
    <w:rsid w:val="004C03AB"/>
    <w:rsid w:val="004C04CC"/>
    <w:rsid w:val="004C061A"/>
    <w:rsid w:val="004C0625"/>
    <w:rsid w:val="004C06BC"/>
    <w:rsid w:val="004C06BD"/>
    <w:rsid w:val="004C06C7"/>
    <w:rsid w:val="004C08BC"/>
    <w:rsid w:val="004C0912"/>
    <w:rsid w:val="004C09EE"/>
    <w:rsid w:val="004C0A0E"/>
    <w:rsid w:val="004C0ACE"/>
    <w:rsid w:val="004C0B7E"/>
    <w:rsid w:val="004C0BAD"/>
    <w:rsid w:val="004C0CBA"/>
    <w:rsid w:val="004C0CF9"/>
    <w:rsid w:val="004C0DA2"/>
    <w:rsid w:val="004C0DAC"/>
    <w:rsid w:val="004C0EC3"/>
    <w:rsid w:val="004C0F14"/>
    <w:rsid w:val="004C10C4"/>
    <w:rsid w:val="004C10E6"/>
    <w:rsid w:val="004C10EC"/>
    <w:rsid w:val="004C1285"/>
    <w:rsid w:val="004C12D3"/>
    <w:rsid w:val="004C1310"/>
    <w:rsid w:val="004C132C"/>
    <w:rsid w:val="004C13B8"/>
    <w:rsid w:val="004C147C"/>
    <w:rsid w:val="004C14FF"/>
    <w:rsid w:val="004C1549"/>
    <w:rsid w:val="004C1626"/>
    <w:rsid w:val="004C1814"/>
    <w:rsid w:val="004C1B89"/>
    <w:rsid w:val="004C1BE9"/>
    <w:rsid w:val="004C1C7E"/>
    <w:rsid w:val="004C1C94"/>
    <w:rsid w:val="004C1D18"/>
    <w:rsid w:val="004C1EE2"/>
    <w:rsid w:val="004C1FFB"/>
    <w:rsid w:val="004C205C"/>
    <w:rsid w:val="004C20CD"/>
    <w:rsid w:val="004C221B"/>
    <w:rsid w:val="004C221C"/>
    <w:rsid w:val="004C227E"/>
    <w:rsid w:val="004C22A2"/>
    <w:rsid w:val="004C2452"/>
    <w:rsid w:val="004C24C7"/>
    <w:rsid w:val="004C2533"/>
    <w:rsid w:val="004C253D"/>
    <w:rsid w:val="004C26A4"/>
    <w:rsid w:val="004C2895"/>
    <w:rsid w:val="004C289E"/>
    <w:rsid w:val="004C2993"/>
    <w:rsid w:val="004C2A42"/>
    <w:rsid w:val="004C2AAE"/>
    <w:rsid w:val="004C2ACF"/>
    <w:rsid w:val="004C2B15"/>
    <w:rsid w:val="004C2B1F"/>
    <w:rsid w:val="004C2D70"/>
    <w:rsid w:val="004C2D7A"/>
    <w:rsid w:val="004C2D94"/>
    <w:rsid w:val="004C2E4D"/>
    <w:rsid w:val="004C2E7D"/>
    <w:rsid w:val="004C2F07"/>
    <w:rsid w:val="004C2FEF"/>
    <w:rsid w:val="004C304F"/>
    <w:rsid w:val="004C3091"/>
    <w:rsid w:val="004C3188"/>
    <w:rsid w:val="004C3365"/>
    <w:rsid w:val="004C3399"/>
    <w:rsid w:val="004C3411"/>
    <w:rsid w:val="004C3420"/>
    <w:rsid w:val="004C3431"/>
    <w:rsid w:val="004C362E"/>
    <w:rsid w:val="004C363E"/>
    <w:rsid w:val="004C36BB"/>
    <w:rsid w:val="004C3709"/>
    <w:rsid w:val="004C3731"/>
    <w:rsid w:val="004C3774"/>
    <w:rsid w:val="004C37AA"/>
    <w:rsid w:val="004C37F4"/>
    <w:rsid w:val="004C38D4"/>
    <w:rsid w:val="004C38DE"/>
    <w:rsid w:val="004C3AFE"/>
    <w:rsid w:val="004C3B6E"/>
    <w:rsid w:val="004C3C01"/>
    <w:rsid w:val="004C3D7F"/>
    <w:rsid w:val="004C3DD2"/>
    <w:rsid w:val="004C3E02"/>
    <w:rsid w:val="004C3E4C"/>
    <w:rsid w:val="004C411D"/>
    <w:rsid w:val="004C414D"/>
    <w:rsid w:val="004C41D3"/>
    <w:rsid w:val="004C4213"/>
    <w:rsid w:val="004C425F"/>
    <w:rsid w:val="004C43D1"/>
    <w:rsid w:val="004C43E7"/>
    <w:rsid w:val="004C44BE"/>
    <w:rsid w:val="004C4590"/>
    <w:rsid w:val="004C45CB"/>
    <w:rsid w:val="004C45D8"/>
    <w:rsid w:val="004C463D"/>
    <w:rsid w:val="004C46C8"/>
    <w:rsid w:val="004C46F7"/>
    <w:rsid w:val="004C4742"/>
    <w:rsid w:val="004C487E"/>
    <w:rsid w:val="004C4A07"/>
    <w:rsid w:val="004C4A48"/>
    <w:rsid w:val="004C4CA0"/>
    <w:rsid w:val="004C4E36"/>
    <w:rsid w:val="004C4E7A"/>
    <w:rsid w:val="004C4E81"/>
    <w:rsid w:val="004C4E88"/>
    <w:rsid w:val="004C4EF7"/>
    <w:rsid w:val="004C502D"/>
    <w:rsid w:val="004C520E"/>
    <w:rsid w:val="004C525B"/>
    <w:rsid w:val="004C5291"/>
    <w:rsid w:val="004C5348"/>
    <w:rsid w:val="004C53E5"/>
    <w:rsid w:val="004C5420"/>
    <w:rsid w:val="004C542E"/>
    <w:rsid w:val="004C5432"/>
    <w:rsid w:val="004C5668"/>
    <w:rsid w:val="004C56F1"/>
    <w:rsid w:val="004C57A5"/>
    <w:rsid w:val="004C584F"/>
    <w:rsid w:val="004C58DF"/>
    <w:rsid w:val="004C592D"/>
    <w:rsid w:val="004C5942"/>
    <w:rsid w:val="004C5983"/>
    <w:rsid w:val="004C5A47"/>
    <w:rsid w:val="004C5C4B"/>
    <w:rsid w:val="004C5C74"/>
    <w:rsid w:val="004C5DE9"/>
    <w:rsid w:val="004C5F12"/>
    <w:rsid w:val="004C5F91"/>
    <w:rsid w:val="004C6008"/>
    <w:rsid w:val="004C618B"/>
    <w:rsid w:val="004C662A"/>
    <w:rsid w:val="004C6657"/>
    <w:rsid w:val="004C67FC"/>
    <w:rsid w:val="004C6827"/>
    <w:rsid w:val="004C6860"/>
    <w:rsid w:val="004C693E"/>
    <w:rsid w:val="004C6947"/>
    <w:rsid w:val="004C6951"/>
    <w:rsid w:val="004C6A3E"/>
    <w:rsid w:val="004C6A45"/>
    <w:rsid w:val="004C6AFE"/>
    <w:rsid w:val="004C6B81"/>
    <w:rsid w:val="004C6BA7"/>
    <w:rsid w:val="004C6C25"/>
    <w:rsid w:val="004C6D3A"/>
    <w:rsid w:val="004C6D4B"/>
    <w:rsid w:val="004C6D70"/>
    <w:rsid w:val="004C6F6D"/>
    <w:rsid w:val="004C6FF9"/>
    <w:rsid w:val="004C704B"/>
    <w:rsid w:val="004C7186"/>
    <w:rsid w:val="004C722C"/>
    <w:rsid w:val="004C73C9"/>
    <w:rsid w:val="004C75D3"/>
    <w:rsid w:val="004C7687"/>
    <w:rsid w:val="004C769F"/>
    <w:rsid w:val="004C76A9"/>
    <w:rsid w:val="004C76AD"/>
    <w:rsid w:val="004C7736"/>
    <w:rsid w:val="004C77CA"/>
    <w:rsid w:val="004C7990"/>
    <w:rsid w:val="004C7AB5"/>
    <w:rsid w:val="004C7ADB"/>
    <w:rsid w:val="004C7B22"/>
    <w:rsid w:val="004C7B99"/>
    <w:rsid w:val="004C7C10"/>
    <w:rsid w:val="004C7C5E"/>
    <w:rsid w:val="004C7D73"/>
    <w:rsid w:val="004C7DFE"/>
    <w:rsid w:val="004C7EA6"/>
    <w:rsid w:val="004C7ED2"/>
    <w:rsid w:val="004D0064"/>
    <w:rsid w:val="004D008C"/>
    <w:rsid w:val="004D00CC"/>
    <w:rsid w:val="004D0142"/>
    <w:rsid w:val="004D03A7"/>
    <w:rsid w:val="004D0648"/>
    <w:rsid w:val="004D0673"/>
    <w:rsid w:val="004D0854"/>
    <w:rsid w:val="004D0863"/>
    <w:rsid w:val="004D09B3"/>
    <w:rsid w:val="004D0A16"/>
    <w:rsid w:val="004D0A56"/>
    <w:rsid w:val="004D0B3D"/>
    <w:rsid w:val="004D0B47"/>
    <w:rsid w:val="004D0C77"/>
    <w:rsid w:val="004D0E99"/>
    <w:rsid w:val="004D0EB2"/>
    <w:rsid w:val="004D0F6F"/>
    <w:rsid w:val="004D0F9A"/>
    <w:rsid w:val="004D1000"/>
    <w:rsid w:val="004D1045"/>
    <w:rsid w:val="004D1058"/>
    <w:rsid w:val="004D109D"/>
    <w:rsid w:val="004D1148"/>
    <w:rsid w:val="004D1177"/>
    <w:rsid w:val="004D11A6"/>
    <w:rsid w:val="004D11F1"/>
    <w:rsid w:val="004D141A"/>
    <w:rsid w:val="004D16BF"/>
    <w:rsid w:val="004D1730"/>
    <w:rsid w:val="004D182A"/>
    <w:rsid w:val="004D185D"/>
    <w:rsid w:val="004D19A2"/>
    <w:rsid w:val="004D19CE"/>
    <w:rsid w:val="004D1A86"/>
    <w:rsid w:val="004D1BA6"/>
    <w:rsid w:val="004D1C48"/>
    <w:rsid w:val="004D1C50"/>
    <w:rsid w:val="004D1CDA"/>
    <w:rsid w:val="004D1CF9"/>
    <w:rsid w:val="004D1F2B"/>
    <w:rsid w:val="004D2122"/>
    <w:rsid w:val="004D22B9"/>
    <w:rsid w:val="004D2344"/>
    <w:rsid w:val="004D274A"/>
    <w:rsid w:val="004D27CF"/>
    <w:rsid w:val="004D291D"/>
    <w:rsid w:val="004D2A00"/>
    <w:rsid w:val="004D2A31"/>
    <w:rsid w:val="004D2B0F"/>
    <w:rsid w:val="004D2B2C"/>
    <w:rsid w:val="004D2B60"/>
    <w:rsid w:val="004D2C12"/>
    <w:rsid w:val="004D2CD7"/>
    <w:rsid w:val="004D2D87"/>
    <w:rsid w:val="004D2D98"/>
    <w:rsid w:val="004D3185"/>
    <w:rsid w:val="004D31A7"/>
    <w:rsid w:val="004D31D2"/>
    <w:rsid w:val="004D3377"/>
    <w:rsid w:val="004D3384"/>
    <w:rsid w:val="004D358A"/>
    <w:rsid w:val="004D35C0"/>
    <w:rsid w:val="004D36F5"/>
    <w:rsid w:val="004D37C9"/>
    <w:rsid w:val="004D3800"/>
    <w:rsid w:val="004D3874"/>
    <w:rsid w:val="004D38EE"/>
    <w:rsid w:val="004D3910"/>
    <w:rsid w:val="004D39D1"/>
    <w:rsid w:val="004D3A74"/>
    <w:rsid w:val="004D3BC3"/>
    <w:rsid w:val="004D3CFB"/>
    <w:rsid w:val="004D3E1E"/>
    <w:rsid w:val="004D3E24"/>
    <w:rsid w:val="004D3E25"/>
    <w:rsid w:val="004D401E"/>
    <w:rsid w:val="004D4063"/>
    <w:rsid w:val="004D415A"/>
    <w:rsid w:val="004D415D"/>
    <w:rsid w:val="004D41E2"/>
    <w:rsid w:val="004D42F1"/>
    <w:rsid w:val="004D4796"/>
    <w:rsid w:val="004D482C"/>
    <w:rsid w:val="004D487E"/>
    <w:rsid w:val="004D48F6"/>
    <w:rsid w:val="004D4B17"/>
    <w:rsid w:val="004D4BCC"/>
    <w:rsid w:val="004D4CD9"/>
    <w:rsid w:val="004D4D50"/>
    <w:rsid w:val="004D4D76"/>
    <w:rsid w:val="004D4E59"/>
    <w:rsid w:val="004D4E87"/>
    <w:rsid w:val="004D4EE0"/>
    <w:rsid w:val="004D502D"/>
    <w:rsid w:val="004D5038"/>
    <w:rsid w:val="004D5165"/>
    <w:rsid w:val="004D5493"/>
    <w:rsid w:val="004D5612"/>
    <w:rsid w:val="004D583F"/>
    <w:rsid w:val="004D58B2"/>
    <w:rsid w:val="004D58E9"/>
    <w:rsid w:val="004D60A3"/>
    <w:rsid w:val="004D60D7"/>
    <w:rsid w:val="004D6103"/>
    <w:rsid w:val="004D634E"/>
    <w:rsid w:val="004D63CA"/>
    <w:rsid w:val="004D63DA"/>
    <w:rsid w:val="004D645D"/>
    <w:rsid w:val="004D64EF"/>
    <w:rsid w:val="004D6627"/>
    <w:rsid w:val="004D6632"/>
    <w:rsid w:val="004D663C"/>
    <w:rsid w:val="004D664D"/>
    <w:rsid w:val="004D67C3"/>
    <w:rsid w:val="004D67F3"/>
    <w:rsid w:val="004D680E"/>
    <w:rsid w:val="004D683D"/>
    <w:rsid w:val="004D683F"/>
    <w:rsid w:val="004D68B7"/>
    <w:rsid w:val="004D693B"/>
    <w:rsid w:val="004D6A0D"/>
    <w:rsid w:val="004D6B0B"/>
    <w:rsid w:val="004D6B11"/>
    <w:rsid w:val="004D6B22"/>
    <w:rsid w:val="004D6C1E"/>
    <w:rsid w:val="004D6C8A"/>
    <w:rsid w:val="004D6CCE"/>
    <w:rsid w:val="004D6D97"/>
    <w:rsid w:val="004D6E05"/>
    <w:rsid w:val="004D6E52"/>
    <w:rsid w:val="004D6E93"/>
    <w:rsid w:val="004D6EAF"/>
    <w:rsid w:val="004D6FBA"/>
    <w:rsid w:val="004D7037"/>
    <w:rsid w:val="004D7045"/>
    <w:rsid w:val="004D70F9"/>
    <w:rsid w:val="004D71CD"/>
    <w:rsid w:val="004D72C6"/>
    <w:rsid w:val="004D7317"/>
    <w:rsid w:val="004D73B1"/>
    <w:rsid w:val="004D73BA"/>
    <w:rsid w:val="004D754A"/>
    <w:rsid w:val="004D770B"/>
    <w:rsid w:val="004D771A"/>
    <w:rsid w:val="004D77B0"/>
    <w:rsid w:val="004D78CF"/>
    <w:rsid w:val="004D7927"/>
    <w:rsid w:val="004D795B"/>
    <w:rsid w:val="004D79BE"/>
    <w:rsid w:val="004D79E1"/>
    <w:rsid w:val="004D79E5"/>
    <w:rsid w:val="004D79F0"/>
    <w:rsid w:val="004D7A5D"/>
    <w:rsid w:val="004D7B27"/>
    <w:rsid w:val="004D7B4D"/>
    <w:rsid w:val="004D7C60"/>
    <w:rsid w:val="004D7E2E"/>
    <w:rsid w:val="004D7E8D"/>
    <w:rsid w:val="004D7EA3"/>
    <w:rsid w:val="004D7EB1"/>
    <w:rsid w:val="004D7F3F"/>
    <w:rsid w:val="004E0084"/>
    <w:rsid w:val="004E0091"/>
    <w:rsid w:val="004E01A5"/>
    <w:rsid w:val="004E0235"/>
    <w:rsid w:val="004E0239"/>
    <w:rsid w:val="004E0323"/>
    <w:rsid w:val="004E03C0"/>
    <w:rsid w:val="004E0534"/>
    <w:rsid w:val="004E0550"/>
    <w:rsid w:val="004E0625"/>
    <w:rsid w:val="004E0661"/>
    <w:rsid w:val="004E0687"/>
    <w:rsid w:val="004E078C"/>
    <w:rsid w:val="004E07B0"/>
    <w:rsid w:val="004E081D"/>
    <w:rsid w:val="004E0831"/>
    <w:rsid w:val="004E092A"/>
    <w:rsid w:val="004E0A2F"/>
    <w:rsid w:val="004E0A67"/>
    <w:rsid w:val="004E0B73"/>
    <w:rsid w:val="004E0C62"/>
    <w:rsid w:val="004E0D39"/>
    <w:rsid w:val="004E0D5A"/>
    <w:rsid w:val="004E0F7A"/>
    <w:rsid w:val="004E0FC4"/>
    <w:rsid w:val="004E0FC8"/>
    <w:rsid w:val="004E1038"/>
    <w:rsid w:val="004E10B5"/>
    <w:rsid w:val="004E1177"/>
    <w:rsid w:val="004E12CE"/>
    <w:rsid w:val="004E13BA"/>
    <w:rsid w:val="004E142F"/>
    <w:rsid w:val="004E1599"/>
    <w:rsid w:val="004E159A"/>
    <w:rsid w:val="004E1601"/>
    <w:rsid w:val="004E171D"/>
    <w:rsid w:val="004E1764"/>
    <w:rsid w:val="004E176B"/>
    <w:rsid w:val="004E1882"/>
    <w:rsid w:val="004E18EF"/>
    <w:rsid w:val="004E1941"/>
    <w:rsid w:val="004E197D"/>
    <w:rsid w:val="004E19D5"/>
    <w:rsid w:val="004E19F3"/>
    <w:rsid w:val="004E1A24"/>
    <w:rsid w:val="004E1D0D"/>
    <w:rsid w:val="004E1D47"/>
    <w:rsid w:val="004E20E7"/>
    <w:rsid w:val="004E212B"/>
    <w:rsid w:val="004E236F"/>
    <w:rsid w:val="004E237E"/>
    <w:rsid w:val="004E246D"/>
    <w:rsid w:val="004E250B"/>
    <w:rsid w:val="004E2839"/>
    <w:rsid w:val="004E2848"/>
    <w:rsid w:val="004E2851"/>
    <w:rsid w:val="004E286B"/>
    <w:rsid w:val="004E28C0"/>
    <w:rsid w:val="004E28C2"/>
    <w:rsid w:val="004E28DE"/>
    <w:rsid w:val="004E2A18"/>
    <w:rsid w:val="004E2A82"/>
    <w:rsid w:val="004E2B1A"/>
    <w:rsid w:val="004E2B9A"/>
    <w:rsid w:val="004E2C97"/>
    <w:rsid w:val="004E2CA7"/>
    <w:rsid w:val="004E2D2D"/>
    <w:rsid w:val="004E2D30"/>
    <w:rsid w:val="004E2F23"/>
    <w:rsid w:val="004E2F36"/>
    <w:rsid w:val="004E2F7B"/>
    <w:rsid w:val="004E30F0"/>
    <w:rsid w:val="004E31C1"/>
    <w:rsid w:val="004E31C2"/>
    <w:rsid w:val="004E34C2"/>
    <w:rsid w:val="004E364B"/>
    <w:rsid w:val="004E36CD"/>
    <w:rsid w:val="004E3773"/>
    <w:rsid w:val="004E384A"/>
    <w:rsid w:val="004E38A0"/>
    <w:rsid w:val="004E3987"/>
    <w:rsid w:val="004E3A04"/>
    <w:rsid w:val="004E3A22"/>
    <w:rsid w:val="004E3A4E"/>
    <w:rsid w:val="004E3C97"/>
    <w:rsid w:val="004E3D74"/>
    <w:rsid w:val="004E3F17"/>
    <w:rsid w:val="004E3F20"/>
    <w:rsid w:val="004E4016"/>
    <w:rsid w:val="004E401E"/>
    <w:rsid w:val="004E4028"/>
    <w:rsid w:val="004E41BD"/>
    <w:rsid w:val="004E4262"/>
    <w:rsid w:val="004E433B"/>
    <w:rsid w:val="004E4380"/>
    <w:rsid w:val="004E43BE"/>
    <w:rsid w:val="004E4442"/>
    <w:rsid w:val="004E4508"/>
    <w:rsid w:val="004E452C"/>
    <w:rsid w:val="004E4584"/>
    <w:rsid w:val="004E45B8"/>
    <w:rsid w:val="004E46D4"/>
    <w:rsid w:val="004E47C1"/>
    <w:rsid w:val="004E47C9"/>
    <w:rsid w:val="004E4832"/>
    <w:rsid w:val="004E48C9"/>
    <w:rsid w:val="004E49E4"/>
    <w:rsid w:val="004E4BBE"/>
    <w:rsid w:val="004E4C08"/>
    <w:rsid w:val="004E4D5C"/>
    <w:rsid w:val="004E4D66"/>
    <w:rsid w:val="004E4EA4"/>
    <w:rsid w:val="004E4F06"/>
    <w:rsid w:val="004E4F12"/>
    <w:rsid w:val="004E4F7E"/>
    <w:rsid w:val="004E5000"/>
    <w:rsid w:val="004E5087"/>
    <w:rsid w:val="004E5120"/>
    <w:rsid w:val="004E524C"/>
    <w:rsid w:val="004E52D5"/>
    <w:rsid w:val="004E54AC"/>
    <w:rsid w:val="004E55AB"/>
    <w:rsid w:val="004E55B8"/>
    <w:rsid w:val="004E5661"/>
    <w:rsid w:val="004E56A9"/>
    <w:rsid w:val="004E5737"/>
    <w:rsid w:val="004E5860"/>
    <w:rsid w:val="004E5885"/>
    <w:rsid w:val="004E5900"/>
    <w:rsid w:val="004E59DC"/>
    <w:rsid w:val="004E5A0D"/>
    <w:rsid w:val="004E5A2B"/>
    <w:rsid w:val="004E5B2E"/>
    <w:rsid w:val="004E5BBB"/>
    <w:rsid w:val="004E5BE8"/>
    <w:rsid w:val="004E5D13"/>
    <w:rsid w:val="004E5DA7"/>
    <w:rsid w:val="004E5DB6"/>
    <w:rsid w:val="004E5DC2"/>
    <w:rsid w:val="004E5E18"/>
    <w:rsid w:val="004E5E69"/>
    <w:rsid w:val="004E5F3E"/>
    <w:rsid w:val="004E6022"/>
    <w:rsid w:val="004E6041"/>
    <w:rsid w:val="004E60CA"/>
    <w:rsid w:val="004E60D6"/>
    <w:rsid w:val="004E616A"/>
    <w:rsid w:val="004E6202"/>
    <w:rsid w:val="004E62D4"/>
    <w:rsid w:val="004E638C"/>
    <w:rsid w:val="004E6392"/>
    <w:rsid w:val="004E63E0"/>
    <w:rsid w:val="004E64A0"/>
    <w:rsid w:val="004E64D7"/>
    <w:rsid w:val="004E6528"/>
    <w:rsid w:val="004E65C8"/>
    <w:rsid w:val="004E6784"/>
    <w:rsid w:val="004E6789"/>
    <w:rsid w:val="004E6809"/>
    <w:rsid w:val="004E68BD"/>
    <w:rsid w:val="004E69D2"/>
    <w:rsid w:val="004E6CDF"/>
    <w:rsid w:val="004E6DF2"/>
    <w:rsid w:val="004E6E8F"/>
    <w:rsid w:val="004E6ED3"/>
    <w:rsid w:val="004E70CE"/>
    <w:rsid w:val="004E72BC"/>
    <w:rsid w:val="004E74C2"/>
    <w:rsid w:val="004E7653"/>
    <w:rsid w:val="004E76AF"/>
    <w:rsid w:val="004E76B3"/>
    <w:rsid w:val="004E76FA"/>
    <w:rsid w:val="004E7749"/>
    <w:rsid w:val="004E77F1"/>
    <w:rsid w:val="004E7867"/>
    <w:rsid w:val="004E796D"/>
    <w:rsid w:val="004E7AD1"/>
    <w:rsid w:val="004E7B08"/>
    <w:rsid w:val="004E7D00"/>
    <w:rsid w:val="004E7D5A"/>
    <w:rsid w:val="004F0006"/>
    <w:rsid w:val="004F003B"/>
    <w:rsid w:val="004F01D0"/>
    <w:rsid w:val="004F0289"/>
    <w:rsid w:val="004F050D"/>
    <w:rsid w:val="004F063C"/>
    <w:rsid w:val="004F080E"/>
    <w:rsid w:val="004F082F"/>
    <w:rsid w:val="004F0A91"/>
    <w:rsid w:val="004F0AB5"/>
    <w:rsid w:val="004F0B51"/>
    <w:rsid w:val="004F0B6B"/>
    <w:rsid w:val="004F0BFE"/>
    <w:rsid w:val="004F0DE9"/>
    <w:rsid w:val="004F0F5C"/>
    <w:rsid w:val="004F0FC6"/>
    <w:rsid w:val="004F111E"/>
    <w:rsid w:val="004F1126"/>
    <w:rsid w:val="004F1149"/>
    <w:rsid w:val="004F1170"/>
    <w:rsid w:val="004F1204"/>
    <w:rsid w:val="004F1253"/>
    <w:rsid w:val="004F1321"/>
    <w:rsid w:val="004F1359"/>
    <w:rsid w:val="004F13AB"/>
    <w:rsid w:val="004F13B8"/>
    <w:rsid w:val="004F14D0"/>
    <w:rsid w:val="004F14EB"/>
    <w:rsid w:val="004F15B2"/>
    <w:rsid w:val="004F15CD"/>
    <w:rsid w:val="004F1629"/>
    <w:rsid w:val="004F1634"/>
    <w:rsid w:val="004F1688"/>
    <w:rsid w:val="004F170F"/>
    <w:rsid w:val="004F17C4"/>
    <w:rsid w:val="004F1842"/>
    <w:rsid w:val="004F1B75"/>
    <w:rsid w:val="004F1B85"/>
    <w:rsid w:val="004F1BA1"/>
    <w:rsid w:val="004F1E53"/>
    <w:rsid w:val="004F1EC4"/>
    <w:rsid w:val="004F1FD4"/>
    <w:rsid w:val="004F2059"/>
    <w:rsid w:val="004F210A"/>
    <w:rsid w:val="004F22A0"/>
    <w:rsid w:val="004F2373"/>
    <w:rsid w:val="004F23C3"/>
    <w:rsid w:val="004F243F"/>
    <w:rsid w:val="004F2509"/>
    <w:rsid w:val="004F25DA"/>
    <w:rsid w:val="004F2617"/>
    <w:rsid w:val="004F262E"/>
    <w:rsid w:val="004F2651"/>
    <w:rsid w:val="004F268B"/>
    <w:rsid w:val="004F26A0"/>
    <w:rsid w:val="004F2743"/>
    <w:rsid w:val="004F2826"/>
    <w:rsid w:val="004F296A"/>
    <w:rsid w:val="004F299F"/>
    <w:rsid w:val="004F29CA"/>
    <w:rsid w:val="004F2A10"/>
    <w:rsid w:val="004F2A16"/>
    <w:rsid w:val="004F2B84"/>
    <w:rsid w:val="004F2C73"/>
    <w:rsid w:val="004F2D0A"/>
    <w:rsid w:val="004F2D4B"/>
    <w:rsid w:val="004F2E95"/>
    <w:rsid w:val="004F2F35"/>
    <w:rsid w:val="004F2F44"/>
    <w:rsid w:val="004F2F9A"/>
    <w:rsid w:val="004F30E3"/>
    <w:rsid w:val="004F3132"/>
    <w:rsid w:val="004F3223"/>
    <w:rsid w:val="004F3267"/>
    <w:rsid w:val="004F3375"/>
    <w:rsid w:val="004F3417"/>
    <w:rsid w:val="004F35B6"/>
    <w:rsid w:val="004F3649"/>
    <w:rsid w:val="004F368D"/>
    <w:rsid w:val="004F368F"/>
    <w:rsid w:val="004F37AD"/>
    <w:rsid w:val="004F38E2"/>
    <w:rsid w:val="004F3939"/>
    <w:rsid w:val="004F39A5"/>
    <w:rsid w:val="004F39CC"/>
    <w:rsid w:val="004F3AB0"/>
    <w:rsid w:val="004F3B13"/>
    <w:rsid w:val="004F3B78"/>
    <w:rsid w:val="004F3B80"/>
    <w:rsid w:val="004F3C56"/>
    <w:rsid w:val="004F3D1E"/>
    <w:rsid w:val="004F3E2E"/>
    <w:rsid w:val="004F3F70"/>
    <w:rsid w:val="004F40A2"/>
    <w:rsid w:val="004F449C"/>
    <w:rsid w:val="004F4655"/>
    <w:rsid w:val="004F469E"/>
    <w:rsid w:val="004F4704"/>
    <w:rsid w:val="004F4715"/>
    <w:rsid w:val="004F489A"/>
    <w:rsid w:val="004F49B8"/>
    <w:rsid w:val="004F4A63"/>
    <w:rsid w:val="004F4AE7"/>
    <w:rsid w:val="004F4BE6"/>
    <w:rsid w:val="004F4DAF"/>
    <w:rsid w:val="004F4E02"/>
    <w:rsid w:val="004F4FBB"/>
    <w:rsid w:val="004F4FEF"/>
    <w:rsid w:val="004F5014"/>
    <w:rsid w:val="004F5022"/>
    <w:rsid w:val="004F506F"/>
    <w:rsid w:val="004F50BF"/>
    <w:rsid w:val="004F51A9"/>
    <w:rsid w:val="004F51DA"/>
    <w:rsid w:val="004F529E"/>
    <w:rsid w:val="004F5313"/>
    <w:rsid w:val="004F5430"/>
    <w:rsid w:val="004F543D"/>
    <w:rsid w:val="004F545E"/>
    <w:rsid w:val="004F54B8"/>
    <w:rsid w:val="004F55CF"/>
    <w:rsid w:val="004F565F"/>
    <w:rsid w:val="004F56B5"/>
    <w:rsid w:val="004F56C4"/>
    <w:rsid w:val="004F575E"/>
    <w:rsid w:val="004F5814"/>
    <w:rsid w:val="004F5815"/>
    <w:rsid w:val="004F5850"/>
    <w:rsid w:val="004F5893"/>
    <w:rsid w:val="004F5983"/>
    <w:rsid w:val="004F5D4C"/>
    <w:rsid w:val="004F5DA0"/>
    <w:rsid w:val="004F5F1B"/>
    <w:rsid w:val="004F6041"/>
    <w:rsid w:val="004F6086"/>
    <w:rsid w:val="004F6098"/>
    <w:rsid w:val="004F60C5"/>
    <w:rsid w:val="004F61FB"/>
    <w:rsid w:val="004F6284"/>
    <w:rsid w:val="004F636D"/>
    <w:rsid w:val="004F6504"/>
    <w:rsid w:val="004F65E3"/>
    <w:rsid w:val="004F668E"/>
    <w:rsid w:val="004F66AB"/>
    <w:rsid w:val="004F6754"/>
    <w:rsid w:val="004F675B"/>
    <w:rsid w:val="004F6816"/>
    <w:rsid w:val="004F68CF"/>
    <w:rsid w:val="004F695B"/>
    <w:rsid w:val="004F6988"/>
    <w:rsid w:val="004F6993"/>
    <w:rsid w:val="004F69C8"/>
    <w:rsid w:val="004F6A9F"/>
    <w:rsid w:val="004F6AE8"/>
    <w:rsid w:val="004F6B6A"/>
    <w:rsid w:val="004F6B76"/>
    <w:rsid w:val="004F6D4B"/>
    <w:rsid w:val="004F6E9A"/>
    <w:rsid w:val="004F6EBC"/>
    <w:rsid w:val="004F6F50"/>
    <w:rsid w:val="004F70ED"/>
    <w:rsid w:val="004F7128"/>
    <w:rsid w:val="004F7178"/>
    <w:rsid w:val="004F7290"/>
    <w:rsid w:val="004F72FE"/>
    <w:rsid w:val="004F7306"/>
    <w:rsid w:val="004F732A"/>
    <w:rsid w:val="004F75B6"/>
    <w:rsid w:val="004F75B9"/>
    <w:rsid w:val="004F7675"/>
    <w:rsid w:val="004F7694"/>
    <w:rsid w:val="004F776C"/>
    <w:rsid w:val="004F7904"/>
    <w:rsid w:val="004F7993"/>
    <w:rsid w:val="004F7ABE"/>
    <w:rsid w:val="004F7ACA"/>
    <w:rsid w:val="004F7AD6"/>
    <w:rsid w:val="004F7B61"/>
    <w:rsid w:val="004F7B73"/>
    <w:rsid w:val="004F7C30"/>
    <w:rsid w:val="004F7C82"/>
    <w:rsid w:val="004F7DDC"/>
    <w:rsid w:val="004F7FD4"/>
    <w:rsid w:val="00500133"/>
    <w:rsid w:val="00500142"/>
    <w:rsid w:val="005001A9"/>
    <w:rsid w:val="005001B6"/>
    <w:rsid w:val="005001C4"/>
    <w:rsid w:val="00500222"/>
    <w:rsid w:val="005002F4"/>
    <w:rsid w:val="00500527"/>
    <w:rsid w:val="005006F3"/>
    <w:rsid w:val="00500727"/>
    <w:rsid w:val="00500753"/>
    <w:rsid w:val="00500772"/>
    <w:rsid w:val="00500889"/>
    <w:rsid w:val="00500B00"/>
    <w:rsid w:val="00500B67"/>
    <w:rsid w:val="00500CB7"/>
    <w:rsid w:val="00500EF2"/>
    <w:rsid w:val="00501013"/>
    <w:rsid w:val="005011B1"/>
    <w:rsid w:val="005013FF"/>
    <w:rsid w:val="00501458"/>
    <w:rsid w:val="005014BA"/>
    <w:rsid w:val="00501642"/>
    <w:rsid w:val="00501649"/>
    <w:rsid w:val="0050181B"/>
    <w:rsid w:val="005019C6"/>
    <w:rsid w:val="00501AA9"/>
    <w:rsid w:val="00501AEC"/>
    <w:rsid w:val="00501B47"/>
    <w:rsid w:val="00501B4D"/>
    <w:rsid w:val="00501B5C"/>
    <w:rsid w:val="00501CE8"/>
    <w:rsid w:val="00501D3E"/>
    <w:rsid w:val="00501EF9"/>
    <w:rsid w:val="00501F3E"/>
    <w:rsid w:val="00501F44"/>
    <w:rsid w:val="0050209A"/>
    <w:rsid w:val="00502296"/>
    <w:rsid w:val="0050234C"/>
    <w:rsid w:val="00502417"/>
    <w:rsid w:val="005024B1"/>
    <w:rsid w:val="005024EA"/>
    <w:rsid w:val="005026D7"/>
    <w:rsid w:val="005026F2"/>
    <w:rsid w:val="00502847"/>
    <w:rsid w:val="00502857"/>
    <w:rsid w:val="00502ABA"/>
    <w:rsid w:val="00502AFC"/>
    <w:rsid w:val="00502B3F"/>
    <w:rsid w:val="00502B5E"/>
    <w:rsid w:val="00502BA4"/>
    <w:rsid w:val="00502C59"/>
    <w:rsid w:val="00502CF8"/>
    <w:rsid w:val="00502D13"/>
    <w:rsid w:val="00502D5D"/>
    <w:rsid w:val="00502D89"/>
    <w:rsid w:val="00502DC3"/>
    <w:rsid w:val="00502E21"/>
    <w:rsid w:val="00502E4A"/>
    <w:rsid w:val="00502E86"/>
    <w:rsid w:val="00502E98"/>
    <w:rsid w:val="00502EAD"/>
    <w:rsid w:val="00502F2F"/>
    <w:rsid w:val="0050309F"/>
    <w:rsid w:val="00503162"/>
    <w:rsid w:val="0050317D"/>
    <w:rsid w:val="005031C9"/>
    <w:rsid w:val="00503231"/>
    <w:rsid w:val="0050326C"/>
    <w:rsid w:val="005032A5"/>
    <w:rsid w:val="00503306"/>
    <w:rsid w:val="005033A0"/>
    <w:rsid w:val="005033C9"/>
    <w:rsid w:val="00503523"/>
    <w:rsid w:val="0050354A"/>
    <w:rsid w:val="0050366C"/>
    <w:rsid w:val="005038C5"/>
    <w:rsid w:val="00503978"/>
    <w:rsid w:val="00503A09"/>
    <w:rsid w:val="00503BD2"/>
    <w:rsid w:val="00503C90"/>
    <w:rsid w:val="0050402D"/>
    <w:rsid w:val="0050406B"/>
    <w:rsid w:val="00504139"/>
    <w:rsid w:val="00504239"/>
    <w:rsid w:val="00504365"/>
    <w:rsid w:val="005043EB"/>
    <w:rsid w:val="00504439"/>
    <w:rsid w:val="0050443A"/>
    <w:rsid w:val="00504483"/>
    <w:rsid w:val="005047DF"/>
    <w:rsid w:val="0050482C"/>
    <w:rsid w:val="0050488E"/>
    <w:rsid w:val="00504913"/>
    <w:rsid w:val="0050499E"/>
    <w:rsid w:val="005049EB"/>
    <w:rsid w:val="00504A10"/>
    <w:rsid w:val="00504A48"/>
    <w:rsid w:val="00504ACD"/>
    <w:rsid w:val="00504AD1"/>
    <w:rsid w:val="00504B76"/>
    <w:rsid w:val="00504CB9"/>
    <w:rsid w:val="00504D14"/>
    <w:rsid w:val="00504D2A"/>
    <w:rsid w:val="00504DB3"/>
    <w:rsid w:val="00504F02"/>
    <w:rsid w:val="00504FD8"/>
    <w:rsid w:val="00504FDA"/>
    <w:rsid w:val="0050505C"/>
    <w:rsid w:val="005051BB"/>
    <w:rsid w:val="0050531B"/>
    <w:rsid w:val="00505324"/>
    <w:rsid w:val="0050537F"/>
    <w:rsid w:val="00505494"/>
    <w:rsid w:val="00505545"/>
    <w:rsid w:val="00505596"/>
    <w:rsid w:val="00505646"/>
    <w:rsid w:val="005056F9"/>
    <w:rsid w:val="00505785"/>
    <w:rsid w:val="005057B1"/>
    <w:rsid w:val="005058ED"/>
    <w:rsid w:val="005058FE"/>
    <w:rsid w:val="0050592D"/>
    <w:rsid w:val="0050594D"/>
    <w:rsid w:val="00505BA0"/>
    <w:rsid w:val="00505BA6"/>
    <w:rsid w:val="00505D5D"/>
    <w:rsid w:val="00505D60"/>
    <w:rsid w:val="00505D7F"/>
    <w:rsid w:val="00505E8B"/>
    <w:rsid w:val="005060C4"/>
    <w:rsid w:val="005060F4"/>
    <w:rsid w:val="005062AC"/>
    <w:rsid w:val="005062E8"/>
    <w:rsid w:val="0050633C"/>
    <w:rsid w:val="0050644C"/>
    <w:rsid w:val="0050645D"/>
    <w:rsid w:val="00506521"/>
    <w:rsid w:val="00506684"/>
    <w:rsid w:val="0050669C"/>
    <w:rsid w:val="005066F2"/>
    <w:rsid w:val="00506745"/>
    <w:rsid w:val="0050677A"/>
    <w:rsid w:val="0050697D"/>
    <w:rsid w:val="005069C9"/>
    <w:rsid w:val="005069CA"/>
    <w:rsid w:val="00506B65"/>
    <w:rsid w:val="00506E5B"/>
    <w:rsid w:val="00506E8A"/>
    <w:rsid w:val="00506F85"/>
    <w:rsid w:val="00507093"/>
    <w:rsid w:val="0050709E"/>
    <w:rsid w:val="005071BB"/>
    <w:rsid w:val="005071DB"/>
    <w:rsid w:val="00507275"/>
    <w:rsid w:val="005072E4"/>
    <w:rsid w:val="005073BA"/>
    <w:rsid w:val="005073E9"/>
    <w:rsid w:val="00507486"/>
    <w:rsid w:val="00507487"/>
    <w:rsid w:val="00507490"/>
    <w:rsid w:val="005075B9"/>
    <w:rsid w:val="005075C1"/>
    <w:rsid w:val="00507722"/>
    <w:rsid w:val="00507820"/>
    <w:rsid w:val="00507851"/>
    <w:rsid w:val="0050786D"/>
    <w:rsid w:val="00507A45"/>
    <w:rsid w:val="00507BA1"/>
    <w:rsid w:val="00507C45"/>
    <w:rsid w:val="00507C9F"/>
    <w:rsid w:val="00507D44"/>
    <w:rsid w:val="00507DBA"/>
    <w:rsid w:val="00507E2F"/>
    <w:rsid w:val="00507EC7"/>
    <w:rsid w:val="0051005B"/>
    <w:rsid w:val="00510095"/>
    <w:rsid w:val="00510114"/>
    <w:rsid w:val="00510203"/>
    <w:rsid w:val="0051021D"/>
    <w:rsid w:val="0051025F"/>
    <w:rsid w:val="00510414"/>
    <w:rsid w:val="005104A6"/>
    <w:rsid w:val="00510651"/>
    <w:rsid w:val="005107E4"/>
    <w:rsid w:val="005107EB"/>
    <w:rsid w:val="005109C6"/>
    <w:rsid w:val="00510DD6"/>
    <w:rsid w:val="00510E3E"/>
    <w:rsid w:val="00511092"/>
    <w:rsid w:val="005110C0"/>
    <w:rsid w:val="00511105"/>
    <w:rsid w:val="00511121"/>
    <w:rsid w:val="00511132"/>
    <w:rsid w:val="00511142"/>
    <w:rsid w:val="0051129B"/>
    <w:rsid w:val="00511481"/>
    <w:rsid w:val="005114F1"/>
    <w:rsid w:val="00511611"/>
    <w:rsid w:val="0051176C"/>
    <w:rsid w:val="0051179B"/>
    <w:rsid w:val="005117FC"/>
    <w:rsid w:val="005118BE"/>
    <w:rsid w:val="0051194B"/>
    <w:rsid w:val="00511B60"/>
    <w:rsid w:val="00511B97"/>
    <w:rsid w:val="00511BEA"/>
    <w:rsid w:val="00511CB9"/>
    <w:rsid w:val="00511E08"/>
    <w:rsid w:val="00511E1D"/>
    <w:rsid w:val="00511E1F"/>
    <w:rsid w:val="00511E32"/>
    <w:rsid w:val="00511FB2"/>
    <w:rsid w:val="00512077"/>
    <w:rsid w:val="005120A8"/>
    <w:rsid w:val="005120E0"/>
    <w:rsid w:val="00512105"/>
    <w:rsid w:val="005124D4"/>
    <w:rsid w:val="005125BA"/>
    <w:rsid w:val="005125DD"/>
    <w:rsid w:val="005126B8"/>
    <w:rsid w:val="00512852"/>
    <w:rsid w:val="005128C6"/>
    <w:rsid w:val="00512995"/>
    <w:rsid w:val="00512A00"/>
    <w:rsid w:val="00512A04"/>
    <w:rsid w:val="00512B65"/>
    <w:rsid w:val="00512BDB"/>
    <w:rsid w:val="00512C23"/>
    <w:rsid w:val="00512C30"/>
    <w:rsid w:val="00512CD4"/>
    <w:rsid w:val="00512D87"/>
    <w:rsid w:val="005130E3"/>
    <w:rsid w:val="00513265"/>
    <w:rsid w:val="005132E0"/>
    <w:rsid w:val="0051331D"/>
    <w:rsid w:val="0051333E"/>
    <w:rsid w:val="0051367A"/>
    <w:rsid w:val="005136D0"/>
    <w:rsid w:val="00513728"/>
    <w:rsid w:val="00513809"/>
    <w:rsid w:val="00513854"/>
    <w:rsid w:val="00513866"/>
    <w:rsid w:val="0051389C"/>
    <w:rsid w:val="005138FF"/>
    <w:rsid w:val="00513981"/>
    <w:rsid w:val="00513983"/>
    <w:rsid w:val="00513A00"/>
    <w:rsid w:val="00513B63"/>
    <w:rsid w:val="00513C92"/>
    <w:rsid w:val="00513D62"/>
    <w:rsid w:val="00513E8F"/>
    <w:rsid w:val="00513ED1"/>
    <w:rsid w:val="00513F59"/>
    <w:rsid w:val="0051403C"/>
    <w:rsid w:val="005140A7"/>
    <w:rsid w:val="005140D5"/>
    <w:rsid w:val="005140FD"/>
    <w:rsid w:val="0051414F"/>
    <w:rsid w:val="00514215"/>
    <w:rsid w:val="00514231"/>
    <w:rsid w:val="00514367"/>
    <w:rsid w:val="0051440B"/>
    <w:rsid w:val="00514423"/>
    <w:rsid w:val="005144E7"/>
    <w:rsid w:val="0051458A"/>
    <w:rsid w:val="005145CB"/>
    <w:rsid w:val="005145FA"/>
    <w:rsid w:val="005148F0"/>
    <w:rsid w:val="005148F8"/>
    <w:rsid w:val="005149FF"/>
    <w:rsid w:val="00514B42"/>
    <w:rsid w:val="00514B6D"/>
    <w:rsid w:val="00514DE4"/>
    <w:rsid w:val="00514E01"/>
    <w:rsid w:val="00514E42"/>
    <w:rsid w:val="00514E49"/>
    <w:rsid w:val="00514F8E"/>
    <w:rsid w:val="00515056"/>
    <w:rsid w:val="00515077"/>
    <w:rsid w:val="00515179"/>
    <w:rsid w:val="00515286"/>
    <w:rsid w:val="00515317"/>
    <w:rsid w:val="005153C7"/>
    <w:rsid w:val="00515403"/>
    <w:rsid w:val="00515493"/>
    <w:rsid w:val="005154BD"/>
    <w:rsid w:val="00515561"/>
    <w:rsid w:val="005155A0"/>
    <w:rsid w:val="005155C1"/>
    <w:rsid w:val="005156E4"/>
    <w:rsid w:val="00515860"/>
    <w:rsid w:val="00515989"/>
    <w:rsid w:val="005159B3"/>
    <w:rsid w:val="005159C1"/>
    <w:rsid w:val="00515B5E"/>
    <w:rsid w:val="00515D31"/>
    <w:rsid w:val="00515DD5"/>
    <w:rsid w:val="00515F6F"/>
    <w:rsid w:val="005160D7"/>
    <w:rsid w:val="005161FA"/>
    <w:rsid w:val="00516489"/>
    <w:rsid w:val="00516499"/>
    <w:rsid w:val="0051662F"/>
    <w:rsid w:val="0051664F"/>
    <w:rsid w:val="005166FE"/>
    <w:rsid w:val="0051676F"/>
    <w:rsid w:val="0051679A"/>
    <w:rsid w:val="00516818"/>
    <w:rsid w:val="00516915"/>
    <w:rsid w:val="00516A43"/>
    <w:rsid w:val="00516AA8"/>
    <w:rsid w:val="00516B0A"/>
    <w:rsid w:val="00516C65"/>
    <w:rsid w:val="00516D2D"/>
    <w:rsid w:val="00516D93"/>
    <w:rsid w:val="00516E8A"/>
    <w:rsid w:val="005170DB"/>
    <w:rsid w:val="00517218"/>
    <w:rsid w:val="00517304"/>
    <w:rsid w:val="005173A8"/>
    <w:rsid w:val="005173D0"/>
    <w:rsid w:val="005173E2"/>
    <w:rsid w:val="00517457"/>
    <w:rsid w:val="005174E6"/>
    <w:rsid w:val="00517509"/>
    <w:rsid w:val="005175C0"/>
    <w:rsid w:val="00517664"/>
    <w:rsid w:val="005176BF"/>
    <w:rsid w:val="005176F0"/>
    <w:rsid w:val="005177D8"/>
    <w:rsid w:val="0051785B"/>
    <w:rsid w:val="00517A18"/>
    <w:rsid w:val="00517A68"/>
    <w:rsid w:val="00517A7B"/>
    <w:rsid w:val="00517C08"/>
    <w:rsid w:val="00517C61"/>
    <w:rsid w:val="00517C9E"/>
    <w:rsid w:val="00517D71"/>
    <w:rsid w:val="00517DF0"/>
    <w:rsid w:val="00517E1F"/>
    <w:rsid w:val="00517EA6"/>
    <w:rsid w:val="00517F15"/>
    <w:rsid w:val="00517F6F"/>
    <w:rsid w:val="00517FD6"/>
    <w:rsid w:val="005200D5"/>
    <w:rsid w:val="0052018E"/>
    <w:rsid w:val="0052024A"/>
    <w:rsid w:val="00520474"/>
    <w:rsid w:val="00520481"/>
    <w:rsid w:val="00520648"/>
    <w:rsid w:val="0052073B"/>
    <w:rsid w:val="0052076D"/>
    <w:rsid w:val="00520811"/>
    <w:rsid w:val="00520817"/>
    <w:rsid w:val="0052083C"/>
    <w:rsid w:val="005208B1"/>
    <w:rsid w:val="005208CB"/>
    <w:rsid w:val="005208D8"/>
    <w:rsid w:val="00520986"/>
    <w:rsid w:val="00520A58"/>
    <w:rsid w:val="00520A69"/>
    <w:rsid w:val="00520B84"/>
    <w:rsid w:val="00520B9E"/>
    <w:rsid w:val="00520CBE"/>
    <w:rsid w:val="00520E1C"/>
    <w:rsid w:val="00520E22"/>
    <w:rsid w:val="00520E2C"/>
    <w:rsid w:val="00521025"/>
    <w:rsid w:val="005210CE"/>
    <w:rsid w:val="00521146"/>
    <w:rsid w:val="005211D5"/>
    <w:rsid w:val="00521206"/>
    <w:rsid w:val="0052152E"/>
    <w:rsid w:val="005215A7"/>
    <w:rsid w:val="00521629"/>
    <w:rsid w:val="00521771"/>
    <w:rsid w:val="005217A0"/>
    <w:rsid w:val="005218F4"/>
    <w:rsid w:val="0052199C"/>
    <w:rsid w:val="005219D1"/>
    <w:rsid w:val="00521ADC"/>
    <w:rsid w:val="00521B7B"/>
    <w:rsid w:val="00521CB6"/>
    <w:rsid w:val="00521DD1"/>
    <w:rsid w:val="00521E59"/>
    <w:rsid w:val="00521ED1"/>
    <w:rsid w:val="00522095"/>
    <w:rsid w:val="0052211C"/>
    <w:rsid w:val="005221E7"/>
    <w:rsid w:val="005222C2"/>
    <w:rsid w:val="005222D9"/>
    <w:rsid w:val="005222F8"/>
    <w:rsid w:val="005222FC"/>
    <w:rsid w:val="00522305"/>
    <w:rsid w:val="005226AF"/>
    <w:rsid w:val="0052277F"/>
    <w:rsid w:val="0052286C"/>
    <w:rsid w:val="00522A6A"/>
    <w:rsid w:val="00522A7B"/>
    <w:rsid w:val="00522CEB"/>
    <w:rsid w:val="00522E08"/>
    <w:rsid w:val="00522F42"/>
    <w:rsid w:val="005230CD"/>
    <w:rsid w:val="005230D9"/>
    <w:rsid w:val="0052315F"/>
    <w:rsid w:val="0052318D"/>
    <w:rsid w:val="0052325F"/>
    <w:rsid w:val="005232D3"/>
    <w:rsid w:val="005232E1"/>
    <w:rsid w:val="00523342"/>
    <w:rsid w:val="005233D5"/>
    <w:rsid w:val="005234AA"/>
    <w:rsid w:val="005235D1"/>
    <w:rsid w:val="00523604"/>
    <w:rsid w:val="00523935"/>
    <w:rsid w:val="00523A43"/>
    <w:rsid w:val="00523A85"/>
    <w:rsid w:val="00523AC2"/>
    <w:rsid w:val="00523ACC"/>
    <w:rsid w:val="00523B1D"/>
    <w:rsid w:val="00523B93"/>
    <w:rsid w:val="00523B9C"/>
    <w:rsid w:val="00523C5E"/>
    <w:rsid w:val="00523D1C"/>
    <w:rsid w:val="00523D49"/>
    <w:rsid w:val="00523DB8"/>
    <w:rsid w:val="00523FAD"/>
    <w:rsid w:val="00523FEF"/>
    <w:rsid w:val="0052413A"/>
    <w:rsid w:val="0052437B"/>
    <w:rsid w:val="00524394"/>
    <w:rsid w:val="00524420"/>
    <w:rsid w:val="00524495"/>
    <w:rsid w:val="00524543"/>
    <w:rsid w:val="00524669"/>
    <w:rsid w:val="00524715"/>
    <w:rsid w:val="005247B5"/>
    <w:rsid w:val="00524850"/>
    <w:rsid w:val="005249E4"/>
    <w:rsid w:val="00524B41"/>
    <w:rsid w:val="00524BA2"/>
    <w:rsid w:val="00524C2E"/>
    <w:rsid w:val="00524CFF"/>
    <w:rsid w:val="00524D9B"/>
    <w:rsid w:val="00524E7A"/>
    <w:rsid w:val="00524EDE"/>
    <w:rsid w:val="00524F0F"/>
    <w:rsid w:val="00524F41"/>
    <w:rsid w:val="00525056"/>
    <w:rsid w:val="00525081"/>
    <w:rsid w:val="005251AC"/>
    <w:rsid w:val="0052528A"/>
    <w:rsid w:val="005254CA"/>
    <w:rsid w:val="005255CE"/>
    <w:rsid w:val="005256A5"/>
    <w:rsid w:val="00525739"/>
    <w:rsid w:val="00525816"/>
    <w:rsid w:val="00525944"/>
    <w:rsid w:val="00525992"/>
    <w:rsid w:val="005259A0"/>
    <w:rsid w:val="005259C4"/>
    <w:rsid w:val="005259CB"/>
    <w:rsid w:val="005259F1"/>
    <w:rsid w:val="00525AC8"/>
    <w:rsid w:val="00525B1A"/>
    <w:rsid w:val="00525BD2"/>
    <w:rsid w:val="00525D25"/>
    <w:rsid w:val="00525D8C"/>
    <w:rsid w:val="00525E01"/>
    <w:rsid w:val="00525E51"/>
    <w:rsid w:val="00525E96"/>
    <w:rsid w:val="00525EF5"/>
    <w:rsid w:val="00525F09"/>
    <w:rsid w:val="00525F54"/>
    <w:rsid w:val="005260C5"/>
    <w:rsid w:val="005260CB"/>
    <w:rsid w:val="005260FD"/>
    <w:rsid w:val="0052618F"/>
    <w:rsid w:val="00526279"/>
    <w:rsid w:val="0052652B"/>
    <w:rsid w:val="00526531"/>
    <w:rsid w:val="0052661B"/>
    <w:rsid w:val="005266A2"/>
    <w:rsid w:val="00526703"/>
    <w:rsid w:val="00526902"/>
    <w:rsid w:val="00526966"/>
    <w:rsid w:val="0052699A"/>
    <w:rsid w:val="005269D3"/>
    <w:rsid w:val="00526A6C"/>
    <w:rsid w:val="00526B92"/>
    <w:rsid w:val="00526BB0"/>
    <w:rsid w:val="00526BCA"/>
    <w:rsid w:val="00526BD8"/>
    <w:rsid w:val="00526C41"/>
    <w:rsid w:val="00526C9A"/>
    <w:rsid w:val="00526C9D"/>
    <w:rsid w:val="00526D01"/>
    <w:rsid w:val="00526D13"/>
    <w:rsid w:val="00526DF9"/>
    <w:rsid w:val="00526E29"/>
    <w:rsid w:val="00526E56"/>
    <w:rsid w:val="00526F6A"/>
    <w:rsid w:val="00526FC7"/>
    <w:rsid w:val="00527116"/>
    <w:rsid w:val="0052719F"/>
    <w:rsid w:val="005273F3"/>
    <w:rsid w:val="0052741E"/>
    <w:rsid w:val="0052751D"/>
    <w:rsid w:val="0052755A"/>
    <w:rsid w:val="0052768F"/>
    <w:rsid w:val="0052775B"/>
    <w:rsid w:val="00527786"/>
    <w:rsid w:val="00527807"/>
    <w:rsid w:val="0052785A"/>
    <w:rsid w:val="005279B8"/>
    <w:rsid w:val="00527A6A"/>
    <w:rsid w:val="00527AD6"/>
    <w:rsid w:val="00527AE5"/>
    <w:rsid w:val="00527B38"/>
    <w:rsid w:val="00527B52"/>
    <w:rsid w:val="00527B7E"/>
    <w:rsid w:val="00527BB5"/>
    <w:rsid w:val="00527CE4"/>
    <w:rsid w:val="00527D1E"/>
    <w:rsid w:val="00527D24"/>
    <w:rsid w:val="00527DB6"/>
    <w:rsid w:val="00527E39"/>
    <w:rsid w:val="00527F65"/>
    <w:rsid w:val="00527FB4"/>
    <w:rsid w:val="005300D0"/>
    <w:rsid w:val="00530146"/>
    <w:rsid w:val="00530156"/>
    <w:rsid w:val="005301BA"/>
    <w:rsid w:val="005301D5"/>
    <w:rsid w:val="00530233"/>
    <w:rsid w:val="00530259"/>
    <w:rsid w:val="0053073E"/>
    <w:rsid w:val="00530872"/>
    <w:rsid w:val="00530881"/>
    <w:rsid w:val="00530925"/>
    <w:rsid w:val="00530987"/>
    <w:rsid w:val="00530A08"/>
    <w:rsid w:val="00530BD1"/>
    <w:rsid w:val="00530C5D"/>
    <w:rsid w:val="00530CC2"/>
    <w:rsid w:val="00530CDE"/>
    <w:rsid w:val="00530D44"/>
    <w:rsid w:val="00530D99"/>
    <w:rsid w:val="00530E04"/>
    <w:rsid w:val="00531032"/>
    <w:rsid w:val="005311D5"/>
    <w:rsid w:val="005311E5"/>
    <w:rsid w:val="005312F3"/>
    <w:rsid w:val="00531436"/>
    <w:rsid w:val="00531439"/>
    <w:rsid w:val="0053145D"/>
    <w:rsid w:val="00531470"/>
    <w:rsid w:val="005314D8"/>
    <w:rsid w:val="005314F2"/>
    <w:rsid w:val="00531537"/>
    <w:rsid w:val="0053162A"/>
    <w:rsid w:val="00531718"/>
    <w:rsid w:val="0053186C"/>
    <w:rsid w:val="005319C4"/>
    <w:rsid w:val="00531ADB"/>
    <w:rsid w:val="00531F96"/>
    <w:rsid w:val="00531FDC"/>
    <w:rsid w:val="00532050"/>
    <w:rsid w:val="005320AA"/>
    <w:rsid w:val="00532417"/>
    <w:rsid w:val="005324D7"/>
    <w:rsid w:val="0053250B"/>
    <w:rsid w:val="005325C7"/>
    <w:rsid w:val="005325EB"/>
    <w:rsid w:val="005325FE"/>
    <w:rsid w:val="00532645"/>
    <w:rsid w:val="0053264B"/>
    <w:rsid w:val="0053266E"/>
    <w:rsid w:val="005326C0"/>
    <w:rsid w:val="005326D4"/>
    <w:rsid w:val="00532839"/>
    <w:rsid w:val="0053284F"/>
    <w:rsid w:val="00532853"/>
    <w:rsid w:val="005328D1"/>
    <w:rsid w:val="005328E5"/>
    <w:rsid w:val="00532A42"/>
    <w:rsid w:val="00532B71"/>
    <w:rsid w:val="00532C15"/>
    <w:rsid w:val="00532C2B"/>
    <w:rsid w:val="00532C4A"/>
    <w:rsid w:val="00532CA3"/>
    <w:rsid w:val="00532E78"/>
    <w:rsid w:val="0053333D"/>
    <w:rsid w:val="005333D6"/>
    <w:rsid w:val="00533446"/>
    <w:rsid w:val="00533473"/>
    <w:rsid w:val="00533483"/>
    <w:rsid w:val="00533538"/>
    <w:rsid w:val="0053360D"/>
    <w:rsid w:val="00533673"/>
    <w:rsid w:val="00533764"/>
    <w:rsid w:val="0053382C"/>
    <w:rsid w:val="0053383A"/>
    <w:rsid w:val="0053388F"/>
    <w:rsid w:val="005339F6"/>
    <w:rsid w:val="00533A21"/>
    <w:rsid w:val="00533A3A"/>
    <w:rsid w:val="00533A5B"/>
    <w:rsid w:val="00533B57"/>
    <w:rsid w:val="00533D26"/>
    <w:rsid w:val="00533D55"/>
    <w:rsid w:val="00533D61"/>
    <w:rsid w:val="00533DD9"/>
    <w:rsid w:val="00533E64"/>
    <w:rsid w:val="00533F08"/>
    <w:rsid w:val="0053414C"/>
    <w:rsid w:val="0053419D"/>
    <w:rsid w:val="005341A8"/>
    <w:rsid w:val="0053450B"/>
    <w:rsid w:val="005345F8"/>
    <w:rsid w:val="00534632"/>
    <w:rsid w:val="005348B4"/>
    <w:rsid w:val="00534BE8"/>
    <w:rsid w:val="00534BFE"/>
    <w:rsid w:val="00534D55"/>
    <w:rsid w:val="00534DBD"/>
    <w:rsid w:val="00534E9F"/>
    <w:rsid w:val="00534F9C"/>
    <w:rsid w:val="00534FF8"/>
    <w:rsid w:val="00535024"/>
    <w:rsid w:val="00535157"/>
    <w:rsid w:val="0053520C"/>
    <w:rsid w:val="0053521B"/>
    <w:rsid w:val="005352EA"/>
    <w:rsid w:val="0053530C"/>
    <w:rsid w:val="00535351"/>
    <w:rsid w:val="00535541"/>
    <w:rsid w:val="005355EE"/>
    <w:rsid w:val="005356BC"/>
    <w:rsid w:val="005356BD"/>
    <w:rsid w:val="00535821"/>
    <w:rsid w:val="00535851"/>
    <w:rsid w:val="00535A11"/>
    <w:rsid w:val="00535A2C"/>
    <w:rsid w:val="00535B68"/>
    <w:rsid w:val="00535C06"/>
    <w:rsid w:val="00535C53"/>
    <w:rsid w:val="00535CAF"/>
    <w:rsid w:val="00535D1B"/>
    <w:rsid w:val="00535E5E"/>
    <w:rsid w:val="00535E6A"/>
    <w:rsid w:val="00535EEA"/>
    <w:rsid w:val="00535F1D"/>
    <w:rsid w:val="00535FFE"/>
    <w:rsid w:val="0053606C"/>
    <w:rsid w:val="00536091"/>
    <w:rsid w:val="00536180"/>
    <w:rsid w:val="00536387"/>
    <w:rsid w:val="005363B9"/>
    <w:rsid w:val="005363DE"/>
    <w:rsid w:val="005364B9"/>
    <w:rsid w:val="00536537"/>
    <w:rsid w:val="005365BE"/>
    <w:rsid w:val="005365E0"/>
    <w:rsid w:val="0053664F"/>
    <w:rsid w:val="0053668E"/>
    <w:rsid w:val="005367C3"/>
    <w:rsid w:val="00536B4D"/>
    <w:rsid w:val="00536BBC"/>
    <w:rsid w:val="00536CE3"/>
    <w:rsid w:val="00537035"/>
    <w:rsid w:val="0053705D"/>
    <w:rsid w:val="005370EB"/>
    <w:rsid w:val="005371A7"/>
    <w:rsid w:val="005371CF"/>
    <w:rsid w:val="005371FE"/>
    <w:rsid w:val="00537248"/>
    <w:rsid w:val="0053730B"/>
    <w:rsid w:val="00537442"/>
    <w:rsid w:val="00537479"/>
    <w:rsid w:val="005374CC"/>
    <w:rsid w:val="0053756D"/>
    <w:rsid w:val="00537659"/>
    <w:rsid w:val="005376FB"/>
    <w:rsid w:val="005377A7"/>
    <w:rsid w:val="005377CE"/>
    <w:rsid w:val="0053792C"/>
    <w:rsid w:val="00537930"/>
    <w:rsid w:val="00537966"/>
    <w:rsid w:val="00537A07"/>
    <w:rsid w:val="00537B2A"/>
    <w:rsid w:val="00537BD9"/>
    <w:rsid w:val="00537C50"/>
    <w:rsid w:val="00537C89"/>
    <w:rsid w:val="00537DE6"/>
    <w:rsid w:val="00537F62"/>
    <w:rsid w:val="00537FC7"/>
    <w:rsid w:val="00540024"/>
    <w:rsid w:val="00540151"/>
    <w:rsid w:val="00540237"/>
    <w:rsid w:val="0054029D"/>
    <w:rsid w:val="005403A1"/>
    <w:rsid w:val="005404CF"/>
    <w:rsid w:val="005404FD"/>
    <w:rsid w:val="0054052A"/>
    <w:rsid w:val="005405FF"/>
    <w:rsid w:val="005406FF"/>
    <w:rsid w:val="005408AB"/>
    <w:rsid w:val="0054090E"/>
    <w:rsid w:val="0054092A"/>
    <w:rsid w:val="005409F6"/>
    <w:rsid w:val="00540A75"/>
    <w:rsid w:val="00540A89"/>
    <w:rsid w:val="00540AB5"/>
    <w:rsid w:val="00540C3E"/>
    <w:rsid w:val="00540C8D"/>
    <w:rsid w:val="00540DF5"/>
    <w:rsid w:val="00540E43"/>
    <w:rsid w:val="00540E51"/>
    <w:rsid w:val="00540E55"/>
    <w:rsid w:val="00540EDF"/>
    <w:rsid w:val="00540FDD"/>
    <w:rsid w:val="005410D0"/>
    <w:rsid w:val="0054120B"/>
    <w:rsid w:val="00541308"/>
    <w:rsid w:val="0054136A"/>
    <w:rsid w:val="005413A6"/>
    <w:rsid w:val="005413AF"/>
    <w:rsid w:val="00541416"/>
    <w:rsid w:val="00541452"/>
    <w:rsid w:val="00541454"/>
    <w:rsid w:val="0054149D"/>
    <w:rsid w:val="005415C4"/>
    <w:rsid w:val="0054165E"/>
    <w:rsid w:val="005416B3"/>
    <w:rsid w:val="00541733"/>
    <w:rsid w:val="00541766"/>
    <w:rsid w:val="00541785"/>
    <w:rsid w:val="0054181F"/>
    <w:rsid w:val="00541880"/>
    <w:rsid w:val="005419C4"/>
    <w:rsid w:val="005419CB"/>
    <w:rsid w:val="005419E7"/>
    <w:rsid w:val="00541ACE"/>
    <w:rsid w:val="00541ADD"/>
    <w:rsid w:val="00541B1B"/>
    <w:rsid w:val="00541B50"/>
    <w:rsid w:val="00541C92"/>
    <w:rsid w:val="00542278"/>
    <w:rsid w:val="005422FD"/>
    <w:rsid w:val="00542370"/>
    <w:rsid w:val="00542638"/>
    <w:rsid w:val="00542674"/>
    <w:rsid w:val="0054267C"/>
    <w:rsid w:val="00542744"/>
    <w:rsid w:val="00542751"/>
    <w:rsid w:val="0054290F"/>
    <w:rsid w:val="005429E0"/>
    <w:rsid w:val="00542AA8"/>
    <w:rsid w:val="00542F09"/>
    <w:rsid w:val="00542F35"/>
    <w:rsid w:val="00543003"/>
    <w:rsid w:val="00543026"/>
    <w:rsid w:val="00543136"/>
    <w:rsid w:val="005431A5"/>
    <w:rsid w:val="00543357"/>
    <w:rsid w:val="00543373"/>
    <w:rsid w:val="0054341A"/>
    <w:rsid w:val="00543718"/>
    <w:rsid w:val="005438FD"/>
    <w:rsid w:val="00543924"/>
    <w:rsid w:val="00543962"/>
    <w:rsid w:val="00543980"/>
    <w:rsid w:val="00543A03"/>
    <w:rsid w:val="00543A8F"/>
    <w:rsid w:val="00543AED"/>
    <w:rsid w:val="00543BF2"/>
    <w:rsid w:val="00543CC0"/>
    <w:rsid w:val="00543D20"/>
    <w:rsid w:val="00543EA9"/>
    <w:rsid w:val="00543FDE"/>
    <w:rsid w:val="00544048"/>
    <w:rsid w:val="005441B7"/>
    <w:rsid w:val="005441E4"/>
    <w:rsid w:val="00544349"/>
    <w:rsid w:val="00544391"/>
    <w:rsid w:val="005444AA"/>
    <w:rsid w:val="005445F1"/>
    <w:rsid w:val="0054460C"/>
    <w:rsid w:val="00544780"/>
    <w:rsid w:val="005448B3"/>
    <w:rsid w:val="005448D4"/>
    <w:rsid w:val="005448E4"/>
    <w:rsid w:val="005449A3"/>
    <w:rsid w:val="005449C3"/>
    <w:rsid w:val="00544CB6"/>
    <w:rsid w:val="00544D91"/>
    <w:rsid w:val="00544E09"/>
    <w:rsid w:val="00544E25"/>
    <w:rsid w:val="00544E9D"/>
    <w:rsid w:val="00544EC5"/>
    <w:rsid w:val="00544F0F"/>
    <w:rsid w:val="00544F9C"/>
    <w:rsid w:val="0054503C"/>
    <w:rsid w:val="00545054"/>
    <w:rsid w:val="005450D8"/>
    <w:rsid w:val="0054510D"/>
    <w:rsid w:val="00545131"/>
    <w:rsid w:val="005451D6"/>
    <w:rsid w:val="005451EA"/>
    <w:rsid w:val="005451FE"/>
    <w:rsid w:val="005452B6"/>
    <w:rsid w:val="005453EF"/>
    <w:rsid w:val="0054542B"/>
    <w:rsid w:val="0054546D"/>
    <w:rsid w:val="00545496"/>
    <w:rsid w:val="005457D6"/>
    <w:rsid w:val="005458F0"/>
    <w:rsid w:val="0054595B"/>
    <w:rsid w:val="0054596F"/>
    <w:rsid w:val="00545A29"/>
    <w:rsid w:val="00545A84"/>
    <w:rsid w:val="00545ACC"/>
    <w:rsid w:val="00545B80"/>
    <w:rsid w:val="00545B9D"/>
    <w:rsid w:val="00545E56"/>
    <w:rsid w:val="00545E88"/>
    <w:rsid w:val="00545EF1"/>
    <w:rsid w:val="00546028"/>
    <w:rsid w:val="00546183"/>
    <w:rsid w:val="005461C0"/>
    <w:rsid w:val="0054625C"/>
    <w:rsid w:val="005462BE"/>
    <w:rsid w:val="00546310"/>
    <w:rsid w:val="00546391"/>
    <w:rsid w:val="005463F3"/>
    <w:rsid w:val="00546539"/>
    <w:rsid w:val="0054654C"/>
    <w:rsid w:val="00546559"/>
    <w:rsid w:val="005465AD"/>
    <w:rsid w:val="005467E1"/>
    <w:rsid w:val="005468A3"/>
    <w:rsid w:val="005469CE"/>
    <w:rsid w:val="005469E3"/>
    <w:rsid w:val="00546A68"/>
    <w:rsid w:val="00546A85"/>
    <w:rsid w:val="00546D10"/>
    <w:rsid w:val="00546DA5"/>
    <w:rsid w:val="00546E03"/>
    <w:rsid w:val="00546E7F"/>
    <w:rsid w:val="00547081"/>
    <w:rsid w:val="00547091"/>
    <w:rsid w:val="00547171"/>
    <w:rsid w:val="005471BC"/>
    <w:rsid w:val="0054721F"/>
    <w:rsid w:val="005472D3"/>
    <w:rsid w:val="005474FC"/>
    <w:rsid w:val="005474FF"/>
    <w:rsid w:val="00547504"/>
    <w:rsid w:val="00547777"/>
    <w:rsid w:val="005477DE"/>
    <w:rsid w:val="00547837"/>
    <w:rsid w:val="00547940"/>
    <w:rsid w:val="0054798E"/>
    <w:rsid w:val="005479ED"/>
    <w:rsid w:val="005479FD"/>
    <w:rsid w:val="00547A16"/>
    <w:rsid w:val="00547A24"/>
    <w:rsid w:val="00547B56"/>
    <w:rsid w:val="00547C10"/>
    <w:rsid w:val="00547C73"/>
    <w:rsid w:val="00547D39"/>
    <w:rsid w:val="00547E08"/>
    <w:rsid w:val="00547EC4"/>
    <w:rsid w:val="00547EE8"/>
    <w:rsid w:val="00547F07"/>
    <w:rsid w:val="00547F56"/>
    <w:rsid w:val="00547FBF"/>
    <w:rsid w:val="00547FD0"/>
    <w:rsid w:val="00550029"/>
    <w:rsid w:val="00550173"/>
    <w:rsid w:val="00550221"/>
    <w:rsid w:val="00550242"/>
    <w:rsid w:val="005502F4"/>
    <w:rsid w:val="00550378"/>
    <w:rsid w:val="0055042D"/>
    <w:rsid w:val="0055051C"/>
    <w:rsid w:val="00550781"/>
    <w:rsid w:val="00550867"/>
    <w:rsid w:val="00550876"/>
    <w:rsid w:val="00550880"/>
    <w:rsid w:val="005508CA"/>
    <w:rsid w:val="00550BB6"/>
    <w:rsid w:val="00550C23"/>
    <w:rsid w:val="00550C52"/>
    <w:rsid w:val="00550D1F"/>
    <w:rsid w:val="00550D33"/>
    <w:rsid w:val="00550DE7"/>
    <w:rsid w:val="00550E58"/>
    <w:rsid w:val="00550F4E"/>
    <w:rsid w:val="0055120C"/>
    <w:rsid w:val="00551313"/>
    <w:rsid w:val="00551336"/>
    <w:rsid w:val="00551419"/>
    <w:rsid w:val="0055146B"/>
    <w:rsid w:val="00551497"/>
    <w:rsid w:val="00551604"/>
    <w:rsid w:val="00551680"/>
    <w:rsid w:val="0055180D"/>
    <w:rsid w:val="00551AAC"/>
    <w:rsid w:val="00551AB6"/>
    <w:rsid w:val="00551C3A"/>
    <w:rsid w:val="00551CAB"/>
    <w:rsid w:val="00551D3C"/>
    <w:rsid w:val="00551E08"/>
    <w:rsid w:val="00551E75"/>
    <w:rsid w:val="00551F50"/>
    <w:rsid w:val="00551F95"/>
    <w:rsid w:val="00551FDC"/>
    <w:rsid w:val="00552081"/>
    <w:rsid w:val="005520A1"/>
    <w:rsid w:val="00552171"/>
    <w:rsid w:val="0055217B"/>
    <w:rsid w:val="0055226E"/>
    <w:rsid w:val="00552359"/>
    <w:rsid w:val="00552685"/>
    <w:rsid w:val="005526AA"/>
    <w:rsid w:val="00552769"/>
    <w:rsid w:val="00552825"/>
    <w:rsid w:val="00552926"/>
    <w:rsid w:val="005529C8"/>
    <w:rsid w:val="00552A14"/>
    <w:rsid w:val="00552A24"/>
    <w:rsid w:val="00552AAA"/>
    <w:rsid w:val="00552ADA"/>
    <w:rsid w:val="00552E82"/>
    <w:rsid w:val="005531A2"/>
    <w:rsid w:val="0055362E"/>
    <w:rsid w:val="00553670"/>
    <w:rsid w:val="00553675"/>
    <w:rsid w:val="005537AB"/>
    <w:rsid w:val="00553947"/>
    <w:rsid w:val="005539F6"/>
    <w:rsid w:val="00553A04"/>
    <w:rsid w:val="00553BA6"/>
    <w:rsid w:val="00553CD1"/>
    <w:rsid w:val="00553CF9"/>
    <w:rsid w:val="00553D1D"/>
    <w:rsid w:val="00553D44"/>
    <w:rsid w:val="00553D56"/>
    <w:rsid w:val="00553DE0"/>
    <w:rsid w:val="00553E3B"/>
    <w:rsid w:val="00553E5E"/>
    <w:rsid w:val="00553EBF"/>
    <w:rsid w:val="00553F1B"/>
    <w:rsid w:val="00553F42"/>
    <w:rsid w:val="00554023"/>
    <w:rsid w:val="0055402F"/>
    <w:rsid w:val="005540C7"/>
    <w:rsid w:val="005542AA"/>
    <w:rsid w:val="00554347"/>
    <w:rsid w:val="00554392"/>
    <w:rsid w:val="005545D3"/>
    <w:rsid w:val="005545EF"/>
    <w:rsid w:val="00554612"/>
    <w:rsid w:val="0055463D"/>
    <w:rsid w:val="0055473A"/>
    <w:rsid w:val="005547A6"/>
    <w:rsid w:val="005547A9"/>
    <w:rsid w:val="005548EA"/>
    <w:rsid w:val="0055491C"/>
    <w:rsid w:val="00554986"/>
    <w:rsid w:val="00554999"/>
    <w:rsid w:val="005549E2"/>
    <w:rsid w:val="00554AD2"/>
    <w:rsid w:val="00554AF1"/>
    <w:rsid w:val="00554BC2"/>
    <w:rsid w:val="00554C46"/>
    <w:rsid w:val="00554C5A"/>
    <w:rsid w:val="00554E2D"/>
    <w:rsid w:val="00554E8F"/>
    <w:rsid w:val="00554ED2"/>
    <w:rsid w:val="00554F3B"/>
    <w:rsid w:val="00554FB5"/>
    <w:rsid w:val="00555090"/>
    <w:rsid w:val="005550D4"/>
    <w:rsid w:val="005551C6"/>
    <w:rsid w:val="005551CB"/>
    <w:rsid w:val="0055520E"/>
    <w:rsid w:val="00555383"/>
    <w:rsid w:val="005553F8"/>
    <w:rsid w:val="00555592"/>
    <w:rsid w:val="0055569B"/>
    <w:rsid w:val="005556C2"/>
    <w:rsid w:val="00555775"/>
    <w:rsid w:val="0055578F"/>
    <w:rsid w:val="00555797"/>
    <w:rsid w:val="005558D1"/>
    <w:rsid w:val="0055594E"/>
    <w:rsid w:val="00555958"/>
    <w:rsid w:val="005559F2"/>
    <w:rsid w:val="00555B6E"/>
    <w:rsid w:val="00555B6F"/>
    <w:rsid w:val="00555C7D"/>
    <w:rsid w:val="00555C8A"/>
    <w:rsid w:val="00555E49"/>
    <w:rsid w:val="00555E4A"/>
    <w:rsid w:val="00555EA1"/>
    <w:rsid w:val="00555EE2"/>
    <w:rsid w:val="005560DE"/>
    <w:rsid w:val="005560FC"/>
    <w:rsid w:val="0055613F"/>
    <w:rsid w:val="0055629F"/>
    <w:rsid w:val="005562A3"/>
    <w:rsid w:val="00556367"/>
    <w:rsid w:val="00556417"/>
    <w:rsid w:val="005565EB"/>
    <w:rsid w:val="0055670B"/>
    <w:rsid w:val="0055672F"/>
    <w:rsid w:val="005568B3"/>
    <w:rsid w:val="00556A97"/>
    <w:rsid w:val="00556C3A"/>
    <w:rsid w:val="00556D28"/>
    <w:rsid w:val="00556DD9"/>
    <w:rsid w:val="00556EA3"/>
    <w:rsid w:val="00556FA6"/>
    <w:rsid w:val="00557135"/>
    <w:rsid w:val="00557158"/>
    <w:rsid w:val="005571C6"/>
    <w:rsid w:val="00557348"/>
    <w:rsid w:val="00557418"/>
    <w:rsid w:val="00557471"/>
    <w:rsid w:val="0055754E"/>
    <w:rsid w:val="00557586"/>
    <w:rsid w:val="005575F4"/>
    <w:rsid w:val="00557727"/>
    <w:rsid w:val="00557757"/>
    <w:rsid w:val="005578B7"/>
    <w:rsid w:val="005578FB"/>
    <w:rsid w:val="00557995"/>
    <w:rsid w:val="00557A31"/>
    <w:rsid w:val="00557BB0"/>
    <w:rsid w:val="00557C1D"/>
    <w:rsid w:val="00557E20"/>
    <w:rsid w:val="00557E2D"/>
    <w:rsid w:val="00557EEF"/>
    <w:rsid w:val="00560041"/>
    <w:rsid w:val="0056012F"/>
    <w:rsid w:val="005601D1"/>
    <w:rsid w:val="0056024C"/>
    <w:rsid w:val="005604BC"/>
    <w:rsid w:val="00560593"/>
    <w:rsid w:val="00560594"/>
    <w:rsid w:val="005605F1"/>
    <w:rsid w:val="00560775"/>
    <w:rsid w:val="00560871"/>
    <w:rsid w:val="0056087A"/>
    <w:rsid w:val="00560890"/>
    <w:rsid w:val="00560904"/>
    <w:rsid w:val="00560922"/>
    <w:rsid w:val="00560938"/>
    <w:rsid w:val="00560B70"/>
    <w:rsid w:val="00560B82"/>
    <w:rsid w:val="00560D3B"/>
    <w:rsid w:val="00560D91"/>
    <w:rsid w:val="00560DA2"/>
    <w:rsid w:val="00560DCF"/>
    <w:rsid w:val="00560F6C"/>
    <w:rsid w:val="005612F1"/>
    <w:rsid w:val="005612F2"/>
    <w:rsid w:val="0056134D"/>
    <w:rsid w:val="005616E0"/>
    <w:rsid w:val="005619E4"/>
    <w:rsid w:val="00561AE3"/>
    <w:rsid w:val="00561C18"/>
    <w:rsid w:val="00561C42"/>
    <w:rsid w:val="00561E0E"/>
    <w:rsid w:val="00561EF8"/>
    <w:rsid w:val="00561FBF"/>
    <w:rsid w:val="0056209E"/>
    <w:rsid w:val="0056214C"/>
    <w:rsid w:val="005621C3"/>
    <w:rsid w:val="005624F7"/>
    <w:rsid w:val="00562644"/>
    <w:rsid w:val="005628F4"/>
    <w:rsid w:val="00562913"/>
    <w:rsid w:val="00562949"/>
    <w:rsid w:val="005629A2"/>
    <w:rsid w:val="00562A15"/>
    <w:rsid w:val="00562A67"/>
    <w:rsid w:val="00562A82"/>
    <w:rsid w:val="00562B31"/>
    <w:rsid w:val="00562BD9"/>
    <w:rsid w:val="00562BE0"/>
    <w:rsid w:val="00562C83"/>
    <w:rsid w:val="00562CC8"/>
    <w:rsid w:val="00562D2E"/>
    <w:rsid w:val="00563006"/>
    <w:rsid w:val="00563135"/>
    <w:rsid w:val="005632A3"/>
    <w:rsid w:val="00563315"/>
    <w:rsid w:val="0056344F"/>
    <w:rsid w:val="005634A1"/>
    <w:rsid w:val="0056352F"/>
    <w:rsid w:val="0056355E"/>
    <w:rsid w:val="00563623"/>
    <w:rsid w:val="0056390A"/>
    <w:rsid w:val="00563A53"/>
    <w:rsid w:val="00563ACD"/>
    <w:rsid w:val="00563B2D"/>
    <w:rsid w:val="00563BC2"/>
    <w:rsid w:val="00563F3B"/>
    <w:rsid w:val="00563F94"/>
    <w:rsid w:val="00563FA8"/>
    <w:rsid w:val="0056403B"/>
    <w:rsid w:val="005640BC"/>
    <w:rsid w:val="005643B0"/>
    <w:rsid w:val="005644E1"/>
    <w:rsid w:val="00564628"/>
    <w:rsid w:val="00564687"/>
    <w:rsid w:val="0056470D"/>
    <w:rsid w:val="0056474B"/>
    <w:rsid w:val="00564816"/>
    <w:rsid w:val="0056498D"/>
    <w:rsid w:val="00564994"/>
    <w:rsid w:val="005649BD"/>
    <w:rsid w:val="00564A4C"/>
    <w:rsid w:val="00564B36"/>
    <w:rsid w:val="00564BC6"/>
    <w:rsid w:val="00564C1A"/>
    <w:rsid w:val="00564C38"/>
    <w:rsid w:val="00564C7B"/>
    <w:rsid w:val="00564F0D"/>
    <w:rsid w:val="00564F32"/>
    <w:rsid w:val="005650A4"/>
    <w:rsid w:val="005650D7"/>
    <w:rsid w:val="005652A2"/>
    <w:rsid w:val="005653BB"/>
    <w:rsid w:val="005653D4"/>
    <w:rsid w:val="005653E9"/>
    <w:rsid w:val="00565472"/>
    <w:rsid w:val="00565488"/>
    <w:rsid w:val="005654A8"/>
    <w:rsid w:val="00565515"/>
    <w:rsid w:val="005656A2"/>
    <w:rsid w:val="0056579D"/>
    <w:rsid w:val="005657CA"/>
    <w:rsid w:val="005657F8"/>
    <w:rsid w:val="0056598B"/>
    <w:rsid w:val="00565993"/>
    <w:rsid w:val="00565A5A"/>
    <w:rsid w:val="00565B12"/>
    <w:rsid w:val="00565C6F"/>
    <w:rsid w:val="00565CAD"/>
    <w:rsid w:val="00565E2D"/>
    <w:rsid w:val="00565ED7"/>
    <w:rsid w:val="00565FC3"/>
    <w:rsid w:val="0056610F"/>
    <w:rsid w:val="0056615C"/>
    <w:rsid w:val="0056621F"/>
    <w:rsid w:val="005662AA"/>
    <w:rsid w:val="005662E5"/>
    <w:rsid w:val="00566591"/>
    <w:rsid w:val="005665A4"/>
    <w:rsid w:val="00566708"/>
    <w:rsid w:val="005667D6"/>
    <w:rsid w:val="005668EA"/>
    <w:rsid w:val="00566909"/>
    <w:rsid w:val="0056691A"/>
    <w:rsid w:val="005669A8"/>
    <w:rsid w:val="00566A59"/>
    <w:rsid w:val="00566BD3"/>
    <w:rsid w:val="00566C23"/>
    <w:rsid w:val="00566ED1"/>
    <w:rsid w:val="00567061"/>
    <w:rsid w:val="00567167"/>
    <w:rsid w:val="005671CB"/>
    <w:rsid w:val="00567243"/>
    <w:rsid w:val="00567509"/>
    <w:rsid w:val="0056767D"/>
    <w:rsid w:val="005676C4"/>
    <w:rsid w:val="005677B3"/>
    <w:rsid w:val="005678AB"/>
    <w:rsid w:val="00567A95"/>
    <w:rsid w:val="00567BBF"/>
    <w:rsid w:val="00567C70"/>
    <w:rsid w:val="00567F1F"/>
    <w:rsid w:val="00567F42"/>
    <w:rsid w:val="0057007C"/>
    <w:rsid w:val="0057007D"/>
    <w:rsid w:val="0057008E"/>
    <w:rsid w:val="00570103"/>
    <w:rsid w:val="005701FB"/>
    <w:rsid w:val="00570368"/>
    <w:rsid w:val="005703FE"/>
    <w:rsid w:val="0057049A"/>
    <w:rsid w:val="005705AE"/>
    <w:rsid w:val="00570685"/>
    <w:rsid w:val="005706D8"/>
    <w:rsid w:val="005707BB"/>
    <w:rsid w:val="005708C9"/>
    <w:rsid w:val="00570907"/>
    <w:rsid w:val="00570991"/>
    <w:rsid w:val="00570A6E"/>
    <w:rsid w:val="00570B19"/>
    <w:rsid w:val="00570B5A"/>
    <w:rsid w:val="00570B69"/>
    <w:rsid w:val="00570B71"/>
    <w:rsid w:val="00570BE0"/>
    <w:rsid w:val="00570C6A"/>
    <w:rsid w:val="00570D09"/>
    <w:rsid w:val="00570D1E"/>
    <w:rsid w:val="00570E7B"/>
    <w:rsid w:val="00570EA9"/>
    <w:rsid w:val="00570FE9"/>
    <w:rsid w:val="00571031"/>
    <w:rsid w:val="005710E1"/>
    <w:rsid w:val="005710F2"/>
    <w:rsid w:val="005712D8"/>
    <w:rsid w:val="005712E4"/>
    <w:rsid w:val="005713AE"/>
    <w:rsid w:val="00571417"/>
    <w:rsid w:val="005715D0"/>
    <w:rsid w:val="0057181C"/>
    <w:rsid w:val="005718E6"/>
    <w:rsid w:val="00571A4A"/>
    <w:rsid w:val="00571C11"/>
    <w:rsid w:val="00571D2D"/>
    <w:rsid w:val="00571DC9"/>
    <w:rsid w:val="00571DF2"/>
    <w:rsid w:val="00571EAE"/>
    <w:rsid w:val="00572104"/>
    <w:rsid w:val="00572231"/>
    <w:rsid w:val="0057232B"/>
    <w:rsid w:val="00572333"/>
    <w:rsid w:val="005723F8"/>
    <w:rsid w:val="00572517"/>
    <w:rsid w:val="005726D8"/>
    <w:rsid w:val="0057271B"/>
    <w:rsid w:val="005727CF"/>
    <w:rsid w:val="0057283A"/>
    <w:rsid w:val="0057288B"/>
    <w:rsid w:val="005728D4"/>
    <w:rsid w:val="00572927"/>
    <w:rsid w:val="0057292B"/>
    <w:rsid w:val="00572A6C"/>
    <w:rsid w:val="00572B6E"/>
    <w:rsid w:val="00572C83"/>
    <w:rsid w:val="00572DB7"/>
    <w:rsid w:val="00572E98"/>
    <w:rsid w:val="005730F3"/>
    <w:rsid w:val="00573153"/>
    <w:rsid w:val="005731E8"/>
    <w:rsid w:val="0057328A"/>
    <w:rsid w:val="00573364"/>
    <w:rsid w:val="005733DF"/>
    <w:rsid w:val="005733FC"/>
    <w:rsid w:val="0057343F"/>
    <w:rsid w:val="00573471"/>
    <w:rsid w:val="0057355A"/>
    <w:rsid w:val="00573602"/>
    <w:rsid w:val="005736DC"/>
    <w:rsid w:val="00573779"/>
    <w:rsid w:val="0057380B"/>
    <w:rsid w:val="00573916"/>
    <w:rsid w:val="00573A1A"/>
    <w:rsid w:val="00573A75"/>
    <w:rsid w:val="00573B52"/>
    <w:rsid w:val="00573B67"/>
    <w:rsid w:val="00573BC9"/>
    <w:rsid w:val="00573CA4"/>
    <w:rsid w:val="00573CFF"/>
    <w:rsid w:val="00573D22"/>
    <w:rsid w:val="00573D40"/>
    <w:rsid w:val="00573E54"/>
    <w:rsid w:val="00573EED"/>
    <w:rsid w:val="00573F20"/>
    <w:rsid w:val="00574033"/>
    <w:rsid w:val="00574093"/>
    <w:rsid w:val="00574150"/>
    <w:rsid w:val="0057419A"/>
    <w:rsid w:val="005741E7"/>
    <w:rsid w:val="0057450B"/>
    <w:rsid w:val="005745E0"/>
    <w:rsid w:val="00574608"/>
    <w:rsid w:val="00574642"/>
    <w:rsid w:val="00574704"/>
    <w:rsid w:val="0057476A"/>
    <w:rsid w:val="0057489C"/>
    <w:rsid w:val="005748F7"/>
    <w:rsid w:val="00574A3B"/>
    <w:rsid w:val="00574C23"/>
    <w:rsid w:val="00574D0B"/>
    <w:rsid w:val="00574DF8"/>
    <w:rsid w:val="0057513E"/>
    <w:rsid w:val="00575299"/>
    <w:rsid w:val="005753E3"/>
    <w:rsid w:val="00575413"/>
    <w:rsid w:val="0057548C"/>
    <w:rsid w:val="0057550A"/>
    <w:rsid w:val="005755B4"/>
    <w:rsid w:val="0057562F"/>
    <w:rsid w:val="005758B0"/>
    <w:rsid w:val="00575925"/>
    <w:rsid w:val="00575A60"/>
    <w:rsid w:val="00575BA2"/>
    <w:rsid w:val="00575E60"/>
    <w:rsid w:val="00575E9F"/>
    <w:rsid w:val="00575EA9"/>
    <w:rsid w:val="00575EF3"/>
    <w:rsid w:val="0057610D"/>
    <w:rsid w:val="0057618B"/>
    <w:rsid w:val="005761C8"/>
    <w:rsid w:val="005762CC"/>
    <w:rsid w:val="005763FC"/>
    <w:rsid w:val="00576425"/>
    <w:rsid w:val="0057643C"/>
    <w:rsid w:val="0057650C"/>
    <w:rsid w:val="005766C4"/>
    <w:rsid w:val="005767CB"/>
    <w:rsid w:val="005767D0"/>
    <w:rsid w:val="00576C2F"/>
    <w:rsid w:val="00576C49"/>
    <w:rsid w:val="00576D1B"/>
    <w:rsid w:val="00576D3D"/>
    <w:rsid w:val="00576F9D"/>
    <w:rsid w:val="00577247"/>
    <w:rsid w:val="0057727D"/>
    <w:rsid w:val="005772A7"/>
    <w:rsid w:val="00577336"/>
    <w:rsid w:val="005773CC"/>
    <w:rsid w:val="00577519"/>
    <w:rsid w:val="00577595"/>
    <w:rsid w:val="00577629"/>
    <w:rsid w:val="00577651"/>
    <w:rsid w:val="0057780F"/>
    <w:rsid w:val="00577A20"/>
    <w:rsid w:val="00577BDF"/>
    <w:rsid w:val="00577CA0"/>
    <w:rsid w:val="00577CBE"/>
    <w:rsid w:val="00577CF3"/>
    <w:rsid w:val="00577D6E"/>
    <w:rsid w:val="00577DCD"/>
    <w:rsid w:val="00577F8B"/>
    <w:rsid w:val="00577F94"/>
    <w:rsid w:val="00577FA9"/>
    <w:rsid w:val="005801B6"/>
    <w:rsid w:val="005802F5"/>
    <w:rsid w:val="00580358"/>
    <w:rsid w:val="00580417"/>
    <w:rsid w:val="00580456"/>
    <w:rsid w:val="00580505"/>
    <w:rsid w:val="0058065D"/>
    <w:rsid w:val="005806BC"/>
    <w:rsid w:val="005806DD"/>
    <w:rsid w:val="005807F7"/>
    <w:rsid w:val="00580887"/>
    <w:rsid w:val="0058092A"/>
    <w:rsid w:val="0058092F"/>
    <w:rsid w:val="00580999"/>
    <w:rsid w:val="00580A71"/>
    <w:rsid w:val="00580AEC"/>
    <w:rsid w:val="00580B0D"/>
    <w:rsid w:val="00580B71"/>
    <w:rsid w:val="00580BF6"/>
    <w:rsid w:val="00580C2D"/>
    <w:rsid w:val="00580CED"/>
    <w:rsid w:val="00580D0B"/>
    <w:rsid w:val="00580D14"/>
    <w:rsid w:val="00580D8D"/>
    <w:rsid w:val="00580E5C"/>
    <w:rsid w:val="00580E6E"/>
    <w:rsid w:val="00580EB2"/>
    <w:rsid w:val="00580F46"/>
    <w:rsid w:val="00580F73"/>
    <w:rsid w:val="00580FBB"/>
    <w:rsid w:val="0058107C"/>
    <w:rsid w:val="00581109"/>
    <w:rsid w:val="0058124A"/>
    <w:rsid w:val="00581261"/>
    <w:rsid w:val="005812A2"/>
    <w:rsid w:val="0058137A"/>
    <w:rsid w:val="0058137E"/>
    <w:rsid w:val="0058144B"/>
    <w:rsid w:val="005815C3"/>
    <w:rsid w:val="00581645"/>
    <w:rsid w:val="005817D8"/>
    <w:rsid w:val="00581899"/>
    <w:rsid w:val="005818C0"/>
    <w:rsid w:val="005819A7"/>
    <w:rsid w:val="005819DA"/>
    <w:rsid w:val="00581ADB"/>
    <w:rsid w:val="00581AE2"/>
    <w:rsid w:val="00581B82"/>
    <w:rsid w:val="00581C13"/>
    <w:rsid w:val="00581C57"/>
    <w:rsid w:val="00581DD2"/>
    <w:rsid w:val="00581E0F"/>
    <w:rsid w:val="00581F8E"/>
    <w:rsid w:val="00581FBB"/>
    <w:rsid w:val="00582096"/>
    <w:rsid w:val="00582120"/>
    <w:rsid w:val="005821C9"/>
    <w:rsid w:val="005822EF"/>
    <w:rsid w:val="0058230D"/>
    <w:rsid w:val="0058239F"/>
    <w:rsid w:val="00582502"/>
    <w:rsid w:val="00582532"/>
    <w:rsid w:val="00582565"/>
    <w:rsid w:val="0058266F"/>
    <w:rsid w:val="0058272B"/>
    <w:rsid w:val="005828C4"/>
    <w:rsid w:val="00582A77"/>
    <w:rsid w:val="00582AB1"/>
    <w:rsid w:val="00582AE8"/>
    <w:rsid w:val="00582C03"/>
    <w:rsid w:val="00582C1C"/>
    <w:rsid w:val="00582C8B"/>
    <w:rsid w:val="00582DF3"/>
    <w:rsid w:val="00582EEB"/>
    <w:rsid w:val="00582F04"/>
    <w:rsid w:val="005830BF"/>
    <w:rsid w:val="005830C4"/>
    <w:rsid w:val="005831DB"/>
    <w:rsid w:val="005833A8"/>
    <w:rsid w:val="005833C1"/>
    <w:rsid w:val="0058349C"/>
    <w:rsid w:val="005834CF"/>
    <w:rsid w:val="0058353F"/>
    <w:rsid w:val="00583611"/>
    <w:rsid w:val="005837F7"/>
    <w:rsid w:val="0058392C"/>
    <w:rsid w:val="0058394B"/>
    <w:rsid w:val="00583955"/>
    <w:rsid w:val="005839C4"/>
    <w:rsid w:val="00583B11"/>
    <w:rsid w:val="00583CB0"/>
    <w:rsid w:val="00583CBE"/>
    <w:rsid w:val="00583CCB"/>
    <w:rsid w:val="00583D69"/>
    <w:rsid w:val="00583D98"/>
    <w:rsid w:val="00583E0F"/>
    <w:rsid w:val="00583E8D"/>
    <w:rsid w:val="00583EF8"/>
    <w:rsid w:val="00584084"/>
    <w:rsid w:val="00584120"/>
    <w:rsid w:val="00584242"/>
    <w:rsid w:val="00584275"/>
    <w:rsid w:val="00584290"/>
    <w:rsid w:val="0058430C"/>
    <w:rsid w:val="005843E9"/>
    <w:rsid w:val="0058446C"/>
    <w:rsid w:val="005844EF"/>
    <w:rsid w:val="005847EE"/>
    <w:rsid w:val="00584A37"/>
    <w:rsid w:val="00584B07"/>
    <w:rsid w:val="00584B19"/>
    <w:rsid w:val="00584D49"/>
    <w:rsid w:val="00584E26"/>
    <w:rsid w:val="00584E65"/>
    <w:rsid w:val="00584EE3"/>
    <w:rsid w:val="00584FFF"/>
    <w:rsid w:val="005850BA"/>
    <w:rsid w:val="005851A2"/>
    <w:rsid w:val="005851C3"/>
    <w:rsid w:val="005851C7"/>
    <w:rsid w:val="005852E4"/>
    <w:rsid w:val="005852EA"/>
    <w:rsid w:val="005852F4"/>
    <w:rsid w:val="005854C0"/>
    <w:rsid w:val="0058551F"/>
    <w:rsid w:val="005855A6"/>
    <w:rsid w:val="00585647"/>
    <w:rsid w:val="0058568F"/>
    <w:rsid w:val="005856C0"/>
    <w:rsid w:val="005858A7"/>
    <w:rsid w:val="005858AB"/>
    <w:rsid w:val="00585906"/>
    <w:rsid w:val="005859AE"/>
    <w:rsid w:val="00585A5C"/>
    <w:rsid w:val="00585A71"/>
    <w:rsid w:val="00585B60"/>
    <w:rsid w:val="00585B6C"/>
    <w:rsid w:val="00585C12"/>
    <w:rsid w:val="00585D1E"/>
    <w:rsid w:val="00585D31"/>
    <w:rsid w:val="00585EDD"/>
    <w:rsid w:val="00586172"/>
    <w:rsid w:val="005861D6"/>
    <w:rsid w:val="00586249"/>
    <w:rsid w:val="00586373"/>
    <w:rsid w:val="0058637F"/>
    <w:rsid w:val="005863A2"/>
    <w:rsid w:val="0058647B"/>
    <w:rsid w:val="00586590"/>
    <w:rsid w:val="00586627"/>
    <w:rsid w:val="00586644"/>
    <w:rsid w:val="00586686"/>
    <w:rsid w:val="0058683F"/>
    <w:rsid w:val="0058686B"/>
    <w:rsid w:val="00586884"/>
    <w:rsid w:val="00586916"/>
    <w:rsid w:val="005869F6"/>
    <w:rsid w:val="00586A4F"/>
    <w:rsid w:val="00586AA3"/>
    <w:rsid w:val="00586AF8"/>
    <w:rsid w:val="00586C2D"/>
    <w:rsid w:val="00586C41"/>
    <w:rsid w:val="00586CC7"/>
    <w:rsid w:val="00586D07"/>
    <w:rsid w:val="00586D88"/>
    <w:rsid w:val="00586E58"/>
    <w:rsid w:val="00586F3A"/>
    <w:rsid w:val="00587135"/>
    <w:rsid w:val="00587245"/>
    <w:rsid w:val="00587446"/>
    <w:rsid w:val="00587830"/>
    <w:rsid w:val="00587920"/>
    <w:rsid w:val="0058796D"/>
    <w:rsid w:val="00587A42"/>
    <w:rsid w:val="00587B91"/>
    <w:rsid w:val="00587C44"/>
    <w:rsid w:val="00587CCE"/>
    <w:rsid w:val="00587DD5"/>
    <w:rsid w:val="00587DE3"/>
    <w:rsid w:val="00587E7A"/>
    <w:rsid w:val="00587ED0"/>
    <w:rsid w:val="00587F76"/>
    <w:rsid w:val="00590005"/>
    <w:rsid w:val="0059020C"/>
    <w:rsid w:val="00590372"/>
    <w:rsid w:val="00590612"/>
    <w:rsid w:val="005906BD"/>
    <w:rsid w:val="005906C4"/>
    <w:rsid w:val="00590706"/>
    <w:rsid w:val="00590804"/>
    <w:rsid w:val="0059082E"/>
    <w:rsid w:val="0059089F"/>
    <w:rsid w:val="00590935"/>
    <w:rsid w:val="00590BCA"/>
    <w:rsid w:val="00590EBA"/>
    <w:rsid w:val="00590F95"/>
    <w:rsid w:val="0059104D"/>
    <w:rsid w:val="00591064"/>
    <w:rsid w:val="00591099"/>
    <w:rsid w:val="005910E3"/>
    <w:rsid w:val="005910F0"/>
    <w:rsid w:val="005911B7"/>
    <w:rsid w:val="005911EC"/>
    <w:rsid w:val="0059127F"/>
    <w:rsid w:val="005913EE"/>
    <w:rsid w:val="00591439"/>
    <w:rsid w:val="00591455"/>
    <w:rsid w:val="005915B2"/>
    <w:rsid w:val="0059167B"/>
    <w:rsid w:val="005916C1"/>
    <w:rsid w:val="0059178E"/>
    <w:rsid w:val="00591849"/>
    <w:rsid w:val="00591A1F"/>
    <w:rsid w:val="00591A78"/>
    <w:rsid w:val="00591C3A"/>
    <w:rsid w:val="00591C4E"/>
    <w:rsid w:val="00591DDF"/>
    <w:rsid w:val="00591ED8"/>
    <w:rsid w:val="00591FB3"/>
    <w:rsid w:val="00591FFC"/>
    <w:rsid w:val="00592032"/>
    <w:rsid w:val="0059208B"/>
    <w:rsid w:val="00592164"/>
    <w:rsid w:val="00592213"/>
    <w:rsid w:val="00592268"/>
    <w:rsid w:val="0059251D"/>
    <w:rsid w:val="005926DC"/>
    <w:rsid w:val="0059270F"/>
    <w:rsid w:val="005929AA"/>
    <w:rsid w:val="00592A49"/>
    <w:rsid w:val="00592BA1"/>
    <w:rsid w:val="00592C9D"/>
    <w:rsid w:val="00592CB3"/>
    <w:rsid w:val="00592CE2"/>
    <w:rsid w:val="00592CEE"/>
    <w:rsid w:val="00592D01"/>
    <w:rsid w:val="00592DF4"/>
    <w:rsid w:val="00592FE8"/>
    <w:rsid w:val="0059308D"/>
    <w:rsid w:val="005931F9"/>
    <w:rsid w:val="00593291"/>
    <w:rsid w:val="00593353"/>
    <w:rsid w:val="005933C2"/>
    <w:rsid w:val="0059353D"/>
    <w:rsid w:val="00593576"/>
    <w:rsid w:val="00593578"/>
    <w:rsid w:val="005936B2"/>
    <w:rsid w:val="005937CD"/>
    <w:rsid w:val="00593820"/>
    <w:rsid w:val="00593842"/>
    <w:rsid w:val="0059394D"/>
    <w:rsid w:val="0059399C"/>
    <w:rsid w:val="00593A17"/>
    <w:rsid w:val="00593B72"/>
    <w:rsid w:val="00593CD0"/>
    <w:rsid w:val="00593E7F"/>
    <w:rsid w:val="00593F04"/>
    <w:rsid w:val="005940CE"/>
    <w:rsid w:val="0059424D"/>
    <w:rsid w:val="0059426B"/>
    <w:rsid w:val="005943C1"/>
    <w:rsid w:val="00594408"/>
    <w:rsid w:val="0059440B"/>
    <w:rsid w:val="005945CF"/>
    <w:rsid w:val="0059478B"/>
    <w:rsid w:val="005947DD"/>
    <w:rsid w:val="005948B6"/>
    <w:rsid w:val="00594947"/>
    <w:rsid w:val="00594949"/>
    <w:rsid w:val="00594960"/>
    <w:rsid w:val="0059498E"/>
    <w:rsid w:val="00594A8C"/>
    <w:rsid w:val="00594ACE"/>
    <w:rsid w:val="00594B4F"/>
    <w:rsid w:val="00594B7E"/>
    <w:rsid w:val="00594BC1"/>
    <w:rsid w:val="00594BD9"/>
    <w:rsid w:val="00594CCF"/>
    <w:rsid w:val="00594F4C"/>
    <w:rsid w:val="00594FC9"/>
    <w:rsid w:val="00595028"/>
    <w:rsid w:val="00595040"/>
    <w:rsid w:val="00595067"/>
    <w:rsid w:val="005950D9"/>
    <w:rsid w:val="00595158"/>
    <w:rsid w:val="005951AA"/>
    <w:rsid w:val="00595343"/>
    <w:rsid w:val="00595461"/>
    <w:rsid w:val="005954F6"/>
    <w:rsid w:val="00595538"/>
    <w:rsid w:val="00595610"/>
    <w:rsid w:val="0059571C"/>
    <w:rsid w:val="00595997"/>
    <w:rsid w:val="00595A89"/>
    <w:rsid w:val="00595B6D"/>
    <w:rsid w:val="00595BD3"/>
    <w:rsid w:val="00595C41"/>
    <w:rsid w:val="00595EFD"/>
    <w:rsid w:val="00596077"/>
    <w:rsid w:val="005960D4"/>
    <w:rsid w:val="005960D9"/>
    <w:rsid w:val="005961E7"/>
    <w:rsid w:val="00596294"/>
    <w:rsid w:val="0059629A"/>
    <w:rsid w:val="005962A6"/>
    <w:rsid w:val="00596619"/>
    <w:rsid w:val="005966D2"/>
    <w:rsid w:val="00596708"/>
    <w:rsid w:val="00596792"/>
    <w:rsid w:val="00596AAA"/>
    <w:rsid w:val="00596B7F"/>
    <w:rsid w:val="00596CB4"/>
    <w:rsid w:val="00596D34"/>
    <w:rsid w:val="00596D91"/>
    <w:rsid w:val="00596F21"/>
    <w:rsid w:val="0059701C"/>
    <w:rsid w:val="0059717F"/>
    <w:rsid w:val="00597250"/>
    <w:rsid w:val="005973BB"/>
    <w:rsid w:val="0059748A"/>
    <w:rsid w:val="00597748"/>
    <w:rsid w:val="00597759"/>
    <w:rsid w:val="005977F4"/>
    <w:rsid w:val="00597A37"/>
    <w:rsid w:val="00597AB4"/>
    <w:rsid w:val="00597AD0"/>
    <w:rsid w:val="00597B3E"/>
    <w:rsid w:val="00597BD9"/>
    <w:rsid w:val="00597C0B"/>
    <w:rsid w:val="00597D4E"/>
    <w:rsid w:val="00597DE4"/>
    <w:rsid w:val="00597E93"/>
    <w:rsid w:val="00597EC1"/>
    <w:rsid w:val="00597F77"/>
    <w:rsid w:val="005A004E"/>
    <w:rsid w:val="005A0094"/>
    <w:rsid w:val="005A00A6"/>
    <w:rsid w:val="005A01A8"/>
    <w:rsid w:val="005A01C2"/>
    <w:rsid w:val="005A0259"/>
    <w:rsid w:val="005A028B"/>
    <w:rsid w:val="005A02E2"/>
    <w:rsid w:val="005A0392"/>
    <w:rsid w:val="005A03F6"/>
    <w:rsid w:val="005A057B"/>
    <w:rsid w:val="005A060F"/>
    <w:rsid w:val="005A062F"/>
    <w:rsid w:val="005A06EC"/>
    <w:rsid w:val="005A07A4"/>
    <w:rsid w:val="005A0859"/>
    <w:rsid w:val="005A0A44"/>
    <w:rsid w:val="005A0A7D"/>
    <w:rsid w:val="005A0A94"/>
    <w:rsid w:val="005A0B32"/>
    <w:rsid w:val="005A0C78"/>
    <w:rsid w:val="005A0CF7"/>
    <w:rsid w:val="005A0DAB"/>
    <w:rsid w:val="005A0DD4"/>
    <w:rsid w:val="005A0EC2"/>
    <w:rsid w:val="005A0F4E"/>
    <w:rsid w:val="005A10FD"/>
    <w:rsid w:val="005A110F"/>
    <w:rsid w:val="005A117C"/>
    <w:rsid w:val="005A1272"/>
    <w:rsid w:val="005A1390"/>
    <w:rsid w:val="005A13D3"/>
    <w:rsid w:val="005A146F"/>
    <w:rsid w:val="005A148B"/>
    <w:rsid w:val="005A14B6"/>
    <w:rsid w:val="005A15F0"/>
    <w:rsid w:val="005A161C"/>
    <w:rsid w:val="005A1643"/>
    <w:rsid w:val="005A166F"/>
    <w:rsid w:val="005A167C"/>
    <w:rsid w:val="005A1870"/>
    <w:rsid w:val="005A18BA"/>
    <w:rsid w:val="005A18E3"/>
    <w:rsid w:val="005A1912"/>
    <w:rsid w:val="005A197A"/>
    <w:rsid w:val="005A19DB"/>
    <w:rsid w:val="005A1A55"/>
    <w:rsid w:val="005A1A59"/>
    <w:rsid w:val="005A1BD2"/>
    <w:rsid w:val="005A1BDB"/>
    <w:rsid w:val="005A1C97"/>
    <w:rsid w:val="005A1CDC"/>
    <w:rsid w:val="005A21B3"/>
    <w:rsid w:val="005A231C"/>
    <w:rsid w:val="005A235D"/>
    <w:rsid w:val="005A23F5"/>
    <w:rsid w:val="005A26BC"/>
    <w:rsid w:val="005A2802"/>
    <w:rsid w:val="005A2820"/>
    <w:rsid w:val="005A283B"/>
    <w:rsid w:val="005A28C0"/>
    <w:rsid w:val="005A28C8"/>
    <w:rsid w:val="005A29D0"/>
    <w:rsid w:val="005A2AB3"/>
    <w:rsid w:val="005A2CC3"/>
    <w:rsid w:val="005A2F50"/>
    <w:rsid w:val="005A2F52"/>
    <w:rsid w:val="005A2F58"/>
    <w:rsid w:val="005A2FB7"/>
    <w:rsid w:val="005A2FE6"/>
    <w:rsid w:val="005A30CC"/>
    <w:rsid w:val="005A3163"/>
    <w:rsid w:val="005A318D"/>
    <w:rsid w:val="005A3206"/>
    <w:rsid w:val="005A3292"/>
    <w:rsid w:val="005A32B7"/>
    <w:rsid w:val="005A32E7"/>
    <w:rsid w:val="005A3311"/>
    <w:rsid w:val="005A3378"/>
    <w:rsid w:val="005A33D9"/>
    <w:rsid w:val="005A33E9"/>
    <w:rsid w:val="005A34B7"/>
    <w:rsid w:val="005A353F"/>
    <w:rsid w:val="005A36ED"/>
    <w:rsid w:val="005A3750"/>
    <w:rsid w:val="005A3799"/>
    <w:rsid w:val="005A37EB"/>
    <w:rsid w:val="005A38B0"/>
    <w:rsid w:val="005A398E"/>
    <w:rsid w:val="005A39E0"/>
    <w:rsid w:val="005A3A97"/>
    <w:rsid w:val="005A3AD5"/>
    <w:rsid w:val="005A3C81"/>
    <w:rsid w:val="005A3EBD"/>
    <w:rsid w:val="005A3F1A"/>
    <w:rsid w:val="005A4074"/>
    <w:rsid w:val="005A4109"/>
    <w:rsid w:val="005A424C"/>
    <w:rsid w:val="005A42EF"/>
    <w:rsid w:val="005A4420"/>
    <w:rsid w:val="005A44AA"/>
    <w:rsid w:val="005A4649"/>
    <w:rsid w:val="005A46FE"/>
    <w:rsid w:val="005A487F"/>
    <w:rsid w:val="005A4995"/>
    <w:rsid w:val="005A4B0B"/>
    <w:rsid w:val="005A4BB4"/>
    <w:rsid w:val="005A4E0E"/>
    <w:rsid w:val="005A4EF2"/>
    <w:rsid w:val="005A4F9C"/>
    <w:rsid w:val="005A532A"/>
    <w:rsid w:val="005A5348"/>
    <w:rsid w:val="005A5442"/>
    <w:rsid w:val="005A54B1"/>
    <w:rsid w:val="005A54E8"/>
    <w:rsid w:val="005A560E"/>
    <w:rsid w:val="005A562A"/>
    <w:rsid w:val="005A570A"/>
    <w:rsid w:val="005A5723"/>
    <w:rsid w:val="005A579F"/>
    <w:rsid w:val="005A5809"/>
    <w:rsid w:val="005A585D"/>
    <w:rsid w:val="005A591B"/>
    <w:rsid w:val="005A5A12"/>
    <w:rsid w:val="005A5B14"/>
    <w:rsid w:val="005A5B20"/>
    <w:rsid w:val="005A5B48"/>
    <w:rsid w:val="005A5BCD"/>
    <w:rsid w:val="005A5E5E"/>
    <w:rsid w:val="005A5E5F"/>
    <w:rsid w:val="005A5EA4"/>
    <w:rsid w:val="005A5F82"/>
    <w:rsid w:val="005A6063"/>
    <w:rsid w:val="005A60C2"/>
    <w:rsid w:val="005A6118"/>
    <w:rsid w:val="005A61E0"/>
    <w:rsid w:val="005A6220"/>
    <w:rsid w:val="005A6246"/>
    <w:rsid w:val="005A6343"/>
    <w:rsid w:val="005A63AC"/>
    <w:rsid w:val="005A63CC"/>
    <w:rsid w:val="005A6447"/>
    <w:rsid w:val="005A648C"/>
    <w:rsid w:val="005A6521"/>
    <w:rsid w:val="005A6538"/>
    <w:rsid w:val="005A6551"/>
    <w:rsid w:val="005A6645"/>
    <w:rsid w:val="005A6784"/>
    <w:rsid w:val="005A67A3"/>
    <w:rsid w:val="005A67AD"/>
    <w:rsid w:val="005A67DE"/>
    <w:rsid w:val="005A6A14"/>
    <w:rsid w:val="005A6ACD"/>
    <w:rsid w:val="005A6C08"/>
    <w:rsid w:val="005A6C27"/>
    <w:rsid w:val="005A6DD9"/>
    <w:rsid w:val="005A6DDB"/>
    <w:rsid w:val="005A6E0B"/>
    <w:rsid w:val="005A6F6F"/>
    <w:rsid w:val="005A7193"/>
    <w:rsid w:val="005A7221"/>
    <w:rsid w:val="005A7391"/>
    <w:rsid w:val="005A740E"/>
    <w:rsid w:val="005A74E8"/>
    <w:rsid w:val="005A7501"/>
    <w:rsid w:val="005A7644"/>
    <w:rsid w:val="005A7680"/>
    <w:rsid w:val="005A77B4"/>
    <w:rsid w:val="005A7837"/>
    <w:rsid w:val="005A7AC6"/>
    <w:rsid w:val="005A7B7C"/>
    <w:rsid w:val="005A7B9F"/>
    <w:rsid w:val="005A7C4D"/>
    <w:rsid w:val="005A7D8D"/>
    <w:rsid w:val="005A7DE6"/>
    <w:rsid w:val="005A7ED5"/>
    <w:rsid w:val="005B0069"/>
    <w:rsid w:val="005B0078"/>
    <w:rsid w:val="005B0497"/>
    <w:rsid w:val="005B0693"/>
    <w:rsid w:val="005B0758"/>
    <w:rsid w:val="005B08B3"/>
    <w:rsid w:val="005B0BE1"/>
    <w:rsid w:val="005B0C1E"/>
    <w:rsid w:val="005B0C4D"/>
    <w:rsid w:val="005B0C4F"/>
    <w:rsid w:val="005B0C50"/>
    <w:rsid w:val="005B0C7A"/>
    <w:rsid w:val="005B0CCA"/>
    <w:rsid w:val="005B0DA8"/>
    <w:rsid w:val="005B0E87"/>
    <w:rsid w:val="005B1016"/>
    <w:rsid w:val="005B122A"/>
    <w:rsid w:val="005B1255"/>
    <w:rsid w:val="005B12CE"/>
    <w:rsid w:val="005B1322"/>
    <w:rsid w:val="005B1344"/>
    <w:rsid w:val="005B1447"/>
    <w:rsid w:val="005B146F"/>
    <w:rsid w:val="005B14D1"/>
    <w:rsid w:val="005B14F8"/>
    <w:rsid w:val="005B1553"/>
    <w:rsid w:val="005B1586"/>
    <w:rsid w:val="005B15FC"/>
    <w:rsid w:val="005B164D"/>
    <w:rsid w:val="005B164E"/>
    <w:rsid w:val="005B16C8"/>
    <w:rsid w:val="005B1924"/>
    <w:rsid w:val="005B198D"/>
    <w:rsid w:val="005B1A6B"/>
    <w:rsid w:val="005B1A72"/>
    <w:rsid w:val="005B1AE2"/>
    <w:rsid w:val="005B1BF7"/>
    <w:rsid w:val="005B1C41"/>
    <w:rsid w:val="005B1CCC"/>
    <w:rsid w:val="005B1CDA"/>
    <w:rsid w:val="005B1D48"/>
    <w:rsid w:val="005B1E99"/>
    <w:rsid w:val="005B1F94"/>
    <w:rsid w:val="005B204F"/>
    <w:rsid w:val="005B2068"/>
    <w:rsid w:val="005B209D"/>
    <w:rsid w:val="005B216A"/>
    <w:rsid w:val="005B21BA"/>
    <w:rsid w:val="005B21E3"/>
    <w:rsid w:val="005B21EF"/>
    <w:rsid w:val="005B232F"/>
    <w:rsid w:val="005B255B"/>
    <w:rsid w:val="005B26D1"/>
    <w:rsid w:val="005B276E"/>
    <w:rsid w:val="005B282F"/>
    <w:rsid w:val="005B29C3"/>
    <w:rsid w:val="005B2A16"/>
    <w:rsid w:val="005B2A2D"/>
    <w:rsid w:val="005B2A3A"/>
    <w:rsid w:val="005B2B50"/>
    <w:rsid w:val="005B2C29"/>
    <w:rsid w:val="005B3000"/>
    <w:rsid w:val="005B3087"/>
    <w:rsid w:val="005B308D"/>
    <w:rsid w:val="005B3123"/>
    <w:rsid w:val="005B3168"/>
    <w:rsid w:val="005B3178"/>
    <w:rsid w:val="005B3187"/>
    <w:rsid w:val="005B31B1"/>
    <w:rsid w:val="005B329B"/>
    <w:rsid w:val="005B3387"/>
    <w:rsid w:val="005B35D8"/>
    <w:rsid w:val="005B3690"/>
    <w:rsid w:val="005B3733"/>
    <w:rsid w:val="005B3A82"/>
    <w:rsid w:val="005B3ABD"/>
    <w:rsid w:val="005B3B59"/>
    <w:rsid w:val="005B3BCA"/>
    <w:rsid w:val="005B3BD4"/>
    <w:rsid w:val="005B3C2D"/>
    <w:rsid w:val="005B3C6F"/>
    <w:rsid w:val="005B3C7F"/>
    <w:rsid w:val="005B4079"/>
    <w:rsid w:val="005B4094"/>
    <w:rsid w:val="005B413B"/>
    <w:rsid w:val="005B42CE"/>
    <w:rsid w:val="005B42F6"/>
    <w:rsid w:val="005B4414"/>
    <w:rsid w:val="005B45B3"/>
    <w:rsid w:val="005B471D"/>
    <w:rsid w:val="005B474A"/>
    <w:rsid w:val="005B47E5"/>
    <w:rsid w:val="005B492C"/>
    <w:rsid w:val="005B49C7"/>
    <w:rsid w:val="005B4B6F"/>
    <w:rsid w:val="005B4D03"/>
    <w:rsid w:val="005B4DB2"/>
    <w:rsid w:val="005B511C"/>
    <w:rsid w:val="005B52BE"/>
    <w:rsid w:val="005B567F"/>
    <w:rsid w:val="005B56FB"/>
    <w:rsid w:val="005B5798"/>
    <w:rsid w:val="005B57DF"/>
    <w:rsid w:val="005B5806"/>
    <w:rsid w:val="005B5902"/>
    <w:rsid w:val="005B59EC"/>
    <w:rsid w:val="005B5C5D"/>
    <w:rsid w:val="005B5C8E"/>
    <w:rsid w:val="005B5DBA"/>
    <w:rsid w:val="005B5DFA"/>
    <w:rsid w:val="005B5E5E"/>
    <w:rsid w:val="005B5F06"/>
    <w:rsid w:val="005B5FE2"/>
    <w:rsid w:val="005B6026"/>
    <w:rsid w:val="005B6085"/>
    <w:rsid w:val="005B60D3"/>
    <w:rsid w:val="005B611C"/>
    <w:rsid w:val="005B6139"/>
    <w:rsid w:val="005B619F"/>
    <w:rsid w:val="005B6272"/>
    <w:rsid w:val="005B6340"/>
    <w:rsid w:val="005B6359"/>
    <w:rsid w:val="005B63A0"/>
    <w:rsid w:val="005B6627"/>
    <w:rsid w:val="005B66FF"/>
    <w:rsid w:val="005B6793"/>
    <w:rsid w:val="005B6928"/>
    <w:rsid w:val="005B6A57"/>
    <w:rsid w:val="005B6B70"/>
    <w:rsid w:val="005B6CCD"/>
    <w:rsid w:val="005B6D80"/>
    <w:rsid w:val="005B6DBE"/>
    <w:rsid w:val="005B6E40"/>
    <w:rsid w:val="005B6E5E"/>
    <w:rsid w:val="005B6E9C"/>
    <w:rsid w:val="005B6EAD"/>
    <w:rsid w:val="005B6FAB"/>
    <w:rsid w:val="005B6FF7"/>
    <w:rsid w:val="005B70C0"/>
    <w:rsid w:val="005B70D7"/>
    <w:rsid w:val="005B7127"/>
    <w:rsid w:val="005B7174"/>
    <w:rsid w:val="005B718F"/>
    <w:rsid w:val="005B719D"/>
    <w:rsid w:val="005B71AD"/>
    <w:rsid w:val="005B71D7"/>
    <w:rsid w:val="005B720B"/>
    <w:rsid w:val="005B726A"/>
    <w:rsid w:val="005B72FC"/>
    <w:rsid w:val="005B7374"/>
    <w:rsid w:val="005B7685"/>
    <w:rsid w:val="005B76FF"/>
    <w:rsid w:val="005B772F"/>
    <w:rsid w:val="005B7867"/>
    <w:rsid w:val="005B7923"/>
    <w:rsid w:val="005B7A7E"/>
    <w:rsid w:val="005B7A9D"/>
    <w:rsid w:val="005B7B81"/>
    <w:rsid w:val="005B7BFE"/>
    <w:rsid w:val="005B7C1C"/>
    <w:rsid w:val="005B7CF9"/>
    <w:rsid w:val="005B7F7C"/>
    <w:rsid w:val="005B7FAD"/>
    <w:rsid w:val="005B7FB4"/>
    <w:rsid w:val="005C01A4"/>
    <w:rsid w:val="005C030F"/>
    <w:rsid w:val="005C0376"/>
    <w:rsid w:val="005C0584"/>
    <w:rsid w:val="005C05FA"/>
    <w:rsid w:val="005C06C9"/>
    <w:rsid w:val="005C0767"/>
    <w:rsid w:val="005C07ED"/>
    <w:rsid w:val="005C0877"/>
    <w:rsid w:val="005C08BE"/>
    <w:rsid w:val="005C08D5"/>
    <w:rsid w:val="005C08EE"/>
    <w:rsid w:val="005C0A08"/>
    <w:rsid w:val="005C0A1D"/>
    <w:rsid w:val="005C0AEE"/>
    <w:rsid w:val="005C0B13"/>
    <w:rsid w:val="005C0B9E"/>
    <w:rsid w:val="005C0C8A"/>
    <w:rsid w:val="005C0ECD"/>
    <w:rsid w:val="005C0EE3"/>
    <w:rsid w:val="005C1072"/>
    <w:rsid w:val="005C1120"/>
    <w:rsid w:val="005C11D1"/>
    <w:rsid w:val="005C1250"/>
    <w:rsid w:val="005C1286"/>
    <w:rsid w:val="005C12E8"/>
    <w:rsid w:val="005C1352"/>
    <w:rsid w:val="005C143D"/>
    <w:rsid w:val="005C1440"/>
    <w:rsid w:val="005C145C"/>
    <w:rsid w:val="005C1552"/>
    <w:rsid w:val="005C1555"/>
    <w:rsid w:val="005C1643"/>
    <w:rsid w:val="005C1706"/>
    <w:rsid w:val="005C17C1"/>
    <w:rsid w:val="005C17D2"/>
    <w:rsid w:val="005C1819"/>
    <w:rsid w:val="005C18B2"/>
    <w:rsid w:val="005C1A43"/>
    <w:rsid w:val="005C1A79"/>
    <w:rsid w:val="005C1BB3"/>
    <w:rsid w:val="005C1BB7"/>
    <w:rsid w:val="005C1BE3"/>
    <w:rsid w:val="005C1CE3"/>
    <w:rsid w:val="005C1CF6"/>
    <w:rsid w:val="005C1E63"/>
    <w:rsid w:val="005C1FB2"/>
    <w:rsid w:val="005C2059"/>
    <w:rsid w:val="005C21B2"/>
    <w:rsid w:val="005C2242"/>
    <w:rsid w:val="005C2283"/>
    <w:rsid w:val="005C2404"/>
    <w:rsid w:val="005C25D0"/>
    <w:rsid w:val="005C25D4"/>
    <w:rsid w:val="005C27AC"/>
    <w:rsid w:val="005C27E8"/>
    <w:rsid w:val="005C2917"/>
    <w:rsid w:val="005C2938"/>
    <w:rsid w:val="005C2A83"/>
    <w:rsid w:val="005C2C69"/>
    <w:rsid w:val="005C2C7B"/>
    <w:rsid w:val="005C2CA6"/>
    <w:rsid w:val="005C2D79"/>
    <w:rsid w:val="005C2D8B"/>
    <w:rsid w:val="005C2E02"/>
    <w:rsid w:val="005C31D2"/>
    <w:rsid w:val="005C3205"/>
    <w:rsid w:val="005C3207"/>
    <w:rsid w:val="005C3213"/>
    <w:rsid w:val="005C324D"/>
    <w:rsid w:val="005C32A5"/>
    <w:rsid w:val="005C32D9"/>
    <w:rsid w:val="005C332E"/>
    <w:rsid w:val="005C3461"/>
    <w:rsid w:val="005C356A"/>
    <w:rsid w:val="005C3678"/>
    <w:rsid w:val="005C3694"/>
    <w:rsid w:val="005C3768"/>
    <w:rsid w:val="005C37D1"/>
    <w:rsid w:val="005C3914"/>
    <w:rsid w:val="005C3A31"/>
    <w:rsid w:val="005C3B27"/>
    <w:rsid w:val="005C3B37"/>
    <w:rsid w:val="005C3BD6"/>
    <w:rsid w:val="005C3C7F"/>
    <w:rsid w:val="005C3D1F"/>
    <w:rsid w:val="005C3EB8"/>
    <w:rsid w:val="005C3ED3"/>
    <w:rsid w:val="005C4017"/>
    <w:rsid w:val="005C41E1"/>
    <w:rsid w:val="005C42FD"/>
    <w:rsid w:val="005C43FE"/>
    <w:rsid w:val="005C44A1"/>
    <w:rsid w:val="005C44FC"/>
    <w:rsid w:val="005C4505"/>
    <w:rsid w:val="005C4539"/>
    <w:rsid w:val="005C4542"/>
    <w:rsid w:val="005C463A"/>
    <w:rsid w:val="005C4653"/>
    <w:rsid w:val="005C4752"/>
    <w:rsid w:val="005C47D7"/>
    <w:rsid w:val="005C4AAB"/>
    <w:rsid w:val="005C4ADA"/>
    <w:rsid w:val="005C4BC8"/>
    <w:rsid w:val="005C4D45"/>
    <w:rsid w:val="005C4E29"/>
    <w:rsid w:val="005C523B"/>
    <w:rsid w:val="005C52D5"/>
    <w:rsid w:val="005C52F1"/>
    <w:rsid w:val="005C5394"/>
    <w:rsid w:val="005C5425"/>
    <w:rsid w:val="005C5517"/>
    <w:rsid w:val="005C559D"/>
    <w:rsid w:val="005C55ED"/>
    <w:rsid w:val="005C568F"/>
    <w:rsid w:val="005C5765"/>
    <w:rsid w:val="005C57D1"/>
    <w:rsid w:val="005C57FF"/>
    <w:rsid w:val="005C5831"/>
    <w:rsid w:val="005C58B7"/>
    <w:rsid w:val="005C58BD"/>
    <w:rsid w:val="005C599D"/>
    <w:rsid w:val="005C5B74"/>
    <w:rsid w:val="005C5C6D"/>
    <w:rsid w:val="005C5CA8"/>
    <w:rsid w:val="005C5CC8"/>
    <w:rsid w:val="005C5E15"/>
    <w:rsid w:val="005C5E79"/>
    <w:rsid w:val="005C5FA2"/>
    <w:rsid w:val="005C62EF"/>
    <w:rsid w:val="005C6372"/>
    <w:rsid w:val="005C63A0"/>
    <w:rsid w:val="005C6473"/>
    <w:rsid w:val="005C649A"/>
    <w:rsid w:val="005C64D9"/>
    <w:rsid w:val="005C650E"/>
    <w:rsid w:val="005C65CC"/>
    <w:rsid w:val="005C65D2"/>
    <w:rsid w:val="005C66B7"/>
    <w:rsid w:val="005C672E"/>
    <w:rsid w:val="005C674F"/>
    <w:rsid w:val="005C676E"/>
    <w:rsid w:val="005C6885"/>
    <w:rsid w:val="005C6D4E"/>
    <w:rsid w:val="005C6E08"/>
    <w:rsid w:val="005C6E2D"/>
    <w:rsid w:val="005C6E77"/>
    <w:rsid w:val="005C6ECA"/>
    <w:rsid w:val="005C7182"/>
    <w:rsid w:val="005C7220"/>
    <w:rsid w:val="005C722E"/>
    <w:rsid w:val="005C7334"/>
    <w:rsid w:val="005C7375"/>
    <w:rsid w:val="005C73A9"/>
    <w:rsid w:val="005C7524"/>
    <w:rsid w:val="005C7572"/>
    <w:rsid w:val="005C75D7"/>
    <w:rsid w:val="005C75EA"/>
    <w:rsid w:val="005C771E"/>
    <w:rsid w:val="005C775A"/>
    <w:rsid w:val="005C7773"/>
    <w:rsid w:val="005C7820"/>
    <w:rsid w:val="005C783D"/>
    <w:rsid w:val="005C78D0"/>
    <w:rsid w:val="005C7A86"/>
    <w:rsid w:val="005C7AF0"/>
    <w:rsid w:val="005C7C3A"/>
    <w:rsid w:val="005C7D5C"/>
    <w:rsid w:val="005C7D8C"/>
    <w:rsid w:val="005C7DE1"/>
    <w:rsid w:val="005C7DE4"/>
    <w:rsid w:val="005C7ED1"/>
    <w:rsid w:val="005C7FE1"/>
    <w:rsid w:val="005D017E"/>
    <w:rsid w:val="005D01BC"/>
    <w:rsid w:val="005D0217"/>
    <w:rsid w:val="005D0223"/>
    <w:rsid w:val="005D024D"/>
    <w:rsid w:val="005D0321"/>
    <w:rsid w:val="005D04C3"/>
    <w:rsid w:val="005D0664"/>
    <w:rsid w:val="005D0874"/>
    <w:rsid w:val="005D091D"/>
    <w:rsid w:val="005D0960"/>
    <w:rsid w:val="005D09CC"/>
    <w:rsid w:val="005D0BBA"/>
    <w:rsid w:val="005D0C33"/>
    <w:rsid w:val="005D0C70"/>
    <w:rsid w:val="005D0E42"/>
    <w:rsid w:val="005D0EE3"/>
    <w:rsid w:val="005D1265"/>
    <w:rsid w:val="005D12A9"/>
    <w:rsid w:val="005D150E"/>
    <w:rsid w:val="005D155D"/>
    <w:rsid w:val="005D1579"/>
    <w:rsid w:val="005D1580"/>
    <w:rsid w:val="005D1781"/>
    <w:rsid w:val="005D17CE"/>
    <w:rsid w:val="005D18E1"/>
    <w:rsid w:val="005D1937"/>
    <w:rsid w:val="005D1A2D"/>
    <w:rsid w:val="005D1C2D"/>
    <w:rsid w:val="005D1C47"/>
    <w:rsid w:val="005D1DC6"/>
    <w:rsid w:val="005D1DD1"/>
    <w:rsid w:val="005D2206"/>
    <w:rsid w:val="005D225F"/>
    <w:rsid w:val="005D227C"/>
    <w:rsid w:val="005D232E"/>
    <w:rsid w:val="005D23D7"/>
    <w:rsid w:val="005D2531"/>
    <w:rsid w:val="005D2559"/>
    <w:rsid w:val="005D2689"/>
    <w:rsid w:val="005D26A2"/>
    <w:rsid w:val="005D2940"/>
    <w:rsid w:val="005D2A34"/>
    <w:rsid w:val="005D2B18"/>
    <w:rsid w:val="005D2BB7"/>
    <w:rsid w:val="005D2BF8"/>
    <w:rsid w:val="005D2D84"/>
    <w:rsid w:val="005D2D88"/>
    <w:rsid w:val="005D2DA5"/>
    <w:rsid w:val="005D2E07"/>
    <w:rsid w:val="005D2ED8"/>
    <w:rsid w:val="005D2EE9"/>
    <w:rsid w:val="005D30BE"/>
    <w:rsid w:val="005D3162"/>
    <w:rsid w:val="005D32EB"/>
    <w:rsid w:val="005D331C"/>
    <w:rsid w:val="005D34EA"/>
    <w:rsid w:val="005D34EE"/>
    <w:rsid w:val="005D3641"/>
    <w:rsid w:val="005D36AC"/>
    <w:rsid w:val="005D3777"/>
    <w:rsid w:val="005D3790"/>
    <w:rsid w:val="005D37F0"/>
    <w:rsid w:val="005D38FC"/>
    <w:rsid w:val="005D395D"/>
    <w:rsid w:val="005D3A18"/>
    <w:rsid w:val="005D3A2D"/>
    <w:rsid w:val="005D3A3B"/>
    <w:rsid w:val="005D3A94"/>
    <w:rsid w:val="005D3E14"/>
    <w:rsid w:val="005D4185"/>
    <w:rsid w:val="005D43CB"/>
    <w:rsid w:val="005D4476"/>
    <w:rsid w:val="005D46C1"/>
    <w:rsid w:val="005D46F4"/>
    <w:rsid w:val="005D47B1"/>
    <w:rsid w:val="005D4803"/>
    <w:rsid w:val="005D49B8"/>
    <w:rsid w:val="005D4A3B"/>
    <w:rsid w:val="005D4B65"/>
    <w:rsid w:val="005D4BD1"/>
    <w:rsid w:val="005D4D89"/>
    <w:rsid w:val="005D4F39"/>
    <w:rsid w:val="005D506D"/>
    <w:rsid w:val="005D5136"/>
    <w:rsid w:val="005D51EF"/>
    <w:rsid w:val="005D5238"/>
    <w:rsid w:val="005D524B"/>
    <w:rsid w:val="005D5317"/>
    <w:rsid w:val="005D532C"/>
    <w:rsid w:val="005D5506"/>
    <w:rsid w:val="005D5534"/>
    <w:rsid w:val="005D5540"/>
    <w:rsid w:val="005D5701"/>
    <w:rsid w:val="005D572A"/>
    <w:rsid w:val="005D5881"/>
    <w:rsid w:val="005D5975"/>
    <w:rsid w:val="005D59C5"/>
    <w:rsid w:val="005D59E7"/>
    <w:rsid w:val="005D5B5B"/>
    <w:rsid w:val="005D5C4C"/>
    <w:rsid w:val="005D5CE8"/>
    <w:rsid w:val="005D5D04"/>
    <w:rsid w:val="005D5D09"/>
    <w:rsid w:val="005D6009"/>
    <w:rsid w:val="005D611F"/>
    <w:rsid w:val="005D6263"/>
    <w:rsid w:val="005D62CE"/>
    <w:rsid w:val="005D6494"/>
    <w:rsid w:val="005D64EA"/>
    <w:rsid w:val="005D6616"/>
    <w:rsid w:val="005D679B"/>
    <w:rsid w:val="005D67A8"/>
    <w:rsid w:val="005D69B6"/>
    <w:rsid w:val="005D6A09"/>
    <w:rsid w:val="005D6B73"/>
    <w:rsid w:val="005D6BC9"/>
    <w:rsid w:val="005D6D13"/>
    <w:rsid w:val="005D6D67"/>
    <w:rsid w:val="005D6DCE"/>
    <w:rsid w:val="005D6E01"/>
    <w:rsid w:val="005D6E0E"/>
    <w:rsid w:val="005D6F2B"/>
    <w:rsid w:val="005D6F3C"/>
    <w:rsid w:val="005D7041"/>
    <w:rsid w:val="005D70FE"/>
    <w:rsid w:val="005D722B"/>
    <w:rsid w:val="005D73EE"/>
    <w:rsid w:val="005D7506"/>
    <w:rsid w:val="005D7522"/>
    <w:rsid w:val="005D760C"/>
    <w:rsid w:val="005D7621"/>
    <w:rsid w:val="005D76D4"/>
    <w:rsid w:val="005D7712"/>
    <w:rsid w:val="005D78E6"/>
    <w:rsid w:val="005D78E7"/>
    <w:rsid w:val="005D791C"/>
    <w:rsid w:val="005D7980"/>
    <w:rsid w:val="005D79A5"/>
    <w:rsid w:val="005D7C08"/>
    <w:rsid w:val="005D7D08"/>
    <w:rsid w:val="005D7D8E"/>
    <w:rsid w:val="005D7E28"/>
    <w:rsid w:val="005D7F7B"/>
    <w:rsid w:val="005D7FE7"/>
    <w:rsid w:val="005E001E"/>
    <w:rsid w:val="005E00F9"/>
    <w:rsid w:val="005E01A9"/>
    <w:rsid w:val="005E02C7"/>
    <w:rsid w:val="005E02D2"/>
    <w:rsid w:val="005E037A"/>
    <w:rsid w:val="005E04C8"/>
    <w:rsid w:val="005E0707"/>
    <w:rsid w:val="005E0723"/>
    <w:rsid w:val="005E0750"/>
    <w:rsid w:val="005E078B"/>
    <w:rsid w:val="005E0B64"/>
    <w:rsid w:val="005E0C8E"/>
    <w:rsid w:val="005E0D6D"/>
    <w:rsid w:val="005E0DBE"/>
    <w:rsid w:val="005E0DCD"/>
    <w:rsid w:val="005E0E24"/>
    <w:rsid w:val="005E0FC7"/>
    <w:rsid w:val="005E1095"/>
    <w:rsid w:val="005E1277"/>
    <w:rsid w:val="005E132F"/>
    <w:rsid w:val="005E134F"/>
    <w:rsid w:val="005E1463"/>
    <w:rsid w:val="005E14C7"/>
    <w:rsid w:val="005E14E4"/>
    <w:rsid w:val="005E16FB"/>
    <w:rsid w:val="005E1738"/>
    <w:rsid w:val="005E17B8"/>
    <w:rsid w:val="005E1814"/>
    <w:rsid w:val="005E1822"/>
    <w:rsid w:val="005E1A01"/>
    <w:rsid w:val="005E1B5E"/>
    <w:rsid w:val="005E1B7C"/>
    <w:rsid w:val="005E1B94"/>
    <w:rsid w:val="005E1B98"/>
    <w:rsid w:val="005E1BCE"/>
    <w:rsid w:val="005E1BFC"/>
    <w:rsid w:val="005E1C14"/>
    <w:rsid w:val="005E1C22"/>
    <w:rsid w:val="005E1CAE"/>
    <w:rsid w:val="005E1D6D"/>
    <w:rsid w:val="005E1E4C"/>
    <w:rsid w:val="005E1E7A"/>
    <w:rsid w:val="005E1E7E"/>
    <w:rsid w:val="005E1EA8"/>
    <w:rsid w:val="005E1EAD"/>
    <w:rsid w:val="005E1F80"/>
    <w:rsid w:val="005E2084"/>
    <w:rsid w:val="005E21B0"/>
    <w:rsid w:val="005E225C"/>
    <w:rsid w:val="005E23B0"/>
    <w:rsid w:val="005E24BC"/>
    <w:rsid w:val="005E25BA"/>
    <w:rsid w:val="005E25BD"/>
    <w:rsid w:val="005E26AF"/>
    <w:rsid w:val="005E26E9"/>
    <w:rsid w:val="005E27A8"/>
    <w:rsid w:val="005E2854"/>
    <w:rsid w:val="005E2932"/>
    <w:rsid w:val="005E2A7B"/>
    <w:rsid w:val="005E2AB6"/>
    <w:rsid w:val="005E2C9F"/>
    <w:rsid w:val="005E2E42"/>
    <w:rsid w:val="005E2F3F"/>
    <w:rsid w:val="005E2F4E"/>
    <w:rsid w:val="005E2F8A"/>
    <w:rsid w:val="005E2FB5"/>
    <w:rsid w:val="005E3087"/>
    <w:rsid w:val="005E31D8"/>
    <w:rsid w:val="005E335A"/>
    <w:rsid w:val="005E3401"/>
    <w:rsid w:val="005E3405"/>
    <w:rsid w:val="005E34DC"/>
    <w:rsid w:val="005E3563"/>
    <w:rsid w:val="005E3583"/>
    <w:rsid w:val="005E3755"/>
    <w:rsid w:val="005E377B"/>
    <w:rsid w:val="005E379D"/>
    <w:rsid w:val="005E37E8"/>
    <w:rsid w:val="005E38FB"/>
    <w:rsid w:val="005E39CA"/>
    <w:rsid w:val="005E3AD1"/>
    <w:rsid w:val="005E3C87"/>
    <w:rsid w:val="005E3DB7"/>
    <w:rsid w:val="005E3DF8"/>
    <w:rsid w:val="005E3E75"/>
    <w:rsid w:val="005E3E7B"/>
    <w:rsid w:val="005E3EBF"/>
    <w:rsid w:val="005E3FF2"/>
    <w:rsid w:val="005E404B"/>
    <w:rsid w:val="005E404C"/>
    <w:rsid w:val="005E40DB"/>
    <w:rsid w:val="005E412F"/>
    <w:rsid w:val="005E41E5"/>
    <w:rsid w:val="005E43A3"/>
    <w:rsid w:val="005E443E"/>
    <w:rsid w:val="005E44A9"/>
    <w:rsid w:val="005E4520"/>
    <w:rsid w:val="005E4586"/>
    <w:rsid w:val="005E45E0"/>
    <w:rsid w:val="005E45E6"/>
    <w:rsid w:val="005E46CC"/>
    <w:rsid w:val="005E46CF"/>
    <w:rsid w:val="005E4742"/>
    <w:rsid w:val="005E4910"/>
    <w:rsid w:val="005E4958"/>
    <w:rsid w:val="005E4C0B"/>
    <w:rsid w:val="005E4DBC"/>
    <w:rsid w:val="005E4FEA"/>
    <w:rsid w:val="005E5003"/>
    <w:rsid w:val="005E5024"/>
    <w:rsid w:val="005E502B"/>
    <w:rsid w:val="005E512C"/>
    <w:rsid w:val="005E51AE"/>
    <w:rsid w:val="005E51CA"/>
    <w:rsid w:val="005E51D1"/>
    <w:rsid w:val="005E5263"/>
    <w:rsid w:val="005E52ED"/>
    <w:rsid w:val="005E5317"/>
    <w:rsid w:val="005E533E"/>
    <w:rsid w:val="005E54C8"/>
    <w:rsid w:val="005E5702"/>
    <w:rsid w:val="005E5732"/>
    <w:rsid w:val="005E57A3"/>
    <w:rsid w:val="005E57E9"/>
    <w:rsid w:val="005E57ED"/>
    <w:rsid w:val="005E5864"/>
    <w:rsid w:val="005E5887"/>
    <w:rsid w:val="005E58BC"/>
    <w:rsid w:val="005E5971"/>
    <w:rsid w:val="005E59DE"/>
    <w:rsid w:val="005E5A81"/>
    <w:rsid w:val="005E5B71"/>
    <w:rsid w:val="005E5B88"/>
    <w:rsid w:val="005E5EDA"/>
    <w:rsid w:val="005E5F0A"/>
    <w:rsid w:val="005E5F55"/>
    <w:rsid w:val="005E5FB1"/>
    <w:rsid w:val="005E5FEA"/>
    <w:rsid w:val="005E6024"/>
    <w:rsid w:val="005E6070"/>
    <w:rsid w:val="005E6078"/>
    <w:rsid w:val="005E60A6"/>
    <w:rsid w:val="005E60D4"/>
    <w:rsid w:val="005E61FB"/>
    <w:rsid w:val="005E62A0"/>
    <w:rsid w:val="005E6345"/>
    <w:rsid w:val="005E637E"/>
    <w:rsid w:val="005E64B2"/>
    <w:rsid w:val="005E652E"/>
    <w:rsid w:val="005E65A9"/>
    <w:rsid w:val="005E65B1"/>
    <w:rsid w:val="005E65E8"/>
    <w:rsid w:val="005E65FE"/>
    <w:rsid w:val="005E668A"/>
    <w:rsid w:val="005E67C6"/>
    <w:rsid w:val="005E6867"/>
    <w:rsid w:val="005E6889"/>
    <w:rsid w:val="005E6950"/>
    <w:rsid w:val="005E697D"/>
    <w:rsid w:val="005E6AE2"/>
    <w:rsid w:val="005E6C24"/>
    <w:rsid w:val="005E6C53"/>
    <w:rsid w:val="005E6C7C"/>
    <w:rsid w:val="005E6CE6"/>
    <w:rsid w:val="005E6F08"/>
    <w:rsid w:val="005E6F48"/>
    <w:rsid w:val="005E705A"/>
    <w:rsid w:val="005E7102"/>
    <w:rsid w:val="005E73D7"/>
    <w:rsid w:val="005E76BA"/>
    <w:rsid w:val="005E7721"/>
    <w:rsid w:val="005E782F"/>
    <w:rsid w:val="005E78E0"/>
    <w:rsid w:val="005E794B"/>
    <w:rsid w:val="005E7AD9"/>
    <w:rsid w:val="005E7B43"/>
    <w:rsid w:val="005E7CFD"/>
    <w:rsid w:val="005E7DE3"/>
    <w:rsid w:val="005E7E1A"/>
    <w:rsid w:val="005E7F4C"/>
    <w:rsid w:val="005F0030"/>
    <w:rsid w:val="005F006D"/>
    <w:rsid w:val="005F0217"/>
    <w:rsid w:val="005F023B"/>
    <w:rsid w:val="005F0255"/>
    <w:rsid w:val="005F02BB"/>
    <w:rsid w:val="005F03AF"/>
    <w:rsid w:val="005F043C"/>
    <w:rsid w:val="005F0477"/>
    <w:rsid w:val="005F060D"/>
    <w:rsid w:val="005F07C7"/>
    <w:rsid w:val="005F083E"/>
    <w:rsid w:val="005F09F1"/>
    <w:rsid w:val="005F0A10"/>
    <w:rsid w:val="005F0A8A"/>
    <w:rsid w:val="005F0A9A"/>
    <w:rsid w:val="005F0BBC"/>
    <w:rsid w:val="005F0BC8"/>
    <w:rsid w:val="005F0C50"/>
    <w:rsid w:val="005F0C52"/>
    <w:rsid w:val="005F0C6D"/>
    <w:rsid w:val="005F0CB0"/>
    <w:rsid w:val="005F0CD5"/>
    <w:rsid w:val="005F0D03"/>
    <w:rsid w:val="005F0DD3"/>
    <w:rsid w:val="005F0EAB"/>
    <w:rsid w:val="005F0EE1"/>
    <w:rsid w:val="005F0F7F"/>
    <w:rsid w:val="005F0F8B"/>
    <w:rsid w:val="005F0F9A"/>
    <w:rsid w:val="005F0FE2"/>
    <w:rsid w:val="005F1089"/>
    <w:rsid w:val="005F10C2"/>
    <w:rsid w:val="005F10CC"/>
    <w:rsid w:val="005F10DD"/>
    <w:rsid w:val="005F111C"/>
    <w:rsid w:val="005F120D"/>
    <w:rsid w:val="005F1279"/>
    <w:rsid w:val="005F127A"/>
    <w:rsid w:val="005F13F2"/>
    <w:rsid w:val="005F1471"/>
    <w:rsid w:val="005F1567"/>
    <w:rsid w:val="005F168F"/>
    <w:rsid w:val="005F1697"/>
    <w:rsid w:val="005F16C1"/>
    <w:rsid w:val="005F1757"/>
    <w:rsid w:val="005F17C9"/>
    <w:rsid w:val="005F199C"/>
    <w:rsid w:val="005F1AB0"/>
    <w:rsid w:val="005F1AE3"/>
    <w:rsid w:val="005F1C36"/>
    <w:rsid w:val="005F1C99"/>
    <w:rsid w:val="005F1EE7"/>
    <w:rsid w:val="005F1F81"/>
    <w:rsid w:val="005F209A"/>
    <w:rsid w:val="005F20C6"/>
    <w:rsid w:val="005F20E5"/>
    <w:rsid w:val="005F2138"/>
    <w:rsid w:val="005F2152"/>
    <w:rsid w:val="005F2381"/>
    <w:rsid w:val="005F238E"/>
    <w:rsid w:val="005F23AD"/>
    <w:rsid w:val="005F23C9"/>
    <w:rsid w:val="005F246F"/>
    <w:rsid w:val="005F252F"/>
    <w:rsid w:val="005F298F"/>
    <w:rsid w:val="005F2AD2"/>
    <w:rsid w:val="005F2C33"/>
    <w:rsid w:val="005F2CBA"/>
    <w:rsid w:val="005F2E55"/>
    <w:rsid w:val="005F2EB7"/>
    <w:rsid w:val="005F2EBB"/>
    <w:rsid w:val="005F2EBE"/>
    <w:rsid w:val="005F2ED7"/>
    <w:rsid w:val="005F2F87"/>
    <w:rsid w:val="005F2FDB"/>
    <w:rsid w:val="005F304C"/>
    <w:rsid w:val="005F3057"/>
    <w:rsid w:val="005F3112"/>
    <w:rsid w:val="005F3127"/>
    <w:rsid w:val="005F3133"/>
    <w:rsid w:val="005F3339"/>
    <w:rsid w:val="005F3383"/>
    <w:rsid w:val="005F3387"/>
    <w:rsid w:val="005F33F7"/>
    <w:rsid w:val="005F3494"/>
    <w:rsid w:val="005F34F0"/>
    <w:rsid w:val="005F353C"/>
    <w:rsid w:val="005F35DF"/>
    <w:rsid w:val="005F360C"/>
    <w:rsid w:val="005F370C"/>
    <w:rsid w:val="005F371E"/>
    <w:rsid w:val="005F3739"/>
    <w:rsid w:val="005F373A"/>
    <w:rsid w:val="005F37C4"/>
    <w:rsid w:val="005F382C"/>
    <w:rsid w:val="005F3871"/>
    <w:rsid w:val="005F38B6"/>
    <w:rsid w:val="005F399C"/>
    <w:rsid w:val="005F39A6"/>
    <w:rsid w:val="005F3A89"/>
    <w:rsid w:val="005F3D7A"/>
    <w:rsid w:val="005F3E7F"/>
    <w:rsid w:val="005F3FC8"/>
    <w:rsid w:val="005F3FF5"/>
    <w:rsid w:val="005F41A2"/>
    <w:rsid w:val="005F41E4"/>
    <w:rsid w:val="005F4430"/>
    <w:rsid w:val="005F44D4"/>
    <w:rsid w:val="005F45D6"/>
    <w:rsid w:val="005F45E1"/>
    <w:rsid w:val="005F46F3"/>
    <w:rsid w:val="005F4719"/>
    <w:rsid w:val="005F48C0"/>
    <w:rsid w:val="005F4A5B"/>
    <w:rsid w:val="005F4A7E"/>
    <w:rsid w:val="005F4C1F"/>
    <w:rsid w:val="005F4C3E"/>
    <w:rsid w:val="005F4CE1"/>
    <w:rsid w:val="005F4D84"/>
    <w:rsid w:val="005F4E3C"/>
    <w:rsid w:val="005F4FB0"/>
    <w:rsid w:val="005F4FDD"/>
    <w:rsid w:val="005F5001"/>
    <w:rsid w:val="005F500E"/>
    <w:rsid w:val="005F505A"/>
    <w:rsid w:val="005F50EE"/>
    <w:rsid w:val="005F5157"/>
    <w:rsid w:val="005F516E"/>
    <w:rsid w:val="005F51D9"/>
    <w:rsid w:val="005F51F3"/>
    <w:rsid w:val="005F5253"/>
    <w:rsid w:val="005F5312"/>
    <w:rsid w:val="005F536D"/>
    <w:rsid w:val="005F53AA"/>
    <w:rsid w:val="005F54DC"/>
    <w:rsid w:val="005F5542"/>
    <w:rsid w:val="005F5591"/>
    <w:rsid w:val="005F55F2"/>
    <w:rsid w:val="005F565A"/>
    <w:rsid w:val="005F58B7"/>
    <w:rsid w:val="005F59BE"/>
    <w:rsid w:val="005F5A76"/>
    <w:rsid w:val="005F5AA0"/>
    <w:rsid w:val="005F5ACA"/>
    <w:rsid w:val="005F5B2F"/>
    <w:rsid w:val="005F5BC5"/>
    <w:rsid w:val="005F5D5B"/>
    <w:rsid w:val="005F5EE4"/>
    <w:rsid w:val="005F5FB5"/>
    <w:rsid w:val="005F604F"/>
    <w:rsid w:val="005F6055"/>
    <w:rsid w:val="005F61C1"/>
    <w:rsid w:val="005F628A"/>
    <w:rsid w:val="005F6325"/>
    <w:rsid w:val="005F6398"/>
    <w:rsid w:val="005F644B"/>
    <w:rsid w:val="005F644D"/>
    <w:rsid w:val="005F65C6"/>
    <w:rsid w:val="005F6613"/>
    <w:rsid w:val="005F668B"/>
    <w:rsid w:val="005F6757"/>
    <w:rsid w:val="005F6775"/>
    <w:rsid w:val="005F67AD"/>
    <w:rsid w:val="005F682E"/>
    <w:rsid w:val="005F6847"/>
    <w:rsid w:val="005F6853"/>
    <w:rsid w:val="005F68B9"/>
    <w:rsid w:val="005F68C8"/>
    <w:rsid w:val="005F6937"/>
    <w:rsid w:val="005F69F3"/>
    <w:rsid w:val="005F6BCB"/>
    <w:rsid w:val="005F6F7C"/>
    <w:rsid w:val="005F6FE6"/>
    <w:rsid w:val="005F7211"/>
    <w:rsid w:val="005F733B"/>
    <w:rsid w:val="005F74F5"/>
    <w:rsid w:val="005F753D"/>
    <w:rsid w:val="005F759E"/>
    <w:rsid w:val="005F776F"/>
    <w:rsid w:val="005F7998"/>
    <w:rsid w:val="005F79E9"/>
    <w:rsid w:val="005F7A65"/>
    <w:rsid w:val="005F7B56"/>
    <w:rsid w:val="005F7B9D"/>
    <w:rsid w:val="005F7C51"/>
    <w:rsid w:val="005F7D36"/>
    <w:rsid w:val="005F7D37"/>
    <w:rsid w:val="005F7D67"/>
    <w:rsid w:val="006000CD"/>
    <w:rsid w:val="006001B3"/>
    <w:rsid w:val="006001DE"/>
    <w:rsid w:val="006002D0"/>
    <w:rsid w:val="0060030F"/>
    <w:rsid w:val="0060045D"/>
    <w:rsid w:val="00600463"/>
    <w:rsid w:val="00600508"/>
    <w:rsid w:val="0060081A"/>
    <w:rsid w:val="00600890"/>
    <w:rsid w:val="00600974"/>
    <w:rsid w:val="00600AE6"/>
    <w:rsid w:val="00600C77"/>
    <w:rsid w:val="00600CC1"/>
    <w:rsid w:val="00600DE1"/>
    <w:rsid w:val="00600E00"/>
    <w:rsid w:val="00600E49"/>
    <w:rsid w:val="00600E8B"/>
    <w:rsid w:val="00600E8C"/>
    <w:rsid w:val="00601090"/>
    <w:rsid w:val="006010B8"/>
    <w:rsid w:val="006010EC"/>
    <w:rsid w:val="0060121B"/>
    <w:rsid w:val="00601288"/>
    <w:rsid w:val="0060128A"/>
    <w:rsid w:val="00601529"/>
    <w:rsid w:val="006015B2"/>
    <w:rsid w:val="00601651"/>
    <w:rsid w:val="00601717"/>
    <w:rsid w:val="00601792"/>
    <w:rsid w:val="006017A3"/>
    <w:rsid w:val="006018CB"/>
    <w:rsid w:val="00601A41"/>
    <w:rsid w:val="00601BA1"/>
    <w:rsid w:val="00601BDF"/>
    <w:rsid w:val="00601C78"/>
    <w:rsid w:val="00601CA9"/>
    <w:rsid w:val="00601E44"/>
    <w:rsid w:val="00602080"/>
    <w:rsid w:val="006020E8"/>
    <w:rsid w:val="00602103"/>
    <w:rsid w:val="0060212A"/>
    <w:rsid w:val="0060233D"/>
    <w:rsid w:val="006023E2"/>
    <w:rsid w:val="00602491"/>
    <w:rsid w:val="00602507"/>
    <w:rsid w:val="006025C9"/>
    <w:rsid w:val="006026BA"/>
    <w:rsid w:val="006026C0"/>
    <w:rsid w:val="0060274E"/>
    <w:rsid w:val="00602855"/>
    <w:rsid w:val="006028DA"/>
    <w:rsid w:val="00602BD3"/>
    <w:rsid w:val="00602C14"/>
    <w:rsid w:val="00602D1F"/>
    <w:rsid w:val="00602E7B"/>
    <w:rsid w:val="00602F10"/>
    <w:rsid w:val="00602F99"/>
    <w:rsid w:val="0060307A"/>
    <w:rsid w:val="006030B6"/>
    <w:rsid w:val="006030BF"/>
    <w:rsid w:val="00603126"/>
    <w:rsid w:val="0060312D"/>
    <w:rsid w:val="00603177"/>
    <w:rsid w:val="006031AF"/>
    <w:rsid w:val="0060333F"/>
    <w:rsid w:val="00603365"/>
    <w:rsid w:val="006033FD"/>
    <w:rsid w:val="00603548"/>
    <w:rsid w:val="006035DC"/>
    <w:rsid w:val="00603701"/>
    <w:rsid w:val="0060382C"/>
    <w:rsid w:val="006038B9"/>
    <w:rsid w:val="00603939"/>
    <w:rsid w:val="00603981"/>
    <w:rsid w:val="00603991"/>
    <w:rsid w:val="006039BA"/>
    <w:rsid w:val="006039CB"/>
    <w:rsid w:val="00603ACD"/>
    <w:rsid w:val="00603C17"/>
    <w:rsid w:val="00603C20"/>
    <w:rsid w:val="00603C62"/>
    <w:rsid w:val="00603D2E"/>
    <w:rsid w:val="00603D74"/>
    <w:rsid w:val="00603E9B"/>
    <w:rsid w:val="00603F6A"/>
    <w:rsid w:val="00604013"/>
    <w:rsid w:val="006040B0"/>
    <w:rsid w:val="0060420C"/>
    <w:rsid w:val="0060426B"/>
    <w:rsid w:val="006042F4"/>
    <w:rsid w:val="00604686"/>
    <w:rsid w:val="00604705"/>
    <w:rsid w:val="00604970"/>
    <w:rsid w:val="00604973"/>
    <w:rsid w:val="006049F6"/>
    <w:rsid w:val="00604A0B"/>
    <w:rsid w:val="00604A15"/>
    <w:rsid w:val="00604C69"/>
    <w:rsid w:val="00604DF2"/>
    <w:rsid w:val="00604FBF"/>
    <w:rsid w:val="00605022"/>
    <w:rsid w:val="00605079"/>
    <w:rsid w:val="0060546E"/>
    <w:rsid w:val="006055DD"/>
    <w:rsid w:val="00605B0E"/>
    <w:rsid w:val="00605BE8"/>
    <w:rsid w:val="00605C80"/>
    <w:rsid w:val="00605D0F"/>
    <w:rsid w:val="00605E2D"/>
    <w:rsid w:val="00605E72"/>
    <w:rsid w:val="0060604F"/>
    <w:rsid w:val="006060BD"/>
    <w:rsid w:val="006061AE"/>
    <w:rsid w:val="006061F3"/>
    <w:rsid w:val="0060626A"/>
    <w:rsid w:val="00606274"/>
    <w:rsid w:val="00606394"/>
    <w:rsid w:val="00606437"/>
    <w:rsid w:val="00606518"/>
    <w:rsid w:val="00606526"/>
    <w:rsid w:val="0060669E"/>
    <w:rsid w:val="006066F9"/>
    <w:rsid w:val="00606990"/>
    <w:rsid w:val="006069FB"/>
    <w:rsid w:val="00606A77"/>
    <w:rsid w:val="00606B35"/>
    <w:rsid w:val="00606B4F"/>
    <w:rsid w:val="00606BBA"/>
    <w:rsid w:val="00606DC6"/>
    <w:rsid w:val="00606FF0"/>
    <w:rsid w:val="006071C1"/>
    <w:rsid w:val="006072E9"/>
    <w:rsid w:val="00607317"/>
    <w:rsid w:val="006075FA"/>
    <w:rsid w:val="00607607"/>
    <w:rsid w:val="0060760E"/>
    <w:rsid w:val="0060775E"/>
    <w:rsid w:val="006077BE"/>
    <w:rsid w:val="006077D3"/>
    <w:rsid w:val="00607858"/>
    <w:rsid w:val="00607937"/>
    <w:rsid w:val="00607A73"/>
    <w:rsid w:val="00607A77"/>
    <w:rsid w:val="00607A94"/>
    <w:rsid w:val="00607AD7"/>
    <w:rsid w:val="00607BAA"/>
    <w:rsid w:val="00607C04"/>
    <w:rsid w:val="00607C0D"/>
    <w:rsid w:val="00607C22"/>
    <w:rsid w:val="00607CBF"/>
    <w:rsid w:val="00607D7F"/>
    <w:rsid w:val="00607DE6"/>
    <w:rsid w:val="00607DF0"/>
    <w:rsid w:val="00607F23"/>
    <w:rsid w:val="00610097"/>
    <w:rsid w:val="00610231"/>
    <w:rsid w:val="0061025A"/>
    <w:rsid w:val="006102F5"/>
    <w:rsid w:val="00610339"/>
    <w:rsid w:val="00610346"/>
    <w:rsid w:val="006103C7"/>
    <w:rsid w:val="006103E5"/>
    <w:rsid w:val="00610461"/>
    <w:rsid w:val="00610462"/>
    <w:rsid w:val="0061056A"/>
    <w:rsid w:val="006105DB"/>
    <w:rsid w:val="00610685"/>
    <w:rsid w:val="006107CD"/>
    <w:rsid w:val="0061084D"/>
    <w:rsid w:val="0061099C"/>
    <w:rsid w:val="00610A42"/>
    <w:rsid w:val="00610A94"/>
    <w:rsid w:val="00610C4B"/>
    <w:rsid w:val="00610CCF"/>
    <w:rsid w:val="00610D0C"/>
    <w:rsid w:val="00610E13"/>
    <w:rsid w:val="00610E1C"/>
    <w:rsid w:val="00611103"/>
    <w:rsid w:val="006111DF"/>
    <w:rsid w:val="006111E2"/>
    <w:rsid w:val="006111F4"/>
    <w:rsid w:val="00611287"/>
    <w:rsid w:val="00611358"/>
    <w:rsid w:val="006113C7"/>
    <w:rsid w:val="006113EA"/>
    <w:rsid w:val="006114BC"/>
    <w:rsid w:val="0061157E"/>
    <w:rsid w:val="0061177A"/>
    <w:rsid w:val="0061180D"/>
    <w:rsid w:val="006118CF"/>
    <w:rsid w:val="0061198C"/>
    <w:rsid w:val="00611A06"/>
    <w:rsid w:val="00611A74"/>
    <w:rsid w:val="00611AC9"/>
    <w:rsid w:val="00611B93"/>
    <w:rsid w:val="00611D86"/>
    <w:rsid w:val="00611EDD"/>
    <w:rsid w:val="00611FDD"/>
    <w:rsid w:val="00612053"/>
    <w:rsid w:val="00612070"/>
    <w:rsid w:val="0061215B"/>
    <w:rsid w:val="00612166"/>
    <w:rsid w:val="00612169"/>
    <w:rsid w:val="006121B4"/>
    <w:rsid w:val="006122A5"/>
    <w:rsid w:val="006123D4"/>
    <w:rsid w:val="0061240B"/>
    <w:rsid w:val="00612493"/>
    <w:rsid w:val="006128B0"/>
    <w:rsid w:val="006129B4"/>
    <w:rsid w:val="00612A0A"/>
    <w:rsid w:val="00612A15"/>
    <w:rsid w:val="00612A4D"/>
    <w:rsid w:val="00612B6E"/>
    <w:rsid w:val="00612CE4"/>
    <w:rsid w:val="00612DA4"/>
    <w:rsid w:val="00612DC1"/>
    <w:rsid w:val="00612DC6"/>
    <w:rsid w:val="00612DF8"/>
    <w:rsid w:val="00612F51"/>
    <w:rsid w:val="00612F7E"/>
    <w:rsid w:val="00612FD7"/>
    <w:rsid w:val="00613095"/>
    <w:rsid w:val="00613209"/>
    <w:rsid w:val="00613282"/>
    <w:rsid w:val="00613405"/>
    <w:rsid w:val="00613457"/>
    <w:rsid w:val="0061357F"/>
    <w:rsid w:val="006135E0"/>
    <w:rsid w:val="006138D1"/>
    <w:rsid w:val="006138F0"/>
    <w:rsid w:val="00613A38"/>
    <w:rsid w:val="00613B32"/>
    <w:rsid w:val="00613B4E"/>
    <w:rsid w:val="00613BB7"/>
    <w:rsid w:val="00613BBE"/>
    <w:rsid w:val="00613D0B"/>
    <w:rsid w:val="00613D22"/>
    <w:rsid w:val="00613D65"/>
    <w:rsid w:val="00613D8D"/>
    <w:rsid w:val="00613D9E"/>
    <w:rsid w:val="00613DE6"/>
    <w:rsid w:val="00613E00"/>
    <w:rsid w:val="00613E19"/>
    <w:rsid w:val="00613E4C"/>
    <w:rsid w:val="00613E5A"/>
    <w:rsid w:val="00613E6B"/>
    <w:rsid w:val="00613F19"/>
    <w:rsid w:val="00613F1D"/>
    <w:rsid w:val="006140C0"/>
    <w:rsid w:val="0061415B"/>
    <w:rsid w:val="00614227"/>
    <w:rsid w:val="00614230"/>
    <w:rsid w:val="00614295"/>
    <w:rsid w:val="0061438F"/>
    <w:rsid w:val="00614390"/>
    <w:rsid w:val="006144C0"/>
    <w:rsid w:val="0061452D"/>
    <w:rsid w:val="00614534"/>
    <w:rsid w:val="006145A6"/>
    <w:rsid w:val="006145BD"/>
    <w:rsid w:val="0061463F"/>
    <w:rsid w:val="0061470A"/>
    <w:rsid w:val="00614808"/>
    <w:rsid w:val="006148C3"/>
    <w:rsid w:val="00614911"/>
    <w:rsid w:val="006149D1"/>
    <w:rsid w:val="00614A12"/>
    <w:rsid w:val="00614A6C"/>
    <w:rsid w:val="00614AC4"/>
    <w:rsid w:val="00614B99"/>
    <w:rsid w:val="00614BF7"/>
    <w:rsid w:val="00614C69"/>
    <w:rsid w:val="00614D1E"/>
    <w:rsid w:val="00614D56"/>
    <w:rsid w:val="00614D5F"/>
    <w:rsid w:val="00614DC7"/>
    <w:rsid w:val="00614E0F"/>
    <w:rsid w:val="00614F3C"/>
    <w:rsid w:val="0061512E"/>
    <w:rsid w:val="0061516C"/>
    <w:rsid w:val="006151D1"/>
    <w:rsid w:val="0061522E"/>
    <w:rsid w:val="00615303"/>
    <w:rsid w:val="006153AF"/>
    <w:rsid w:val="00615454"/>
    <w:rsid w:val="00615481"/>
    <w:rsid w:val="0061548F"/>
    <w:rsid w:val="0061569A"/>
    <w:rsid w:val="006157A9"/>
    <w:rsid w:val="006157C1"/>
    <w:rsid w:val="00615847"/>
    <w:rsid w:val="0061589E"/>
    <w:rsid w:val="006158AD"/>
    <w:rsid w:val="006158D9"/>
    <w:rsid w:val="006159B4"/>
    <w:rsid w:val="00615A0C"/>
    <w:rsid w:val="00615A50"/>
    <w:rsid w:val="00615A53"/>
    <w:rsid w:val="00615B9D"/>
    <w:rsid w:val="00615C4A"/>
    <w:rsid w:val="00615CAE"/>
    <w:rsid w:val="00615CF9"/>
    <w:rsid w:val="00615DDE"/>
    <w:rsid w:val="00615E35"/>
    <w:rsid w:val="0061603E"/>
    <w:rsid w:val="00616124"/>
    <w:rsid w:val="006161E6"/>
    <w:rsid w:val="00616349"/>
    <w:rsid w:val="00616442"/>
    <w:rsid w:val="006164B2"/>
    <w:rsid w:val="00616536"/>
    <w:rsid w:val="00616727"/>
    <w:rsid w:val="00616731"/>
    <w:rsid w:val="006167EA"/>
    <w:rsid w:val="00616941"/>
    <w:rsid w:val="00616B0B"/>
    <w:rsid w:val="00616B46"/>
    <w:rsid w:val="00616CB4"/>
    <w:rsid w:val="00616E6B"/>
    <w:rsid w:val="00616F01"/>
    <w:rsid w:val="00616F2A"/>
    <w:rsid w:val="00616FCB"/>
    <w:rsid w:val="00616FCD"/>
    <w:rsid w:val="00616FE2"/>
    <w:rsid w:val="006172E0"/>
    <w:rsid w:val="006172E6"/>
    <w:rsid w:val="00617309"/>
    <w:rsid w:val="00617372"/>
    <w:rsid w:val="00617398"/>
    <w:rsid w:val="006173F6"/>
    <w:rsid w:val="006174CC"/>
    <w:rsid w:val="006174E5"/>
    <w:rsid w:val="00617643"/>
    <w:rsid w:val="006176FE"/>
    <w:rsid w:val="0061772A"/>
    <w:rsid w:val="00617A33"/>
    <w:rsid w:val="00617AD2"/>
    <w:rsid w:val="00617BCF"/>
    <w:rsid w:val="00617C10"/>
    <w:rsid w:val="00617CF0"/>
    <w:rsid w:val="00617D44"/>
    <w:rsid w:val="00617D5B"/>
    <w:rsid w:val="00617DE5"/>
    <w:rsid w:val="00617E2C"/>
    <w:rsid w:val="00617EB7"/>
    <w:rsid w:val="00617FD9"/>
    <w:rsid w:val="0061C928"/>
    <w:rsid w:val="00620083"/>
    <w:rsid w:val="006200E4"/>
    <w:rsid w:val="0062030A"/>
    <w:rsid w:val="006203AE"/>
    <w:rsid w:val="006203B1"/>
    <w:rsid w:val="0062042B"/>
    <w:rsid w:val="00620490"/>
    <w:rsid w:val="006205BC"/>
    <w:rsid w:val="006206F3"/>
    <w:rsid w:val="00620722"/>
    <w:rsid w:val="006207C8"/>
    <w:rsid w:val="006207E7"/>
    <w:rsid w:val="00620927"/>
    <w:rsid w:val="00620C20"/>
    <w:rsid w:val="00620C63"/>
    <w:rsid w:val="00620C66"/>
    <w:rsid w:val="00620C74"/>
    <w:rsid w:val="00620CE8"/>
    <w:rsid w:val="00620D64"/>
    <w:rsid w:val="00620E19"/>
    <w:rsid w:val="00620E2A"/>
    <w:rsid w:val="00620EAC"/>
    <w:rsid w:val="00620EEE"/>
    <w:rsid w:val="00620F43"/>
    <w:rsid w:val="00620FC4"/>
    <w:rsid w:val="00621071"/>
    <w:rsid w:val="0062108D"/>
    <w:rsid w:val="006210F4"/>
    <w:rsid w:val="006212FB"/>
    <w:rsid w:val="00621511"/>
    <w:rsid w:val="006215F2"/>
    <w:rsid w:val="0062165E"/>
    <w:rsid w:val="006216D6"/>
    <w:rsid w:val="006216E6"/>
    <w:rsid w:val="00621858"/>
    <w:rsid w:val="006218B6"/>
    <w:rsid w:val="006219F4"/>
    <w:rsid w:val="00621A09"/>
    <w:rsid w:val="00621A2C"/>
    <w:rsid w:val="00621B29"/>
    <w:rsid w:val="00621B8B"/>
    <w:rsid w:val="00621C55"/>
    <w:rsid w:val="00621DBA"/>
    <w:rsid w:val="00621E7B"/>
    <w:rsid w:val="00621F50"/>
    <w:rsid w:val="00622057"/>
    <w:rsid w:val="006220B5"/>
    <w:rsid w:val="00622111"/>
    <w:rsid w:val="006221A2"/>
    <w:rsid w:val="00622211"/>
    <w:rsid w:val="00622382"/>
    <w:rsid w:val="00622399"/>
    <w:rsid w:val="006223A6"/>
    <w:rsid w:val="00622479"/>
    <w:rsid w:val="0062268A"/>
    <w:rsid w:val="006226DA"/>
    <w:rsid w:val="00622707"/>
    <w:rsid w:val="0062272A"/>
    <w:rsid w:val="00622862"/>
    <w:rsid w:val="006229E7"/>
    <w:rsid w:val="00622A03"/>
    <w:rsid w:val="00622BA9"/>
    <w:rsid w:val="00622C7B"/>
    <w:rsid w:val="00622D15"/>
    <w:rsid w:val="00622D53"/>
    <w:rsid w:val="00622D89"/>
    <w:rsid w:val="00622D95"/>
    <w:rsid w:val="00622DAA"/>
    <w:rsid w:val="00622DB3"/>
    <w:rsid w:val="00622DF6"/>
    <w:rsid w:val="00622F34"/>
    <w:rsid w:val="00623054"/>
    <w:rsid w:val="00623071"/>
    <w:rsid w:val="0062307E"/>
    <w:rsid w:val="00623253"/>
    <w:rsid w:val="006232BB"/>
    <w:rsid w:val="0062332D"/>
    <w:rsid w:val="00623379"/>
    <w:rsid w:val="006234C2"/>
    <w:rsid w:val="00623542"/>
    <w:rsid w:val="006236F6"/>
    <w:rsid w:val="0062382B"/>
    <w:rsid w:val="006238B2"/>
    <w:rsid w:val="00623946"/>
    <w:rsid w:val="00623993"/>
    <w:rsid w:val="00623C85"/>
    <w:rsid w:val="00623D4A"/>
    <w:rsid w:val="00623D71"/>
    <w:rsid w:val="00623D84"/>
    <w:rsid w:val="00624042"/>
    <w:rsid w:val="00624089"/>
    <w:rsid w:val="00624090"/>
    <w:rsid w:val="00624267"/>
    <w:rsid w:val="006242FC"/>
    <w:rsid w:val="0062434A"/>
    <w:rsid w:val="0062438C"/>
    <w:rsid w:val="006243B2"/>
    <w:rsid w:val="006244D2"/>
    <w:rsid w:val="006245CE"/>
    <w:rsid w:val="0062478F"/>
    <w:rsid w:val="006248DA"/>
    <w:rsid w:val="00624A18"/>
    <w:rsid w:val="00624A31"/>
    <w:rsid w:val="00624CDB"/>
    <w:rsid w:val="00624CFD"/>
    <w:rsid w:val="00624D9F"/>
    <w:rsid w:val="00624E93"/>
    <w:rsid w:val="00624EB8"/>
    <w:rsid w:val="00624FA0"/>
    <w:rsid w:val="00624FA2"/>
    <w:rsid w:val="00625170"/>
    <w:rsid w:val="006251C3"/>
    <w:rsid w:val="006252D1"/>
    <w:rsid w:val="006254AE"/>
    <w:rsid w:val="006254F0"/>
    <w:rsid w:val="00625698"/>
    <w:rsid w:val="00625724"/>
    <w:rsid w:val="0062573D"/>
    <w:rsid w:val="00625885"/>
    <w:rsid w:val="00625902"/>
    <w:rsid w:val="00625948"/>
    <w:rsid w:val="0062598D"/>
    <w:rsid w:val="006259DF"/>
    <w:rsid w:val="00625B54"/>
    <w:rsid w:val="00625C02"/>
    <w:rsid w:val="00625CB0"/>
    <w:rsid w:val="00625D2E"/>
    <w:rsid w:val="00625E49"/>
    <w:rsid w:val="00625E4C"/>
    <w:rsid w:val="00625EB9"/>
    <w:rsid w:val="00625F57"/>
    <w:rsid w:val="0062602E"/>
    <w:rsid w:val="006260B5"/>
    <w:rsid w:val="0062610F"/>
    <w:rsid w:val="00626123"/>
    <w:rsid w:val="00626149"/>
    <w:rsid w:val="00626254"/>
    <w:rsid w:val="0062629A"/>
    <w:rsid w:val="0062639A"/>
    <w:rsid w:val="006264AC"/>
    <w:rsid w:val="0062675C"/>
    <w:rsid w:val="006267BA"/>
    <w:rsid w:val="006269B8"/>
    <w:rsid w:val="00626AA6"/>
    <w:rsid w:val="00626B3E"/>
    <w:rsid w:val="00626B70"/>
    <w:rsid w:val="00626BDA"/>
    <w:rsid w:val="00626C97"/>
    <w:rsid w:val="00626D00"/>
    <w:rsid w:val="00626D92"/>
    <w:rsid w:val="00626E49"/>
    <w:rsid w:val="00626F4B"/>
    <w:rsid w:val="00626FC4"/>
    <w:rsid w:val="00626FCD"/>
    <w:rsid w:val="0062704B"/>
    <w:rsid w:val="00627119"/>
    <w:rsid w:val="006271AE"/>
    <w:rsid w:val="006271C5"/>
    <w:rsid w:val="00627206"/>
    <w:rsid w:val="00627216"/>
    <w:rsid w:val="00627608"/>
    <w:rsid w:val="006276AB"/>
    <w:rsid w:val="00627760"/>
    <w:rsid w:val="006278EE"/>
    <w:rsid w:val="0062792F"/>
    <w:rsid w:val="00627954"/>
    <w:rsid w:val="00627AA5"/>
    <w:rsid w:val="00627B31"/>
    <w:rsid w:val="00627D93"/>
    <w:rsid w:val="00627DBC"/>
    <w:rsid w:val="00627E24"/>
    <w:rsid w:val="00627E6E"/>
    <w:rsid w:val="00627EC1"/>
    <w:rsid w:val="00630096"/>
    <w:rsid w:val="00630165"/>
    <w:rsid w:val="00630248"/>
    <w:rsid w:val="006302AC"/>
    <w:rsid w:val="006302C7"/>
    <w:rsid w:val="00630732"/>
    <w:rsid w:val="006308C9"/>
    <w:rsid w:val="0063093D"/>
    <w:rsid w:val="006309DF"/>
    <w:rsid w:val="006309E9"/>
    <w:rsid w:val="00630A40"/>
    <w:rsid w:val="00630A67"/>
    <w:rsid w:val="00630B23"/>
    <w:rsid w:val="00630D7C"/>
    <w:rsid w:val="00630DD2"/>
    <w:rsid w:val="00630E1F"/>
    <w:rsid w:val="00630EE4"/>
    <w:rsid w:val="00630F9D"/>
    <w:rsid w:val="0063114B"/>
    <w:rsid w:val="0063117A"/>
    <w:rsid w:val="006311DF"/>
    <w:rsid w:val="00631236"/>
    <w:rsid w:val="00631259"/>
    <w:rsid w:val="0063142C"/>
    <w:rsid w:val="00631452"/>
    <w:rsid w:val="0063148E"/>
    <w:rsid w:val="00631630"/>
    <w:rsid w:val="0063175B"/>
    <w:rsid w:val="006317B5"/>
    <w:rsid w:val="006317EF"/>
    <w:rsid w:val="0063183F"/>
    <w:rsid w:val="0063187E"/>
    <w:rsid w:val="00631B48"/>
    <w:rsid w:val="00631C4D"/>
    <w:rsid w:val="00631D76"/>
    <w:rsid w:val="00631DBC"/>
    <w:rsid w:val="00631E1F"/>
    <w:rsid w:val="00631E82"/>
    <w:rsid w:val="00631EA4"/>
    <w:rsid w:val="006320A7"/>
    <w:rsid w:val="0063212D"/>
    <w:rsid w:val="006321A9"/>
    <w:rsid w:val="0063229D"/>
    <w:rsid w:val="006323A8"/>
    <w:rsid w:val="00632416"/>
    <w:rsid w:val="00632538"/>
    <w:rsid w:val="00632572"/>
    <w:rsid w:val="006325EA"/>
    <w:rsid w:val="006326A5"/>
    <w:rsid w:val="006326CC"/>
    <w:rsid w:val="00632898"/>
    <w:rsid w:val="006328D9"/>
    <w:rsid w:val="00632913"/>
    <w:rsid w:val="00632A13"/>
    <w:rsid w:val="00632AF9"/>
    <w:rsid w:val="00632B2B"/>
    <w:rsid w:val="00632C5A"/>
    <w:rsid w:val="00632CC2"/>
    <w:rsid w:val="00632CE4"/>
    <w:rsid w:val="00632DBF"/>
    <w:rsid w:val="00632EFB"/>
    <w:rsid w:val="0063310A"/>
    <w:rsid w:val="00633136"/>
    <w:rsid w:val="00633184"/>
    <w:rsid w:val="006331A3"/>
    <w:rsid w:val="006331B4"/>
    <w:rsid w:val="0063322C"/>
    <w:rsid w:val="00633263"/>
    <w:rsid w:val="0063329F"/>
    <w:rsid w:val="00633431"/>
    <w:rsid w:val="006334BE"/>
    <w:rsid w:val="006338BA"/>
    <w:rsid w:val="006338DE"/>
    <w:rsid w:val="00633937"/>
    <w:rsid w:val="006339A7"/>
    <w:rsid w:val="006339F8"/>
    <w:rsid w:val="00633A22"/>
    <w:rsid w:val="00633A9E"/>
    <w:rsid w:val="00633AFC"/>
    <w:rsid w:val="00633BBF"/>
    <w:rsid w:val="00633E57"/>
    <w:rsid w:val="00633E67"/>
    <w:rsid w:val="00633E77"/>
    <w:rsid w:val="00633F16"/>
    <w:rsid w:val="00633F44"/>
    <w:rsid w:val="00634082"/>
    <w:rsid w:val="00634375"/>
    <w:rsid w:val="006343D8"/>
    <w:rsid w:val="0063444F"/>
    <w:rsid w:val="00634609"/>
    <w:rsid w:val="0063475C"/>
    <w:rsid w:val="006347E5"/>
    <w:rsid w:val="00634826"/>
    <w:rsid w:val="006348AA"/>
    <w:rsid w:val="006348DB"/>
    <w:rsid w:val="00634ACB"/>
    <w:rsid w:val="00634C04"/>
    <w:rsid w:val="00634CF9"/>
    <w:rsid w:val="00634E6A"/>
    <w:rsid w:val="00634E94"/>
    <w:rsid w:val="00634F29"/>
    <w:rsid w:val="00635003"/>
    <w:rsid w:val="0063501F"/>
    <w:rsid w:val="00635190"/>
    <w:rsid w:val="006352AB"/>
    <w:rsid w:val="006352CF"/>
    <w:rsid w:val="00635621"/>
    <w:rsid w:val="00635885"/>
    <w:rsid w:val="006358A6"/>
    <w:rsid w:val="006358AE"/>
    <w:rsid w:val="006358BD"/>
    <w:rsid w:val="00635A35"/>
    <w:rsid w:val="00635A3C"/>
    <w:rsid w:val="00635AD7"/>
    <w:rsid w:val="00635BA6"/>
    <w:rsid w:val="00636035"/>
    <w:rsid w:val="006361E4"/>
    <w:rsid w:val="006361F4"/>
    <w:rsid w:val="006362EA"/>
    <w:rsid w:val="006362FF"/>
    <w:rsid w:val="006363C2"/>
    <w:rsid w:val="00636402"/>
    <w:rsid w:val="00636472"/>
    <w:rsid w:val="006364DA"/>
    <w:rsid w:val="006366C4"/>
    <w:rsid w:val="0063681C"/>
    <w:rsid w:val="00636A11"/>
    <w:rsid w:val="00636B99"/>
    <w:rsid w:val="00636C51"/>
    <w:rsid w:val="00636D63"/>
    <w:rsid w:val="00636D8E"/>
    <w:rsid w:val="00636DFE"/>
    <w:rsid w:val="00636E3A"/>
    <w:rsid w:val="00637012"/>
    <w:rsid w:val="0063704C"/>
    <w:rsid w:val="00637104"/>
    <w:rsid w:val="006371E0"/>
    <w:rsid w:val="00637379"/>
    <w:rsid w:val="00637461"/>
    <w:rsid w:val="00637479"/>
    <w:rsid w:val="006374E2"/>
    <w:rsid w:val="0063750A"/>
    <w:rsid w:val="00637823"/>
    <w:rsid w:val="0063789F"/>
    <w:rsid w:val="00637A68"/>
    <w:rsid w:val="00637AE0"/>
    <w:rsid w:val="00637BE1"/>
    <w:rsid w:val="00637D7E"/>
    <w:rsid w:val="00637DFF"/>
    <w:rsid w:val="00637E4F"/>
    <w:rsid w:val="00637F49"/>
    <w:rsid w:val="00637F60"/>
    <w:rsid w:val="00637FDD"/>
    <w:rsid w:val="00637FDE"/>
    <w:rsid w:val="0064004A"/>
    <w:rsid w:val="00640094"/>
    <w:rsid w:val="00640096"/>
    <w:rsid w:val="0064019B"/>
    <w:rsid w:val="0064024B"/>
    <w:rsid w:val="0064027E"/>
    <w:rsid w:val="006403B2"/>
    <w:rsid w:val="006404F9"/>
    <w:rsid w:val="0064056D"/>
    <w:rsid w:val="006408BE"/>
    <w:rsid w:val="00640BDD"/>
    <w:rsid w:val="00640C81"/>
    <w:rsid w:val="00640CC2"/>
    <w:rsid w:val="00640EC1"/>
    <w:rsid w:val="00640F54"/>
    <w:rsid w:val="00640FC3"/>
    <w:rsid w:val="00641009"/>
    <w:rsid w:val="00641079"/>
    <w:rsid w:val="006410F8"/>
    <w:rsid w:val="00641257"/>
    <w:rsid w:val="00641263"/>
    <w:rsid w:val="006412B4"/>
    <w:rsid w:val="006415D2"/>
    <w:rsid w:val="006416CB"/>
    <w:rsid w:val="00641719"/>
    <w:rsid w:val="006417E4"/>
    <w:rsid w:val="006418F7"/>
    <w:rsid w:val="00641908"/>
    <w:rsid w:val="00641924"/>
    <w:rsid w:val="00641A43"/>
    <w:rsid w:val="00641B33"/>
    <w:rsid w:val="00641B34"/>
    <w:rsid w:val="00641C7D"/>
    <w:rsid w:val="00641D97"/>
    <w:rsid w:val="00641DD3"/>
    <w:rsid w:val="00641F0A"/>
    <w:rsid w:val="00641FCF"/>
    <w:rsid w:val="00642072"/>
    <w:rsid w:val="006420DF"/>
    <w:rsid w:val="00642174"/>
    <w:rsid w:val="00642190"/>
    <w:rsid w:val="006421E2"/>
    <w:rsid w:val="006422A5"/>
    <w:rsid w:val="006424CE"/>
    <w:rsid w:val="00642538"/>
    <w:rsid w:val="00642580"/>
    <w:rsid w:val="006425A5"/>
    <w:rsid w:val="006425AA"/>
    <w:rsid w:val="006425E0"/>
    <w:rsid w:val="00642605"/>
    <w:rsid w:val="00642611"/>
    <w:rsid w:val="0064270F"/>
    <w:rsid w:val="00642765"/>
    <w:rsid w:val="006427B7"/>
    <w:rsid w:val="006427BD"/>
    <w:rsid w:val="006429BE"/>
    <w:rsid w:val="006429E9"/>
    <w:rsid w:val="00642B77"/>
    <w:rsid w:val="00642B82"/>
    <w:rsid w:val="00642CBA"/>
    <w:rsid w:val="00642CF5"/>
    <w:rsid w:val="00642CFA"/>
    <w:rsid w:val="00642D2D"/>
    <w:rsid w:val="00642EE4"/>
    <w:rsid w:val="00642F99"/>
    <w:rsid w:val="0064329A"/>
    <w:rsid w:val="006432D2"/>
    <w:rsid w:val="0064340E"/>
    <w:rsid w:val="0064343B"/>
    <w:rsid w:val="00643607"/>
    <w:rsid w:val="00643677"/>
    <w:rsid w:val="006438DA"/>
    <w:rsid w:val="00643952"/>
    <w:rsid w:val="00643A38"/>
    <w:rsid w:val="00643A8F"/>
    <w:rsid w:val="00643B8C"/>
    <w:rsid w:val="00643B8F"/>
    <w:rsid w:val="00643B9B"/>
    <w:rsid w:val="00643C78"/>
    <w:rsid w:val="00643C9E"/>
    <w:rsid w:val="00643DFD"/>
    <w:rsid w:val="00643F9D"/>
    <w:rsid w:val="0064401E"/>
    <w:rsid w:val="00644082"/>
    <w:rsid w:val="006440A9"/>
    <w:rsid w:val="0064425D"/>
    <w:rsid w:val="006442B9"/>
    <w:rsid w:val="006443AF"/>
    <w:rsid w:val="006443FB"/>
    <w:rsid w:val="00644633"/>
    <w:rsid w:val="006447A1"/>
    <w:rsid w:val="006448D0"/>
    <w:rsid w:val="00644A08"/>
    <w:rsid w:val="00644AC6"/>
    <w:rsid w:val="00644AE9"/>
    <w:rsid w:val="00644D08"/>
    <w:rsid w:val="00644DBE"/>
    <w:rsid w:val="00644E9B"/>
    <w:rsid w:val="00644EF6"/>
    <w:rsid w:val="00644F54"/>
    <w:rsid w:val="00644F5C"/>
    <w:rsid w:val="006450D1"/>
    <w:rsid w:val="00645376"/>
    <w:rsid w:val="0064541F"/>
    <w:rsid w:val="00645536"/>
    <w:rsid w:val="00645564"/>
    <w:rsid w:val="00645731"/>
    <w:rsid w:val="0064580A"/>
    <w:rsid w:val="00645818"/>
    <w:rsid w:val="006458A4"/>
    <w:rsid w:val="00645970"/>
    <w:rsid w:val="00645976"/>
    <w:rsid w:val="00645A60"/>
    <w:rsid w:val="00645C54"/>
    <w:rsid w:val="00645DDD"/>
    <w:rsid w:val="00645E66"/>
    <w:rsid w:val="00645E94"/>
    <w:rsid w:val="00645F83"/>
    <w:rsid w:val="00645F9E"/>
    <w:rsid w:val="006460E3"/>
    <w:rsid w:val="006461FB"/>
    <w:rsid w:val="00646215"/>
    <w:rsid w:val="00646284"/>
    <w:rsid w:val="00646363"/>
    <w:rsid w:val="006463AA"/>
    <w:rsid w:val="006463C9"/>
    <w:rsid w:val="006463D1"/>
    <w:rsid w:val="006463D6"/>
    <w:rsid w:val="006464BD"/>
    <w:rsid w:val="006465C5"/>
    <w:rsid w:val="00646656"/>
    <w:rsid w:val="00646722"/>
    <w:rsid w:val="00646761"/>
    <w:rsid w:val="00646779"/>
    <w:rsid w:val="006467F8"/>
    <w:rsid w:val="006467FB"/>
    <w:rsid w:val="006468D2"/>
    <w:rsid w:val="00646A28"/>
    <w:rsid w:val="00646B23"/>
    <w:rsid w:val="00646D28"/>
    <w:rsid w:val="00646D56"/>
    <w:rsid w:val="00646E6A"/>
    <w:rsid w:val="00646F4E"/>
    <w:rsid w:val="00647034"/>
    <w:rsid w:val="00647080"/>
    <w:rsid w:val="006470BB"/>
    <w:rsid w:val="0064719D"/>
    <w:rsid w:val="006472E5"/>
    <w:rsid w:val="006472F9"/>
    <w:rsid w:val="00647428"/>
    <w:rsid w:val="00647606"/>
    <w:rsid w:val="00647786"/>
    <w:rsid w:val="006477E3"/>
    <w:rsid w:val="0064798A"/>
    <w:rsid w:val="00647B9D"/>
    <w:rsid w:val="00647BAC"/>
    <w:rsid w:val="00647C40"/>
    <w:rsid w:val="00647CDC"/>
    <w:rsid w:val="00647D3D"/>
    <w:rsid w:val="00648CDF"/>
    <w:rsid w:val="0065004D"/>
    <w:rsid w:val="006500D2"/>
    <w:rsid w:val="0065016E"/>
    <w:rsid w:val="006501E8"/>
    <w:rsid w:val="006502C7"/>
    <w:rsid w:val="006502DD"/>
    <w:rsid w:val="00650314"/>
    <w:rsid w:val="00650353"/>
    <w:rsid w:val="00650589"/>
    <w:rsid w:val="0065069A"/>
    <w:rsid w:val="006506A4"/>
    <w:rsid w:val="006506C9"/>
    <w:rsid w:val="00650756"/>
    <w:rsid w:val="0065086E"/>
    <w:rsid w:val="0065098B"/>
    <w:rsid w:val="006509A3"/>
    <w:rsid w:val="006509CF"/>
    <w:rsid w:val="00650A6C"/>
    <w:rsid w:val="00650A7D"/>
    <w:rsid w:val="00650BC5"/>
    <w:rsid w:val="00650C9B"/>
    <w:rsid w:val="00650D12"/>
    <w:rsid w:val="00650DA7"/>
    <w:rsid w:val="00650E7F"/>
    <w:rsid w:val="00650FBD"/>
    <w:rsid w:val="00651023"/>
    <w:rsid w:val="00651164"/>
    <w:rsid w:val="006511B9"/>
    <w:rsid w:val="00651236"/>
    <w:rsid w:val="0065129C"/>
    <w:rsid w:val="0065129E"/>
    <w:rsid w:val="00651420"/>
    <w:rsid w:val="00651475"/>
    <w:rsid w:val="0065149E"/>
    <w:rsid w:val="006514C3"/>
    <w:rsid w:val="00651560"/>
    <w:rsid w:val="006515A8"/>
    <w:rsid w:val="0065161A"/>
    <w:rsid w:val="0065162C"/>
    <w:rsid w:val="00651679"/>
    <w:rsid w:val="0065169D"/>
    <w:rsid w:val="006516EA"/>
    <w:rsid w:val="0065175D"/>
    <w:rsid w:val="0065180D"/>
    <w:rsid w:val="00651971"/>
    <w:rsid w:val="006519AB"/>
    <w:rsid w:val="00651B33"/>
    <w:rsid w:val="00651BBE"/>
    <w:rsid w:val="00651C36"/>
    <w:rsid w:val="00651CF6"/>
    <w:rsid w:val="00651D2D"/>
    <w:rsid w:val="00651E05"/>
    <w:rsid w:val="00651E4F"/>
    <w:rsid w:val="00651EB5"/>
    <w:rsid w:val="00651F99"/>
    <w:rsid w:val="00651FF7"/>
    <w:rsid w:val="0065205A"/>
    <w:rsid w:val="0065209F"/>
    <w:rsid w:val="006520AD"/>
    <w:rsid w:val="006520B4"/>
    <w:rsid w:val="006520EF"/>
    <w:rsid w:val="00652284"/>
    <w:rsid w:val="006522B1"/>
    <w:rsid w:val="00652331"/>
    <w:rsid w:val="006524C0"/>
    <w:rsid w:val="006524D4"/>
    <w:rsid w:val="00652897"/>
    <w:rsid w:val="0065291F"/>
    <w:rsid w:val="00652923"/>
    <w:rsid w:val="0065293D"/>
    <w:rsid w:val="00652A07"/>
    <w:rsid w:val="00652A2A"/>
    <w:rsid w:val="00652DB6"/>
    <w:rsid w:val="00652E37"/>
    <w:rsid w:val="00652EB3"/>
    <w:rsid w:val="00652F81"/>
    <w:rsid w:val="00653115"/>
    <w:rsid w:val="006531BF"/>
    <w:rsid w:val="006532DE"/>
    <w:rsid w:val="00653364"/>
    <w:rsid w:val="00653463"/>
    <w:rsid w:val="0065351E"/>
    <w:rsid w:val="006536F6"/>
    <w:rsid w:val="0065372A"/>
    <w:rsid w:val="00653732"/>
    <w:rsid w:val="00653766"/>
    <w:rsid w:val="00653778"/>
    <w:rsid w:val="006537B5"/>
    <w:rsid w:val="00653837"/>
    <w:rsid w:val="0065393B"/>
    <w:rsid w:val="006539DF"/>
    <w:rsid w:val="00653AF0"/>
    <w:rsid w:val="00653B08"/>
    <w:rsid w:val="00653B14"/>
    <w:rsid w:val="00653B61"/>
    <w:rsid w:val="00653B99"/>
    <w:rsid w:val="00653D09"/>
    <w:rsid w:val="00653D7C"/>
    <w:rsid w:val="00653F62"/>
    <w:rsid w:val="00653F97"/>
    <w:rsid w:val="00654093"/>
    <w:rsid w:val="006540A2"/>
    <w:rsid w:val="006540A5"/>
    <w:rsid w:val="00654262"/>
    <w:rsid w:val="00654279"/>
    <w:rsid w:val="006542EA"/>
    <w:rsid w:val="0065437C"/>
    <w:rsid w:val="00654458"/>
    <w:rsid w:val="00654523"/>
    <w:rsid w:val="006546B3"/>
    <w:rsid w:val="006546B7"/>
    <w:rsid w:val="006547EB"/>
    <w:rsid w:val="00654937"/>
    <w:rsid w:val="00654978"/>
    <w:rsid w:val="006549E9"/>
    <w:rsid w:val="00654A3A"/>
    <w:rsid w:val="00654A69"/>
    <w:rsid w:val="00654AAA"/>
    <w:rsid w:val="00654B30"/>
    <w:rsid w:val="00654CA9"/>
    <w:rsid w:val="00654CB7"/>
    <w:rsid w:val="00654EBE"/>
    <w:rsid w:val="00654F6A"/>
    <w:rsid w:val="00654FA3"/>
    <w:rsid w:val="00655015"/>
    <w:rsid w:val="00655030"/>
    <w:rsid w:val="00655031"/>
    <w:rsid w:val="0065513F"/>
    <w:rsid w:val="006551C2"/>
    <w:rsid w:val="0065535E"/>
    <w:rsid w:val="0065556C"/>
    <w:rsid w:val="006556B1"/>
    <w:rsid w:val="0065571F"/>
    <w:rsid w:val="006558A2"/>
    <w:rsid w:val="00655906"/>
    <w:rsid w:val="0065592A"/>
    <w:rsid w:val="006559DD"/>
    <w:rsid w:val="00655ABF"/>
    <w:rsid w:val="00655BB9"/>
    <w:rsid w:val="00655C20"/>
    <w:rsid w:val="00655CE0"/>
    <w:rsid w:val="00655EAF"/>
    <w:rsid w:val="00655F44"/>
    <w:rsid w:val="00655F4F"/>
    <w:rsid w:val="00655FA0"/>
    <w:rsid w:val="00655FAF"/>
    <w:rsid w:val="00656052"/>
    <w:rsid w:val="006560BA"/>
    <w:rsid w:val="006560C2"/>
    <w:rsid w:val="0065614E"/>
    <w:rsid w:val="0065617B"/>
    <w:rsid w:val="00656262"/>
    <w:rsid w:val="006563B5"/>
    <w:rsid w:val="006563C7"/>
    <w:rsid w:val="00656416"/>
    <w:rsid w:val="006564B2"/>
    <w:rsid w:val="006564CC"/>
    <w:rsid w:val="006564ED"/>
    <w:rsid w:val="00656538"/>
    <w:rsid w:val="00656554"/>
    <w:rsid w:val="006565E7"/>
    <w:rsid w:val="006566A3"/>
    <w:rsid w:val="00656722"/>
    <w:rsid w:val="0065682C"/>
    <w:rsid w:val="00656953"/>
    <w:rsid w:val="00656988"/>
    <w:rsid w:val="00656B07"/>
    <w:rsid w:val="00656C5F"/>
    <w:rsid w:val="00656CC2"/>
    <w:rsid w:val="00656E75"/>
    <w:rsid w:val="00656F57"/>
    <w:rsid w:val="00656F67"/>
    <w:rsid w:val="00656F81"/>
    <w:rsid w:val="00656FA6"/>
    <w:rsid w:val="0065721C"/>
    <w:rsid w:val="00657252"/>
    <w:rsid w:val="00657259"/>
    <w:rsid w:val="00657348"/>
    <w:rsid w:val="00657492"/>
    <w:rsid w:val="00657541"/>
    <w:rsid w:val="00657552"/>
    <w:rsid w:val="006575FD"/>
    <w:rsid w:val="00657606"/>
    <w:rsid w:val="0065766D"/>
    <w:rsid w:val="006577DC"/>
    <w:rsid w:val="006577EA"/>
    <w:rsid w:val="00657824"/>
    <w:rsid w:val="0065783E"/>
    <w:rsid w:val="00657849"/>
    <w:rsid w:val="00657948"/>
    <w:rsid w:val="00657C9D"/>
    <w:rsid w:val="00657F22"/>
    <w:rsid w:val="0066003E"/>
    <w:rsid w:val="0066010B"/>
    <w:rsid w:val="0066019C"/>
    <w:rsid w:val="006602F6"/>
    <w:rsid w:val="00660386"/>
    <w:rsid w:val="006603B5"/>
    <w:rsid w:val="00660539"/>
    <w:rsid w:val="0066059D"/>
    <w:rsid w:val="00660632"/>
    <w:rsid w:val="006607C3"/>
    <w:rsid w:val="006607D0"/>
    <w:rsid w:val="006608B2"/>
    <w:rsid w:val="00660989"/>
    <w:rsid w:val="006609B8"/>
    <w:rsid w:val="006609F2"/>
    <w:rsid w:val="00660A18"/>
    <w:rsid w:val="00660B95"/>
    <w:rsid w:val="00660C14"/>
    <w:rsid w:val="00660D96"/>
    <w:rsid w:val="0066102C"/>
    <w:rsid w:val="00661221"/>
    <w:rsid w:val="006612B2"/>
    <w:rsid w:val="006612CD"/>
    <w:rsid w:val="006615B9"/>
    <w:rsid w:val="00661677"/>
    <w:rsid w:val="006616AD"/>
    <w:rsid w:val="0066171A"/>
    <w:rsid w:val="006617B4"/>
    <w:rsid w:val="006617CF"/>
    <w:rsid w:val="006618DB"/>
    <w:rsid w:val="00661B96"/>
    <w:rsid w:val="00661BC8"/>
    <w:rsid w:val="00661C1D"/>
    <w:rsid w:val="00661C68"/>
    <w:rsid w:val="00661CF9"/>
    <w:rsid w:val="00661D60"/>
    <w:rsid w:val="00661D85"/>
    <w:rsid w:val="00661D98"/>
    <w:rsid w:val="00661E4F"/>
    <w:rsid w:val="00661F30"/>
    <w:rsid w:val="00661FA1"/>
    <w:rsid w:val="00662012"/>
    <w:rsid w:val="00662178"/>
    <w:rsid w:val="00662244"/>
    <w:rsid w:val="00662268"/>
    <w:rsid w:val="0066229E"/>
    <w:rsid w:val="00662470"/>
    <w:rsid w:val="0066255C"/>
    <w:rsid w:val="00662571"/>
    <w:rsid w:val="0066259D"/>
    <w:rsid w:val="006625E8"/>
    <w:rsid w:val="006625F9"/>
    <w:rsid w:val="00662741"/>
    <w:rsid w:val="00662965"/>
    <w:rsid w:val="006629F3"/>
    <w:rsid w:val="00662B41"/>
    <w:rsid w:val="00662C21"/>
    <w:rsid w:val="00662EBD"/>
    <w:rsid w:val="00662F73"/>
    <w:rsid w:val="00662F9C"/>
    <w:rsid w:val="00663015"/>
    <w:rsid w:val="00663115"/>
    <w:rsid w:val="0066324E"/>
    <w:rsid w:val="006632D4"/>
    <w:rsid w:val="0066335F"/>
    <w:rsid w:val="00663433"/>
    <w:rsid w:val="0066343E"/>
    <w:rsid w:val="00663705"/>
    <w:rsid w:val="0066386E"/>
    <w:rsid w:val="006638EE"/>
    <w:rsid w:val="00663A0D"/>
    <w:rsid w:val="00663A1F"/>
    <w:rsid w:val="00663BC1"/>
    <w:rsid w:val="00663BDC"/>
    <w:rsid w:val="00663BE5"/>
    <w:rsid w:val="00663C6F"/>
    <w:rsid w:val="00663CBF"/>
    <w:rsid w:val="00663DFB"/>
    <w:rsid w:val="00663E76"/>
    <w:rsid w:val="00663F09"/>
    <w:rsid w:val="00663F96"/>
    <w:rsid w:val="006640A3"/>
    <w:rsid w:val="006640D5"/>
    <w:rsid w:val="00664173"/>
    <w:rsid w:val="0066428D"/>
    <w:rsid w:val="006644F5"/>
    <w:rsid w:val="006645EC"/>
    <w:rsid w:val="0066470D"/>
    <w:rsid w:val="0066488C"/>
    <w:rsid w:val="00664924"/>
    <w:rsid w:val="00664953"/>
    <w:rsid w:val="006649E7"/>
    <w:rsid w:val="00664A0D"/>
    <w:rsid w:val="00664D8F"/>
    <w:rsid w:val="00664E8D"/>
    <w:rsid w:val="00664EC0"/>
    <w:rsid w:val="00664EFC"/>
    <w:rsid w:val="00664FE8"/>
    <w:rsid w:val="00665006"/>
    <w:rsid w:val="00665086"/>
    <w:rsid w:val="00665098"/>
    <w:rsid w:val="006651D7"/>
    <w:rsid w:val="006651E5"/>
    <w:rsid w:val="00665399"/>
    <w:rsid w:val="0066543D"/>
    <w:rsid w:val="006654EC"/>
    <w:rsid w:val="006654F9"/>
    <w:rsid w:val="0066567E"/>
    <w:rsid w:val="00665731"/>
    <w:rsid w:val="0066580E"/>
    <w:rsid w:val="00665A65"/>
    <w:rsid w:val="00665BA1"/>
    <w:rsid w:val="00665C64"/>
    <w:rsid w:val="00665DED"/>
    <w:rsid w:val="00665E4F"/>
    <w:rsid w:val="00665E5F"/>
    <w:rsid w:val="00665FE4"/>
    <w:rsid w:val="0066610B"/>
    <w:rsid w:val="0066612A"/>
    <w:rsid w:val="006661AC"/>
    <w:rsid w:val="0066629E"/>
    <w:rsid w:val="006663DB"/>
    <w:rsid w:val="0066645B"/>
    <w:rsid w:val="0066650C"/>
    <w:rsid w:val="00666587"/>
    <w:rsid w:val="006665B3"/>
    <w:rsid w:val="00666651"/>
    <w:rsid w:val="00666672"/>
    <w:rsid w:val="0066669F"/>
    <w:rsid w:val="00666778"/>
    <w:rsid w:val="0066683E"/>
    <w:rsid w:val="00666919"/>
    <w:rsid w:val="0066693A"/>
    <w:rsid w:val="00666A42"/>
    <w:rsid w:val="00666AE3"/>
    <w:rsid w:val="00666B95"/>
    <w:rsid w:val="00666C8C"/>
    <w:rsid w:val="00666E2B"/>
    <w:rsid w:val="00666F0F"/>
    <w:rsid w:val="006670CE"/>
    <w:rsid w:val="00667261"/>
    <w:rsid w:val="006674BB"/>
    <w:rsid w:val="006674CE"/>
    <w:rsid w:val="006674FE"/>
    <w:rsid w:val="00667500"/>
    <w:rsid w:val="00667507"/>
    <w:rsid w:val="0066759A"/>
    <w:rsid w:val="006675CF"/>
    <w:rsid w:val="00667755"/>
    <w:rsid w:val="006678E9"/>
    <w:rsid w:val="00667A69"/>
    <w:rsid w:val="00667A79"/>
    <w:rsid w:val="00667C4C"/>
    <w:rsid w:val="00667CC2"/>
    <w:rsid w:val="00667E16"/>
    <w:rsid w:val="00667EFA"/>
    <w:rsid w:val="00670159"/>
    <w:rsid w:val="0067018D"/>
    <w:rsid w:val="0067043B"/>
    <w:rsid w:val="00670443"/>
    <w:rsid w:val="00670491"/>
    <w:rsid w:val="006704F9"/>
    <w:rsid w:val="00670575"/>
    <w:rsid w:val="00670696"/>
    <w:rsid w:val="006706D0"/>
    <w:rsid w:val="0067077E"/>
    <w:rsid w:val="00670795"/>
    <w:rsid w:val="006707A5"/>
    <w:rsid w:val="006707DA"/>
    <w:rsid w:val="00670822"/>
    <w:rsid w:val="0067089E"/>
    <w:rsid w:val="00670926"/>
    <w:rsid w:val="0067098C"/>
    <w:rsid w:val="00670A0D"/>
    <w:rsid w:val="00670A2C"/>
    <w:rsid w:val="00670BED"/>
    <w:rsid w:val="00670D3F"/>
    <w:rsid w:val="00670D73"/>
    <w:rsid w:val="00670DBE"/>
    <w:rsid w:val="00670E5A"/>
    <w:rsid w:val="00670F94"/>
    <w:rsid w:val="00670FAD"/>
    <w:rsid w:val="0067105B"/>
    <w:rsid w:val="006711A7"/>
    <w:rsid w:val="006711C4"/>
    <w:rsid w:val="0067123D"/>
    <w:rsid w:val="00671293"/>
    <w:rsid w:val="00671324"/>
    <w:rsid w:val="0067138E"/>
    <w:rsid w:val="006713A9"/>
    <w:rsid w:val="006713EC"/>
    <w:rsid w:val="00671403"/>
    <w:rsid w:val="0067155F"/>
    <w:rsid w:val="006716FB"/>
    <w:rsid w:val="0067174C"/>
    <w:rsid w:val="0067181E"/>
    <w:rsid w:val="00671840"/>
    <w:rsid w:val="006718BD"/>
    <w:rsid w:val="00671969"/>
    <w:rsid w:val="00671980"/>
    <w:rsid w:val="0067199F"/>
    <w:rsid w:val="00671A70"/>
    <w:rsid w:val="00671BC1"/>
    <w:rsid w:val="00671C0C"/>
    <w:rsid w:val="00671CDB"/>
    <w:rsid w:val="00671E7D"/>
    <w:rsid w:val="00671EB6"/>
    <w:rsid w:val="00671FF1"/>
    <w:rsid w:val="00671FFC"/>
    <w:rsid w:val="006720B5"/>
    <w:rsid w:val="00672144"/>
    <w:rsid w:val="006721BC"/>
    <w:rsid w:val="006722F5"/>
    <w:rsid w:val="00672303"/>
    <w:rsid w:val="00672471"/>
    <w:rsid w:val="006724A5"/>
    <w:rsid w:val="006724AD"/>
    <w:rsid w:val="006724F3"/>
    <w:rsid w:val="00672573"/>
    <w:rsid w:val="006728C7"/>
    <w:rsid w:val="00672933"/>
    <w:rsid w:val="00672AF5"/>
    <w:rsid w:val="00672B10"/>
    <w:rsid w:val="00672E51"/>
    <w:rsid w:val="00672EED"/>
    <w:rsid w:val="00672F2C"/>
    <w:rsid w:val="00672F31"/>
    <w:rsid w:val="00672F36"/>
    <w:rsid w:val="006730F7"/>
    <w:rsid w:val="00673162"/>
    <w:rsid w:val="006731A9"/>
    <w:rsid w:val="0067349B"/>
    <w:rsid w:val="00673548"/>
    <w:rsid w:val="006735AA"/>
    <w:rsid w:val="0067367C"/>
    <w:rsid w:val="0067373B"/>
    <w:rsid w:val="00673775"/>
    <w:rsid w:val="006737B3"/>
    <w:rsid w:val="006737EB"/>
    <w:rsid w:val="006739C6"/>
    <w:rsid w:val="00673AA7"/>
    <w:rsid w:val="00673B3E"/>
    <w:rsid w:val="00673B85"/>
    <w:rsid w:val="00673E4B"/>
    <w:rsid w:val="00673EB1"/>
    <w:rsid w:val="00673EFE"/>
    <w:rsid w:val="0067409C"/>
    <w:rsid w:val="006740F3"/>
    <w:rsid w:val="00674138"/>
    <w:rsid w:val="006741B4"/>
    <w:rsid w:val="00674202"/>
    <w:rsid w:val="0067425D"/>
    <w:rsid w:val="006742A2"/>
    <w:rsid w:val="006742F1"/>
    <w:rsid w:val="00674413"/>
    <w:rsid w:val="006744A1"/>
    <w:rsid w:val="006744B5"/>
    <w:rsid w:val="006744B8"/>
    <w:rsid w:val="0067451D"/>
    <w:rsid w:val="00674552"/>
    <w:rsid w:val="006745F4"/>
    <w:rsid w:val="00674676"/>
    <w:rsid w:val="00674775"/>
    <w:rsid w:val="0067477C"/>
    <w:rsid w:val="006747EE"/>
    <w:rsid w:val="006748C2"/>
    <w:rsid w:val="006749A6"/>
    <w:rsid w:val="00674A46"/>
    <w:rsid w:val="00674B07"/>
    <w:rsid w:val="00674B93"/>
    <w:rsid w:val="00674BDC"/>
    <w:rsid w:val="00674C86"/>
    <w:rsid w:val="00674C89"/>
    <w:rsid w:val="00674CFB"/>
    <w:rsid w:val="00674D87"/>
    <w:rsid w:val="00674DDB"/>
    <w:rsid w:val="00674EDB"/>
    <w:rsid w:val="00674FF6"/>
    <w:rsid w:val="0067505B"/>
    <w:rsid w:val="00675257"/>
    <w:rsid w:val="00675266"/>
    <w:rsid w:val="006753D7"/>
    <w:rsid w:val="00675785"/>
    <w:rsid w:val="006757BC"/>
    <w:rsid w:val="00675857"/>
    <w:rsid w:val="00675888"/>
    <w:rsid w:val="006758C2"/>
    <w:rsid w:val="006759CF"/>
    <w:rsid w:val="00675A3F"/>
    <w:rsid w:val="00675C10"/>
    <w:rsid w:val="00675CC8"/>
    <w:rsid w:val="00675D17"/>
    <w:rsid w:val="00675D47"/>
    <w:rsid w:val="00675E0F"/>
    <w:rsid w:val="00675E89"/>
    <w:rsid w:val="00675F65"/>
    <w:rsid w:val="0067624D"/>
    <w:rsid w:val="0067637C"/>
    <w:rsid w:val="006763D7"/>
    <w:rsid w:val="006763E7"/>
    <w:rsid w:val="006764B1"/>
    <w:rsid w:val="006765C5"/>
    <w:rsid w:val="0067663C"/>
    <w:rsid w:val="0067684C"/>
    <w:rsid w:val="0067689C"/>
    <w:rsid w:val="0067692F"/>
    <w:rsid w:val="00676AF0"/>
    <w:rsid w:val="00676AFA"/>
    <w:rsid w:val="00676B88"/>
    <w:rsid w:val="00676B96"/>
    <w:rsid w:val="00676B9A"/>
    <w:rsid w:val="00676BAB"/>
    <w:rsid w:val="00676BB0"/>
    <w:rsid w:val="00676C5D"/>
    <w:rsid w:val="00676CB4"/>
    <w:rsid w:val="00676CD6"/>
    <w:rsid w:val="00676CDA"/>
    <w:rsid w:val="00676D6B"/>
    <w:rsid w:val="00676D80"/>
    <w:rsid w:val="00676E7C"/>
    <w:rsid w:val="00676EBE"/>
    <w:rsid w:val="00676EE1"/>
    <w:rsid w:val="00676F74"/>
    <w:rsid w:val="00677005"/>
    <w:rsid w:val="00677035"/>
    <w:rsid w:val="00677044"/>
    <w:rsid w:val="0067716B"/>
    <w:rsid w:val="006771C3"/>
    <w:rsid w:val="006771E2"/>
    <w:rsid w:val="00677357"/>
    <w:rsid w:val="00677399"/>
    <w:rsid w:val="006774C9"/>
    <w:rsid w:val="00677571"/>
    <w:rsid w:val="006775BD"/>
    <w:rsid w:val="006775DB"/>
    <w:rsid w:val="00677695"/>
    <w:rsid w:val="0067779F"/>
    <w:rsid w:val="00677806"/>
    <w:rsid w:val="0067780C"/>
    <w:rsid w:val="006778F0"/>
    <w:rsid w:val="00677AED"/>
    <w:rsid w:val="00677C16"/>
    <w:rsid w:val="00677F5B"/>
    <w:rsid w:val="00680129"/>
    <w:rsid w:val="00680133"/>
    <w:rsid w:val="0068016E"/>
    <w:rsid w:val="006802A8"/>
    <w:rsid w:val="006805AA"/>
    <w:rsid w:val="006806CC"/>
    <w:rsid w:val="00680743"/>
    <w:rsid w:val="00680959"/>
    <w:rsid w:val="00680970"/>
    <w:rsid w:val="00680A00"/>
    <w:rsid w:val="00680A70"/>
    <w:rsid w:val="00680AC2"/>
    <w:rsid w:val="00680AD8"/>
    <w:rsid w:val="00680AE4"/>
    <w:rsid w:val="00680BAE"/>
    <w:rsid w:val="00680BC1"/>
    <w:rsid w:val="00680C3B"/>
    <w:rsid w:val="00680C3C"/>
    <w:rsid w:val="00680DC9"/>
    <w:rsid w:val="00680EAB"/>
    <w:rsid w:val="00680EE8"/>
    <w:rsid w:val="00681170"/>
    <w:rsid w:val="00681174"/>
    <w:rsid w:val="006811E6"/>
    <w:rsid w:val="00681267"/>
    <w:rsid w:val="0068128F"/>
    <w:rsid w:val="00681297"/>
    <w:rsid w:val="006813CA"/>
    <w:rsid w:val="00681482"/>
    <w:rsid w:val="006814E6"/>
    <w:rsid w:val="006815E1"/>
    <w:rsid w:val="00681626"/>
    <w:rsid w:val="00681712"/>
    <w:rsid w:val="00681749"/>
    <w:rsid w:val="00681772"/>
    <w:rsid w:val="00681803"/>
    <w:rsid w:val="006818DD"/>
    <w:rsid w:val="0068196B"/>
    <w:rsid w:val="00681A35"/>
    <w:rsid w:val="00681B3A"/>
    <w:rsid w:val="00681CE3"/>
    <w:rsid w:val="00681D2F"/>
    <w:rsid w:val="00681D57"/>
    <w:rsid w:val="00681F18"/>
    <w:rsid w:val="00681F4E"/>
    <w:rsid w:val="00681FB4"/>
    <w:rsid w:val="006821D8"/>
    <w:rsid w:val="00682258"/>
    <w:rsid w:val="006822DD"/>
    <w:rsid w:val="006823C8"/>
    <w:rsid w:val="006823F0"/>
    <w:rsid w:val="00682464"/>
    <w:rsid w:val="00682729"/>
    <w:rsid w:val="00682760"/>
    <w:rsid w:val="0068283D"/>
    <w:rsid w:val="00682861"/>
    <w:rsid w:val="00682867"/>
    <w:rsid w:val="00682964"/>
    <w:rsid w:val="006829B6"/>
    <w:rsid w:val="006829CC"/>
    <w:rsid w:val="006829DA"/>
    <w:rsid w:val="00682B2C"/>
    <w:rsid w:val="00682C28"/>
    <w:rsid w:val="00682C5A"/>
    <w:rsid w:val="00682C7D"/>
    <w:rsid w:val="00682D86"/>
    <w:rsid w:val="00682DC8"/>
    <w:rsid w:val="00682F49"/>
    <w:rsid w:val="00682F6D"/>
    <w:rsid w:val="00682FAF"/>
    <w:rsid w:val="00683020"/>
    <w:rsid w:val="0068308C"/>
    <w:rsid w:val="006830AB"/>
    <w:rsid w:val="0068319E"/>
    <w:rsid w:val="00683379"/>
    <w:rsid w:val="0068344D"/>
    <w:rsid w:val="00683484"/>
    <w:rsid w:val="006835EB"/>
    <w:rsid w:val="00683631"/>
    <w:rsid w:val="00683668"/>
    <w:rsid w:val="0068367F"/>
    <w:rsid w:val="00683694"/>
    <w:rsid w:val="006836E4"/>
    <w:rsid w:val="006837AE"/>
    <w:rsid w:val="00683900"/>
    <w:rsid w:val="00683A8D"/>
    <w:rsid w:val="00683AF5"/>
    <w:rsid w:val="00683BCD"/>
    <w:rsid w:val="00683D8A"/>
    <w:rsid w:val="00683DA4"/>
    <w:rsid w:val="00683F1A"/>
    <w:rsid w:val="00683FC2"/>
    <w:rsid w:val="0068401E"/>
    <w:rsid w:val="006841F9"/>
    <w:rsid w:val="006842AC"/>
    <w:rsid w:val="0068437F"/>
    <w:rsid w:val="006843D1"/>
    <w:rsid w:val="00684483"/>
    <w:rsid w:val="006844EF"/>
    <w:rsid w:val="0068457E"/>
    <w:rsid w:val="0068459F"/>
    <w:rsid w:val="0068460E"/>
    <w:rsid w:val="0068466F"/>
    <w:rsid w:val="006846C2"/>
    <w:rsid w:val="006847F8"/>
    <w:rsid w:val="0068488E"/>
    <w:rsid w:val="006848A9"/>
    <w:rsid w:val="006848BE"/>
    <w:rsid w:val="00684956"/>
    <w:rsid w:val="00684972"/>
    <w:rsid w:val="006849F0"/>
    <w:rsid w:val="00684A42"/>
    <w:rsid w:val="00684A91"/>
    <w:rsid w:val="00684C37"/>
    <w:rsid w:val="00684CB2"/>
    <w:rsid w:val="00684D41"/>
    <w:rsid w:val="00684EA9"/>
    <w:rsid w:val="00685014"/>
    <w:rsid w:val="0068528D"/>
    <w:rsid w:val="006853A1"/>
    <w:rsid w:val="006853DC"/>
    <w:rsid w:val="0068544E"/>
    <w:rsid w:val="00685577"/>
    <w:rsid w:val="006855F2"/>
    <w:rsid w:val="0068565F"/>
    <w:rsid w:val="006857AA"/>
    <w:rsid w:val="00685840"/>
    <w:rsid w:val="00685990"/>
    <w:rsid w:val="00685B3B"/>
    <w:rsid w:val="00685D1C"/>
    <w:rsid w:val="00685D5B"/>
    <w:rsid w:val="00685E22"/>
    <w:rsid w:val="00685ED0"/>
    <w:rsid w:val="006860A9"/>
    <w:rsid w:val="006860ED"/>
    <w:rsid w:val="00686128"/>
    <w:rsid w:val="00686168"/>
    <w:rsid w:val="006861D5"/>
    <w:rsid w:val="00686212"/>
    <w:rsid w:val="006862E6"/>
    <w:rsid w:val="00686333"/>
    <w:rsid w:val="00686396"/>
    <w:rsid w:val="006863D5"/>
    <w:rsid w:val="00686451"/>
    <w:rsid w:val="006865AA"/>
    <w:rsid w:val="006865E2"/>
    <w:rsid w:val="0068662F"/>
    <w:rsid w:val="00686704"/>
    <w:rsid w:val="0068677B"/>
    <w:rsid w:val="00686A3A"/>
    <w:rsid w:val="00686A46"/>
    <w:rsid w:val="00686A69"/>
    <w:rsid w:val="00686AE1"/>
    <w:rsid w:val="00686B12"/>
    <w:rsid w:val="00686B36"/>
    <w:rsid w:val="00686B55"/>
    <w:rsid w:val="00686D29"/>
    <w:rsid w:val="00686E0C"/>
    <w:rsid w:val="00686E59"/>
    <w:rsid w:val="00686E73"/>
    <w:rsid w:val="00686F59"/>
    <w:rsid w:val="00686FEA"/>
    <w:rsid w:val="00687003"/>
    <w:rsid w:val="006872CF"/>
    <w:rsid w:val="006872DD"/>
    <w:rsid w:val="0068741D"/>
    <w:rsid w:val="006875D1"/>
    <w:rsid w:val="006875FD"/>
    <w:rsid w:val="006877F5"/>
    <w:rsid w:val="0068789A"/>
    <w:rsid w:val="006878AC"/>
    <w:rsid w:val="00687A2E"/>
    <w:rsid w:val="00687A36"/>
    <w:rsid w:val="00687A7C"/>
    <w:rsid w:val="00687A88"/>
    <w:rsid w:val="00687B19"/>
    <w:rsid w:val="00687E0C"/>
    <w:rsid w:val="006901EB"/>
    <w:rsid w:val="006902CB"/>
    <w:rsid w:val="0069052B"/>
    <w:rsid w:val="00690593"/>
    <w:rsid w:val="0069060B"/>
    <w:rsid w:val="0069061C"/>
    <w:rsid w:val="00690631"/>
    <w:rsid w:val="00690698"/>
    <w:rsid w:val="006906BD"/>
    <w:rsid w:val="00690712"/>
    <w:rsid w:val="006907E9"/>
    <w:rsid w:val="00690918"/>
    <w:rsid w:val="00690945"/>
    <w:rsid w:val="00690B4A"/>
    <w:rsid w:val="00690BB0"/>
    <w:rsid w:val="00690BD8"/>
    <w:rsid w:val="00690D1A"/>
    <w:rsid w:val="00690D7E"/>
    <w:rsid w:val="00690DAB"/>
    <w:rsid w:val="00690DCC"/>
    <w:rsid w:val="00690DE3"/>
    <w:rsid w:val="00691066"/>
    <w:rsid w:val="0069107F"/>
    <w:rsid w:val="006910BF"/>
    <w:rsid w:val="00691286"/>
    <w:rsid w:val="00691312"/>
    <w:rsid w:val="0069143E"/>
    <w:rsid w:val="0069153B"/>
    <w:rsid w:val="006916E7"/>
    <w:rsid w:val="0069185A"/>
    <w:rsid w:val="00691881"/>
    <w:rsid w:val="00691B2B"/>
    <w:rsid w:val="00691B39"/>
    <w:rsid w:val="00691BA0"/>
    <w:rsid w:val="00691BC5"/>
    <w:rsid w:val="00691D3A"/>
    <w:rsid w:val="00691EA3"/>
    <w:rsid w:val="00691F98"/>
    <w:rsid w:val="00691FE2"/>
    <w:rsid w:val="0069200A"/>
    <w:rsid w:val="006920BD"/>
    <w:rsid w:val="00692175"/>
    <w:rsid w:val="0069225A"/>
    <w:rsid w:val="00692263"/>
    <w:rsid w:val="006922C2"/>
    <w:rsid w:val="006923CE"/>
    <w:rsid w:val="00692400"/>
    <w:rsid w:val="00692431"/>
    <w:rsid w:val="006924D1"/>
    <w:rsid w:val="006924EE"/>
    <w:rsid w:val="0069256F"/>
    <w:rsid w:val="00692632"/>
    <w:rsid w:val="0069274A"/>
    <w:rsid w:val="006928BE"/>
    <w:rsid w:val="0069291C"/>
    <w:rsid w:val="00692923"/>
    <w:rsid w:val="00692948"/>
    <w:rsid w:val="00692A5A"/>
    <w:rsid w:val="00692ABE"/>
    <w:rsid w:val="00692B54"/>
    <w:rsid w:val="00692C27"/>
    <w:rsid w:val="00692CD8"/>
    <w:rsid w:val="00692D8D"/>
    <w:rsid w:val="00692DAE"/>
    <w:rsid w:val="00692E55"/>
    <w:rsid w:val="00692EF0"/>
    <w:rsid w:val="0069301E"/>
    <w:rsid w:val="00693057"/>
    <w:rsid w:val="00693061"/>
    <w:rsid w:val="00693109"/>
    <w:rsid w:val="0069316E"/>
    <w:rsid w:val="00693318"/>
    <w:rsid w:val="006933FE"/>
    <w:rsid w:val="0069340C"/>
    <w:rsid w:val="00693440"/>
    <w:rsid w:val="0069353B"/>
    <w:rsid w:val="0069353F"/>
    <w:rsid w:val="00693578"/>
    <w:rsid w:val="00693617"/>
    <w:rsid w:val="006936E5"/>
    <w:rsid w:val="006936F3"/>
    <w:rsid w:val="0069376C"/>
    <w:rsid w:val="00693985"/>
    <w:rsid w:val="00693A53"/>
    <w:rsid w:val="00693A7F"/>
    <w:rsid w:val="00693B18"/>
    <w:rsid w:val="00693B52"/>
    <w:rsid w:val="00693B61"/>
    <w:rsid w:val="00693D3E"/>
    <w:rsid w:val="00693D64"/>
    <w:rsid w:val="00693EBA"/>
    <w:rsid w:val="00694094"/>
    <w:rsid w:val="006940B0"/>
    <w:rsid w:val="006940D0"/>
    <w:rsid w:val="006941DE"/>
    <w:rsid w:val="006941EA"/>
    <w:rsid w:val="00694311"/>
    <w:rsid w:val="00694327"/>
    <w:rsid w:val="00694362"/>
    <w:rsid w:val="006943F5"/>
    <w:rsid w:val="0069441E"/>
    <w:rsid w:val="00694444"/>
    <w:rsid w:val="0069449B"/>
    <w:rsid w:val="0069459A"/>
    <w:rsid w:val="006945D5"/>
    <w:rsid w:val="006946AB"/>
    <w:rsid w:val="00694735"/>
    <w:rsid w:val="006947FA"/>
    <w:rsid w:val="00694AD6"/>
    <w:rsid w:val="00694B22"/>
    <w:rsid w:val="00694CCB"/>
    <w:rsid w:val="00694D57"/>
    <w:rsid w:val="00694D9A"/>
    <w:rsid w:val="00694E3A"/>
    <w:rsid w:val="00694E59"/>
    <w:rsid w:val="00694EE5"/>
    <w:rsid w:val="00694F3C"/>
    <w:rsid w:val="00694FBA"/>
    <w:rsid w:val="00695025"/>
    <w:rsid w:val="006950B9"/>
    <w:rsid w:val="00695178"/>
    <w:rsid w:val="006951D6"/>
    <w:rsid w:val="0069521C"/>
    <w:rsid w:val="00695231"/>
    <w:rsid w:val="0069524A"/>
    <w:rsid w:val="006952AE"/>
    <w:rsid w:val="006953BA"/>
    <w:rsid w:val="006953D7"/>
    <w:rsid w:val="006954CF"/>
    <w:rsid w:val="00695530"/>
    <w:rsid w:val="00695548"/>
    <w:rsid w:val="0069555E"/>
    <w:rsid w:val="00695911"/>
    <w:rsid w:val="006959A9"/>
    <w:rsid w:val="00695A30"/>
    <w:rsid w:val="00695A9A"/>
    <w:rsid w:val="00695AC1"/>
    <w:rsid w:val="00695B81"/>
    <w:rsid w:val="00695B9E"/>
    <w:rsid w:val="00695BDF"/>
    <w:rsid w:val="00695DEE"/>
    <w:rsid w:val="00695F4E"/>
    <w:rsid w:val="00695F81"/>
    <w:rsid w:val="006960CF"/>
    <w:rsid w:val="00696189"/>
    <w:rsid w:val="006961C4"/>
    <w:rsid w:val="00696310"/>
    <w:rsid w:val="00696344"/>
    <w:rsid w:val="00696379"/>
    <w:rsid w:val="006963CD"/>
    <w:rsid w:val="006963E7"/>
    <w:rsid w:val="00696475"/>
    <w:rsid w:val="006965CC"/>
    <w:rsid w:val="00696693"/>
    <w:rsid w:val="00696778"/>
    <w:rsid w:val="006967DE"/>
    <w:rsid w:val="0069689C"/>
    <w:rsid w:val="006969D3"/>
    <w:rsid w:val="00696AF8"/>
    <w:rsid w:val="00696D48"/>
    <w:rsid w:val="00696D77"/>
    <w:rsid w:val="00696DDB"/>
    <w:rsid w:val="00696E4F"/>
    <w:rsid w:val="00697070"/>
    <w:rsid w:val="006970FC"/>
    <w:rsid w:val="00697103"/>
    <w:rsid w:val="0069725A"/>
    <w:rsid w:val="006972E0"/>
    <w:rsid w:val="00697346"/>
    <w:rsid w:val="006973F5"/>
    <w:rsid w:val="0069743D"/>
    <w:rsid w:val="00697572"/>
    <w:rsid w:val="00697687"/>
    <w:rsid w:val="006976D9"/>
    <w:rsid w:val="006979B2"/>
    <w:rsid w:val="00697B97"/>
    <w:rsid w:val="00697BEA"/>
    <w:rsid w:val="00697CC7"/>
    <w:rsid w:val="00697E59"/>
    <w:rsid w:val="00697EE5"/>
    <w:rsid w:val="00697FD7"/>
    <w:rsid w:val="006A0023"/>
    <w:rsid w:val="006A0527"/>
    <w:rsid w:val="006A0531"/>
    <w:rsid w:val="006A0571"/>
    <w:rsid w:val="006A060E"/>
    <w:rsid w:val="006A0683"/>
    <w:rsid w:val="006A06B3"/>
    <w:rsid w:val="006A06D7"/>
    <w:rsid w:val="006A06E4"/>
    <w:rsid w:val="006A07E0"/>
    <w:rsid w:val="006A08BC"/>
    <w:rsid w:val="006A0B0D"/>
    <w:rsid w:val="006A0BDC"/>
    <w:rsid w:val="006A0C79"/>
    <w:rsid w:val="006A0D07"/>
    <w:rsid w:val="006A0D48"/>
    <w:rsid w:val="006A0E54"/>
    <w:rsid w:val="006A0EC9"/>
    <w:rsid w:val="006A103C"/>
    <w:rsid w:val="006A12D2"/>
    <w:rsid w:val="006A12D4"/>
    <w:rsid w:val="006A1444"/>
    <w:rsid w:val="006A160C"/>
    <w:rsid w:val="006A168F"/>
    <w:rsid w:val="006A183F"/>
    <w:rsid w:val="006A1928"/>
    <w:rsid w:val="006A1A38"/>
    <w:rsid w:val="006A1AD2"/>
    <w:rsid w:val="006A1B9C"/>
    <w:rsid w:val="006A1C6C"/>
    <w:rsid w:val="006A1D1D"/>
    <w:rsid w:val="006A1DF4"/>
    <w:rsid w:val="006A1E40"/>
    <w:rsid w:val="006A1EFD"/>
    <w:rsid w:val="006A1FBA"/>
    <w:rsid w:val="006A20E8"/>
    <w:rsid w:val="006A2127"/>
    <w:rsid w:val="006A2188"/>
    <w:rsid w:val="006A22EB"/>
    <w:rsid w:val="006A2329"/>
    <w:rsid w:val="006A239C"/>
    <w:rsid w:val="006A2418"/>
    <w:rsid w:val="006A25EB"/>
    <w:rsid w:val="006A2661"/>
    <w:rsid w:val="006A27D9"/>
    <w:rsid w:val="006A29A3"/>
    <w:rsid w:val="006A2B58"/>
    <w:rsid w:val="006A2C83"/>
    <w:rsid w:val="006A2CB1"/>
    <w:rsid w:val="006A2D2F"/>
    <w:rsid w:val="006A2E0A"/>
    <w:rsid w:val="006A2E79"/>
    <w:rsid w:val="006A2E97"/>
    <w:rsid w:val="006A2F31"/>
    <w:rsid w:val="006A3182"/>
    <w:rsid w:val="006A319E"/>
    <w:rsid w:val="006A31F9"/>
    <w:rsid w:val="006A32C6"/>
    <w:rsid w:val="006A331C"/>
    <w:rsid w:val="006A33C6"/>
    <w:rsid w:val="006A349E"/>
    <w:rsid w:val="006A34C9"/>
    <w:rsid w:val="006A3670"/>
    <w:rsid w:val="006A367C"/>
    <w:rsid w:val="006A36D5"/>
    <w:rsid w:val="006A36EA"/>
    <w:rsid w:val="006A389E"/>
    <w:rsid w:val="006A3935"/>
    <w:rsid w:val="006A3B2F"/>
    <w:rsid w:val="006A3C7E"/>
    <w:rsid w:val="006A3E1E"/>
    <w:rsid w:val="006A3E1F"/>
    <w:rsid w:val="006A3F1C"/>
    <w:rsid w:val="006A4078"/>
    <w:rsid w:val="006A40B6"/>
    <w:rsid w:val="006A41A8"/>
    <w:rsid w:val="006A4221"/>
    <w:rsid w:val="006A42D0"/>
    <w:rsid w:val="006A4340"/>
    <w:rsid w:val="006A43C6"/>
    <w:rsid w:val="006A43F2"/>
    <w:rsid w:val="006A453A"/>
    <w:rsid w:val="006A45A1"/>
    <w:rsid w:val="006A46D3"/>
    <w:rsid w:val="006A4710"/>
    <w:rsid w:val="006A4890"/>
    <w:rsid w:val="006A4984"/>
    <w:rsid w:val="006A4992"/>
    <w:rsid w:val="006A4A4D"/>
    <w:rsid w:val="006A4B23"/>
    <w:rsid w:val="006A4BAB"/>
    <w:rsid w:val="006A4BC5"/>
    <w:rsid w:val="006A4C9D"/>
    <w:rsid w:val="006A4CA7"/>
    <w:rsid w:val="006A4CED"/>
    <w:rsid w:val="006A4D9E"/>
    <w:rsid w:val="006A4E35"/>
    <w:rsid w:val="006A4E3F"/>
    <w:rsid w:val="006A4E85"/>
    <w:rsid w:val="006A4EFB"/>
    <w:rsid w:val="006A4F3E"/>
    <w:rsid w:val="006A502D"/>
    <w:rsid w:val="006A50D3"/>
    <w:rsid w:val="006A53BA"/>
    <w:rsid w:val="006A540C"/>
    <w:rsid w:val="006A56F5"/>
    <w:rsid w:val="006A57A8"/>
    <w:rsid w:val="006A58DA"/>
    <w:rsid w:val="006A58EF"/>
    <w:rsid w:val="006A59DB"/>
    <w:rsid w:val="006A5A26"/>
    <w:rsid w:val="006A5A87"/>
    <w:rsid w:val="006A5A8B"/>
    <w:rsid w:val="006A5AD4"/>
    <w:rsid w:val="006A5B1D"/>
    <w:rsid w:val="006A5B86"/>
    <w:rsid w:val="006A5C42"/>
    <w:rsid w:val="006A5C91"/>
    <w:rsid w:val="006A5D62"/>
    <w:rsid w:val="006A5D6F"/>
    <w:rsid w:val="006A5DAA"/>
    <w:rsid w:val="006A6024"/>
    <w:rsid w:val="006A6049"/>
    <w:rsid w:val="006A6079"/>
    <w:rsid w:val="006A6155"/>
    <w:rsid w:val="006A6253"/>
    <w:rsid w:val="006A63BF"/>
    <w:rsid w:val="006A6515"/>
    <w:rsid w:val="006A662D"/>
    <w:rsid w:val="006A66A6"/>
    <w:rsid w:val="006A66A8"/>
    <w:rsid w:val="006A66F2"/>
    <w:rsid w:val="006A67A8"/>
    <w:rsid w:val="006A682B"/>
    <w:rsid w:val="006A6A53"/>
    <w:rsid w:val="006A6ABB"/>
    <w:rsid w:val="006A6B23"/>
    <w:rsid w:val="006A6BC1"/>
    <w:rsid w:val="006A6C5D"/>
    <w:rsid w:val="006A6D97"/>
    <w:rsid w:val="006A6DA6"/>
    <w:rsid w:val="006A6DF7"/>
    <w:rsid w:val="006A6FCA"/>
    <w:rsid w:val="006A7089"/>
    <w:rsid w:val="006A7154"/>
    <w:rsid w:val="006A74A1"/>
    <w:rsid w:val="006A7718"/>
    <w:rsid w:val="006A77F2"/>
    <w:rsid w:val="006A789F"/>
    <w:rsid w:val="006A7964"/>
    <w:rsid w:val="006A79D8"/>
    <w:rsid w:val="006A7A16"/>
    <w:rsid w:val="006A7A6B"/>
    <w:rsid w:val="006A7C90"/>
    <w:rsid w:val="006A7CC8"/>
    <w:rsid w:val="006A7CDD"/>
    <w:rsid w:val="006A7E84"/>
    <w:rsid w:val="006A7EBA"/>
    <w:rsid w:val="006A7ECC"/>
    <w:rsid w:val="006A7F5F"/>
    <w:rsid w:val="006B0139"/>
    <w:rsid w:val="006B028F"/>
    <w:rsid w:val="006B037D"/>
    <w:rsid w:val="006B0395"/>
    <w:rsid w:val="006B03D3"/>
    <w:rsid w:val="006B03E0"/>
    <w:rsid w:val="006B04AC"/>
    <w:rsid w:val="006B04F5"/>
    <w:rsid w:val="006B0530"/>
    <w:rsid w:val="006B06E7"/>
    <w:rsid w:val="006B0734"/>
    <w:rsid w:val="006B0865"/>
    <w:rsid w:val="006B0978"/>
    <w:rsid w:val="006B0996"/>
    <w:rsid w:val="006B0A5D"/>
    <w:rsid w:val="006B0A77"/>
    <w:rsid w:val="006B0A8A"/>
    <w:rsid w:val="006B0AE7"/>
    <w:rsid w:val="006B0BB3"/>
    <w:rsid w:val="006B0BF7"/>
    <w:rsid w:val="006B0C4E"/>
    <w:rsid w:val="006B0DDD"/>
    <w:rsid w:val="006B0F50"/>
    <w:rsid w:val="006B105F"/>
    <w:rsid w:val="006B10AE"/>
    <w:rsid w:val="006B116D"/>
    <w:rsid w:val="006B1252"/>
    <w:rsid w:val="006B1375"/>
    <w:rsid w:val="006B148F"/>
    <w:rsid w:val="006B15D2"/>
    <w:rsid w:val="006B1718"/>
    <w:rsid w:val="006B1738"/>
    <w:rsid w:val="006B177F"/>
    <w:rsid w:val="006B1788"/>
    <w:rsid w:val="006B1797"/>
    <w:rsid w:val="006B1892"/>
    <w:rsid w:val="006B1A5E"/>
    <w:rsid w:val="006B1A8C"/>
    <w:rsid w:val="006B1B5F"/>
    <w:rsid w:val="006B1BB5"/>
    <w:rsid w:val="006B1BB9"/>
    <w:rsid w:val="006B1C18"/>
    <w:rsid w:val="006B1CB7"/>
    <w:rsid w:val="006B1CE9"/>
    <w:rsid w:val="006B1CEA"/>
    <w:rsid w:val="006B1D52"/>
    <w:rsid w:val="006B1E30"/>
    <w:rsid w:val="006B1E9E"/>
    <w:rsid w:val="006B1F68"/>
    <w:rsid w:val="006B1FC9"/>
    <w:rsid w:val="006B2005"/>
    <w:rsid w:val="006B20FE"/>
    <w:rsid w:val="006B2106"/>
    <w:rsid w:val="006B2129"/>
    <w:rsid w:val="006B21B5"/>
    <w:rsid w:val="006B222A"/>
    <w:rsid w:val="006B2295"/>
    <w:rsid w:val="006B22FC"/>
    <w:rsid w:val="006B2323"/>
    <w:rsid w:val="006B2364"/>
    <w:rsid w:val="006B2454"/>
    <w:rsid w:val="006B2554"/>
    <w:rsid w:val="006B258A"/>
    <w:rsid w:val="006B2787"/>
    <w:rsid w:val="006B28EF"/>
    <w:rsid w:val="006B28F7"/>
    <w:rsid w:val="006B2B71"/>
    <w:rsid w:val="006B2BCE"/>
    <w:rsid w:val="006B2C92"/>
    <w:rsid w:val="006B2D34"/>
    <w:rsid w:val="006B2D51"/>
    <w:rsid w:val="006B2F84"/>
    <w:rsid w:val="006B2FB6"/>
    <w:rsid w:val="006B3051"/>
    <w:rsid w:val="006B3248"/>
    <w:rsid w:val="006B331A"/>
    <w:rsid w:val="006B3346"/>
    <w:rsid w:val="006B33D7"/>
    <w:rsid w:val="006B33F7"/>
    <w:rsid w:val="006B3465"/>
    <w:rsid w:val="006B34F6"/>
    <w:rsid w:val="006B361E"/>
    <w:rsid w:val="006B3673"/>
    <w:rsid w:val="006B37CE"/>
    <w:rsid w:val="006B380A"/>
    <w:rsid w:val="006B3898"/>
    <w:rsid w:val="006B3A3C"/>
    <w:rsid w:val="006B3A82"/>
    <w:rsid w:val="006B3B04"/>
    <w:rsid w:val="006B3D1D"/>
    <w:rsid w:val="006B3D58"/>
    <w:rsid w:val="006B3F63"/>
    <w:rsid w:val="006B3FF2"/>
    <w:rsid w:val="006B40A9"/>
    <w:rsid w:val="006B4350"/>
    <w:rsid w:val="006B4375"/>
    <w:rsid w:val="006B43C4"/>
    <w:rsid w:val="006B4534"/>
    <w:rsid w:val="006B46F4"/>
    <w:rsid w:val="006B4725"/>
    <w:rsid w:val="006B4770"/>
    <w:rsid w:val="006B4978"/>
    <w:rsid w:val="006B49E8"/>
    <w:rsid w:val="006B4A05"/>
    <w:rsid w:val="006B4AB0"/>
    <w:rsid w:val="006B4AB8"/>
    <w:rsid w:val="006B4B29"/>
    <w:rsid w:val="006B4C59"/>
    <w:rsid w:val="006B4C87"/>
    <w:rsid w:val="006B4DA6"/>
    <w:rsid w:val="006B4E08"/>
    <w:rsid w:val="006B4EB6"/>
    <w:rsid w:val="006B4F47"/>
    <w:rsid w:val="006B5078"/>
    <w:rsid w:val="006B50B6"/>
    <w:rsid w:val="006B5112"/>
    <w:rsid w:val="006B516D"/>
    <w:rsid w:val="006B52FC"/>
    <w:rsid w:val="006B537D"/>
    <w:rsid w:val="006B5490"/>
    <w:rsid w:val="006B5494"/>
    <w:rsid w:val="006B54BA"/>
    <w:rsid w:val="006B54BE"/>
    <w:rsid w:val="006B551D"/>
    <w:rsid w:val="006B5534"/>
    <w:rsid w:val="006B56C3"/>
    <w:rsid w:val="006B56CA"/>
    <w:rsid w:val="006B5804"/>
    <w:rsid w:val="006B582C"/>
    <w:rsid w:val="006B5896"/>
    <w:rsid w:val="006B58BC"/>
    <w:rsid w:val="006B597A"/>
    <w:rsid w:val="006B5AEF"/>
    <w:rsid w:val="006B5B40"/>
    <w:rsid w:val="006B5B6D"/>
    <w:rsid w:val="006B5B97"/>
    <w:rsid w:val="006B5C40"/>
    <w:rsid w:val="006B5D2B"/>
    <w:rsid w:val="006B5D3F"/>
    <w:rsid w:val="006B5D8B"/>
    <w:rsid w:val="006B5E4C"/>
    <w:rsid w:val="006B607F"/>
    <w:rsid w:val="006B60ED"/>
    <w:rsid w:val="006B6102"/>
    <w:rsid w:val="006B623E"/>
    <w:rsid w:val="006B6283"/>
    <w:rsid w:val="006B62B5"/>
    <w:rsid w:val="006B62DE"/>
    <w:rsid w:val="006B62E2"/>
    <w:rsid w:val="006B6451"/>
    <w:rsid w:val="006B655E"/>
    <w:rsid w:val="006B6626"/>
    <w:rsid w:val="006B6698"/>
    <w:rsid w:val="006B6759"/>
    <w:rsid w:val="006B67DB"/>
    <w:rsid w:val="006B6819"/>
    <w:rsid w:val="006B681B"/>
    <w:rsid w:val="006B6860"/>
    <w:rsid w:val="006B6ACB"/>
    <w:rsid w:val="006B6CC1"/>
    <w:rsid w:val="006B6E0E"/>
    <w:rsid w:val="006B6E8D"/>
    <w:rsid w:val="006B6FFA"/>
    <w:rsid w:val="006B7089"/>
    <w:rsid w:val="006B723F"/>
    <w:rsid w:val="006B725E"/>
    <w:rsid w:val="006B72FA"/>
    <w:rsid w:val="006B72FC"/>
    <w:rsid w:val="006B756F"/>
    <w:rsid w:val="006B75C1"/>
    <w:rsid w:val="006B7656"/>
    <w:rsid w:val="006B771F"/>
    <w:rsid w:val="006B7879"/>
    <w:rsid w:val="006B78D6"/>
    <w:rsid w:val="006B79F8"/>
    <w:rsid w:val="006B7AB6"/>
    <w:rsid w:val="006B7B19"/>
    <w:rsid w:val="006B7B2F"/>
    <w:rsid w:val="006B7D20"/>
    <w:rsid w:val="006B7F65"/>
    <w:rsid w:val="006B7FA0"/>
    <w:rsid w:val="006B7FF6"/>
    <w:rsid w:val="006C0181"/>
    <w:rsid w:val="006C01D3"/>
    <w:rsid w:val="006C03D1"/>
    <w:rsid w:val="006C0582"/>
    <w:rsid w:val="006C0583"/>
    <w:rsid w:val="006C0661"/>
    <w:rsid w:val="006C068C"/>
    <w:rsid w:val="006C069B"/>
    <w:rsid w:val="006C06D9"/>
    <w:rsid w:val="006C0738"/>
    <w:rsid w:val="006C0757"/>
    <w:rsid w:val="006C07A1"/>
    <w:rsid w:val="006C08CF"/>
    <w:rsid w:val="006C0A5F"/>
    <w:rsid w:val="006C0A97"/>
    <w:rsid w:val="006C0ABF"/>
    <w:rsid w:val="006C0AFD"/>
    <w:rsid w:val="006C0B0B"/>
    <w:rsid w:val="006C0B11"/>
    <w:rsid w:val="006C0D19"/>
    <w:rsid w:val="006C0D78"/>
    <w:rsid w:val="006C0E39"/>
    <w:rsid w:val="006C1099"/>
    <w:rsid w:val="006C1188"/>
    <w:rsid w:val="006C140F"/>
    <w:rsid w:val="006C1413"/>
    <w:rsid w:val="006C1509"/>
    <w:rsid w:val="006C1563"/>
    <w:rsid w:val="006C15EC"/>
    <w:rsid w:val="006C16FF"/>
    <w:rsid w:val="006C1763"/>
    <w:rsid w:val="006C17CA"/>
    <w:rsid w:val="006C18A6"/>
    <w:rsid w:val="006C1AA1"/>
    <w:rsid w:val="006C1B60"/>
    <w:rsid w:val="006C1B7A"/>
    <w:rsid w:val="006C1CF9"/>
    <w:rsid w:val="006C1D57"/>
    <w:rsid w:val="006C2202"/>
    <w:rsid w:val="006C2258"/>
    <w:rsid w:val="006C227D"/>
    <w:rsid w:val="006C2317"/>
    <w:rsid w:val="006C23F9"/>
    <w:rsid w:val="006C241D"/>
    <w:rsid w:val="006C24CE"/>
    <w:rsid w:val="006C25A2"/>
    <w:rsid w:val="006C261F"/>
    <w:rsid w:val="006C26DB"/>
    <w:rsid w:val="006C2796"/>
    <w:rsid w:val="006C27A5"/>
    <w:rsid w:val="006C2874"/>
    <w:rsid w:val="006C29B3"/>
    <w:rsid w:val="006C2A94"/>
    <w:rsid w:val="006C2AC8"/>
    <w:rsid w:val="006C2C5F"/>
    <w:rsid w:val="006C2CEB"/>
    <w:rsid w:val="006C2D42"/>
    <w:rsid w:val="006C2EA8"/>
    <w:rsid w:val="006C2FA9"/>
    <w:rsid w:val="006C2FEA"/>
    <w:rsid w:val="006C3027"/>
    <w:rsid w:val="006C302A"/>
    <w:rsid w:val="006C306D"/>
    <w:rsid w:val="006C31DF"/>
    <w:rsid w:val="006C3273"/>
    <w:rsid w:val="006C3306"/>
    <w:rsid w:val="006C33BD"/>
    <w:rsid w:val="006C3520"/>
    <w:rsid w:val="006C359E"/>
    <w:rsid w:val="006C362D"/>
    <w:rsid w:val="006C3747"/>
    <w:rsid w:val="006C3789"/>
    <w:rsid w:val="006C380B"/>
    <w:rsid w:val="006C388D"/>
    <w:rsid w:val="006C38AC"/>
    <w:rsid w:val="006C38CD"/>
    <w:rsid w:val="006C3923"/>
    <w:rsid w:val="006C39E5"/>
    <w:rsid w:val="006C3D39"/>
    <w:rsid w:val="006C3D4D"/>
    <w:rsid w:val="006C3D70"/>
    <w:rsid w:val="006C3DE7"/>
    <w:rsid w:val="006C3E11"/>
    <w:rsid w:val="006C3EC9"/>
    <w:rsid w:val="006C3F16"/>
    <w:rsid w:val="006C3F64"/>
    <w:rsid w:val="006C43C6"/>
    <w:rsid w:val="006C449C"/>
    <w:rsid w:val="006C44A6"/>
    <w:rsid w:val="006C44EF"/>
    <w:rsid w:val="006C45F7"/>
    <w:rsid w:val="006C4667"/>
    <w:rsid w:val="006C478A"/>
    <w:rsid w:val="006C47B5"/>
    <w:rsid w:val="006C48A3"/>
    <w:rsid w:val="006C48F7"/>
    <w:rsid w:val="006C4990"/>
    <w:rsid w:val="006C49E9"/>
    <w:rsid w:val="006C4B11"/>
    <w:rsid w:val="006C4C44"/>
    <w:rsid w:val="006C4C5C"/>
    <w:rsid w:val="006C4CA4"/>
    <w:rsid w:val="006C4D64"/>
    <w:rsid w:val="006C4E06"/>
    <w:rsid w:val="006C4E3D"/>
    <w:rsid w:val="006C4E4B"/>
    <w:rsid w:val="006C4E64"/>
    <w:rsid w:val="006C4E8A"/>
    <w:rsid w:val="006C4ED4"/>
    <w:rsid w:val="006C4EDF"/>
    <w:rsid w:val="006C4F03"/>
    <w:rsid w:val="006C4F7B"/>
    <w:rsid w:val="006C4FC2"/>
    <w:rsid w:val="006C50BF"/>
    <w:rsid w:val="006C5145"/>
    <w:rsid w:val="006C5149"/>
    <w:rsid w:val="006C5155"/>
    <w:rsid w:val="006C51FD"/>
    <w:rsid w:val="006C5200"/>
    <w:rsid w:val="006C520C"/>
    <w:rsid w:val="006C533A"/>
    <w:rsid w:val="006C533C"/>
    <w:rsid w:val="006C53A2"/>
    <w:rsid w:val="006C5421"/>
    <w:rsid w:val="006C552C"/>
    <w:rsid w:val="006C5720"/>
    <w:rsid w:val="006C5808"/>
    <w:rsid w:val="006C596E"/>
    <w:rsid w:val="006C59A1"/>
    <w:rsid w:val="006C59D3"/>
    <w:rsid w:val="006C59E4"/>
    <w:rsid w:val="006C5A59"/>
    <w:rsid w:val="006C5CBA"/>
    <w:rsid w:val="006C5D01"/>
    <w:rsid w:val="006C5D3F"/>
    <w:rsid w:val="006C5D78"/>
    <w:rsid w:val="006C5F2A"/>
    <w:rsid w:val="006C5FBA"/>
    <w:rsid w:val="006C604C"/>
    <w:rsid w:val="006C60A2"/>
    <w:rsid w:val="006C614F"/>
    <w:rsid w:val="006C61BA"/>
    <w:rsid w:val="006C626D"/>
    <w:rsid w:val="006C632B"/>
    <w:rsid w:val="006C6332"/>
    <w:rsid w:val="006C6428"/>
    <w:rsid w:val="006C6693"/>
    <w:rsid w:val="006C66A5"/>
    <w:rsid w:val="006C67D0"/>
    <w:rsid w:val="006C685E"/>
    <w:rsid w:val="006C6A2C"/>
    <w:rsid w:val="006C6CB3"/>
    <w:rsid w:val="006C6CC0"/>
    <w:rsid w:val="006C6E8E"/>
    <w:rsid w:val="006C6F3B"/>
    <w:rsid w:val="006C6FAA"/>
    <w:rsid w:val="006C6FC5"/>
    <w:rsid w:val="006C715E"/>
    <w:rsid w:val="006C7180"/>
    <w:rsid w:val="006C71D8"/>
    <w:rsid w:val="006C7246"/>
    <w:rsid w:val="006C7291"/>
    <w:rsid w:val="006C7300"/>
    <w:rsid w:val="006C734E"/>
    <w:rsid w:val="006C7493"/>
    <w:rsid w:val="006C750D"/>
    <w:rsid w:val="006C75C5"/>
    <w:rsid w:val="006C7601"/>
    <w:rsid w:val="006C765C"/>
    <w:rsid w:val="006C7909"/>
    <w:rsid w:val="006C79CB"/>
    <w:rsid w:val="006C7AF6"/>
    <w:rsid w:val="006C7B42"/>
    <w:rsid w:val="006C7BBE"/>
    <w:rsid w:val="006C7C30"/>
    <w:rsid w:val="006C7CA8"/>
    <w:rsid w:val="006C7E7A"/>
    <w:rsid w:val="006C7EEE"/>
    <w:rsid w:val="006D00EF"/>
    <w:rsid w:val="006D011A"/>
    <w:rsid w:val="006D0130"/>
    <w:rsid w:val="006D019C"/>
    <w:rsid w:val="006D02CE"/>
    <w:rsid w:val="006D0460"/>
    <w:rsid w:val="006D0504"/>
    <w:rsid w:val="006D05D4"/>
    <w:rsid w:val="006D066D"/>
    <w:rsid w:val="006D06B5"/>
    <w:rsid w:val="006D07A1"/>
    <w:rsid w:val="006D07E3"/>
    <w:rsid w:val="006D0840"/>
    <w:rsid w:val="006D0856"/>
    <w:rsid w:val="006D0870"/>
    <w:rsid w:val="006D0967"/>
    <w:rsid w:val="006D099A"/>
    <w:rsid w:val="006D09EF"/>
    <w:rsid w:val="006D0A2F"/>
    <w:rsid w:val="006D0A79"/>
    <w:rsid w:val="006D0B5C"/>
    <w:rsid w:val="006D0C7D"/>
    <w:rsid w:val="006D0D47"/>
    <w:rsid w:val="006D0D73"/>
    <w:rsid w:val="006D0E38"/>
    <w:rsid w:val="006D0EC6"/>
    <w:rsid w:val="006D0F94"/>
    <w:rsid w:val="006D0FD9"/>
    <w:rsid w:val="006D109D"/>
    <w:rsid w:val="006D118A"/>
    <w:rsid w:val="006D1233"/>
    <w:rsid w:val="006D129D"/>
    <w:rsid w:val="006D14D5"/>
    <w:rsid w:val="006D15A2"/>
    <w:rsid w:val="006D1707"/>
    <w:rsid w:val="006D1748"/>
    <w:rsid w:val="006D1809"/>
    <w:rsid w:val="006D1828"/>
    <w:rsid w:val="006D183D"/>
    <w:rsid w:val="006D18BE"/>
    <w:rsid w:val="006D19A0"/>
    <w:rsid w:val="006D19BD"/>
    <w:rsid w:val="006D1AB9"/>
    <w:rsid w:val="006D1B5A"/>
    <w:rsid w:val="006D1B7A"/>
    <w:rsid w:val="006D1C96"/>
    <w:rsid w:val="006D1CC0"/>
    <w:rsid w:val="006D1FAB"/>
    <w:rsid w:val="006D218A"/>
    <w:rsid w:val="006D226A"/>
    <w:rsid w:val="006D22D7"/>
    <w:rsid w:val="006D22E5"/>
    <w:rsid w:val="006D2520"/>
    <w:rsid w:val="006D257D"/>
    <w:rsid w:val="006D262F"/>
    <w:rsid w:val="006D26CD"/>
    <w:rsid w:val="006D26DE"/>
    <w:rsid w:val="006D27C9"/>
    <w:rsid w:val="006D27D1"/>
    <w:rsid w:val="006D2B1A"/>
    <w:rsid w:val="006D2DE5"/>
    <w:rsid w:val="006D2E25"/>
    <w:rsid w:val="006D2E87"/>
    <w:rsid w:val="006D2E91"/>
    <w:rsid w:val="006D2F36"/>
    <w:rsid w:val="006D3009"/>
    <w:rsid w:val="006D30FD"/>
    <w:rsid w:val="006D3118"/>
    <w:rsid w:val="006D3134"/>
    <w:rsid w:val="006D313D"/>
    <w:rsid w:val="006D31CA"/>
    <w:rsid w:val="006D32F4"/>
    <w:rsid w:val="006D3312"/>
    <w:rsid w:val="006D339F"/>
    <w:rsid w:val="006D35DB"/>
    <w:rsid w:val="006D36F6"/>
    <w:rsid w:val="006D36FC"/>
    <w:rsid w:val="006D385D"/>
    <w:rsid w:val="006D38E9"/>
    <w:rsid w:val="006D39D3"/>
    <w:rsid w:val="006D3C86"/>
    <w:rsid w:val="006D3CA3"/>
    <w:rsid w:val="006D3CF5"/>
    <w:rsid w:val="006D3D14"/>
    <w:rsid w:val="006D3EA7"/>
    <w:rsid w:val="006D3EC9"/>
    <w:rsid w:val="006D3F4C"/>
    <w:rsid w:val="006D3FF8"/>
    <w:rsid w:val="006D4102"/>
    <w:rsid w:val="006D4115"/>
    <w:rsid w:val="006D41BC"/>
    <w:rsid w:val="006D4231"/>
    <w:rsid w:val="006D427A"/>
    <w:rsid w:val="006D42A0"/>
    <w:rsid w:val="006D43B1"/>
    <w:rsid w:val="006D44DB"/>
    <w:rsid w:val="006D45ED"/>
    <w:rsid w:val="006D470A"/>
    <w:rsid w:val="006D473D"/>
    <w:rsid w:val="006D476E"/>
    <w:rsid w:val="006D47A4"/>
    <w:rsid w:val="006D47D6"/>
    <w:rsid w:val="006D48D5"/>
    <w:rsid w:val="006D4956"/>
    <w:rsid w:val="006D4ADB"/>
    <w:rsid w:val="006D4C38"/>
    <w:rsid w:val="006D4D2D"/>
    <w:rsid w:val="006D4DBB"/>
    <w:rsid w:val="006D4E93"/>
    <w:rsid w:val="006D4EDB"/>
    <w:rsid w:val="006D4EEA"/>
    <w:rsid w:val="006D51C7"/>
    <w:rsid w:val="006D528D"/>
    <w:rsid w:val="006D52C1"/>
    <w:rsid w:val="006D5383"/>
    <w:rsid w:val="006D541C"/>
    <w:rsid w:val="006D5510"/>
    <w:rsid w:val="006D5624"/>
    <w:rsid w:val="006D5721"/>
    <w:rsid w:val="006D5745"/>
    <w:rsid w:val="006D57FD"/>
    <w:rsid w:val="006D5992"/>
    <w:rsid w:val="006D59CC"/>
    <w:rsid w:val="006D5A35"/>
    <w:rsid w:val="006D5A8D"/>
    <w:rsid w:val="006D5AF4"/>
    <w:rsid w:val="006D5B22"/>
    <w:rsid w:val="006D5B69"/>
    <w:rsid w:val="006D5C87"/>
    <w:rsid w:val="006D5D16"/>
    <w:rsid w:val="006D5D32"/>
    <w:rsid w:val="006D5E64"/>
    <w:rsid w:val="006D5E80"/>
    <w:rsid w:val="006D5EBD"/>
    <w:rsid w:val="006D5EEF"/>
    <w:rsid w:val="006D5F4A"/>
    <w:rsid w:val="006D5F70"/>
    <w:rsid w:val="006D601D"/>
    <w:rsid w:val="006D6237"/>
    <w:rsid w:val="006D625A"/>
    <w:rsid w:val="006D626A"/>
    <w:rsid w:val="006D62F2"/>
    <w:rsid w:val="006D646D"/>
    <w:rsid w:val="006D678A"/>
    <w:rsid w:val="006D6853"/>
    <w:rsid w:val="006D68CC"/>
    <w:rsid w:val="006D6921"/>
    <w:rsid w:val="006D69A5"/>
    <w:rsid w:val="006D6A02"/>
    <w:rsid w:val="006D6A58"/>
    <w:rsid w:val="006D6E53"/>
    <w:rsid w:val="006D6EF8"/>
    <w:rsid w:val="006D6FCF"/>
    <w:rsid w:val="006D7069"/>
    <w:rsid w:val="006D70D5"/>
    <w:rsid w:val="006D7254"/>
    <w:rsid w:val="006D7335"/>
    <w:rsid w:val="006D7341"/>
    <w:rsid w:val="006D7344"/>
    <w:rsid w:val="006D737D"/>
    <w:rsid w:val="006D7427"/>
    <w:rsid w:val="006D7458"/>
    <w:rsid w:val="006D75D8"/>
    <w:rsid w:val="006D762D"/>
    <w:rsid w:val="006D76AA"/>
    <w:rsid w:val="006D781B"/>
    <w:rsid w:val="006D78D4"/>
    <w:rsid w:val="006D79AF"/>
    <w:rsid w:val="006D79BD"/>
    <w:rsid w:val="006D79D1"/>
    <w:rsid w:val="006D7A41"/>
    <w:rsid w:val="006D7A7D"/>
    <w:rsid w:val="006D7AC5"/>
    <w:rsid w:val="006D7BF4"/>
    <w:rsid w:val="006D7D3D"/>
    <w:rsid w:val="006D7E3A"/>
    <w:rsid w:val="006D7EC0"/>
    <w:rsid w:val="006D7FEA"/>
    <w:rsid w:val="006E008F"/>
    <w:rsid w:val="006E00F3"/>
    <w:rsid w:val="006E01C9"/>
    <w:rsid w:val="006E01FA"/>
    <w:rsid w:val="006E0355"/>
    <w:rsid w:val="006E03C1"/>
    <w:rsid w:val="006E04B7"/>
    <w:rsid w:val="006E0536"/>
    <w:rsid w:val="006E0674"/>
    <w:rsid w:val="006E06C7"/>
    <w:rsid w:val="006E070B"/>
    <w:rsid w:val="006E07E5"/>
    <w:rsid w:val="006E08C6"/>
    <w:rsid w:val="006E0979"/>
    <w:rsid w:val="006E09D7"/>
    <w:rsid w:val="006E0A66"/>
    <w:rsid w:val="006E0BB0"/>
    <w:rsid w:val="006E0C63"/>
    <w:rsid w:val="006E0CC1"/>
    <w:rsid w:val="006E0CF5"/>
    <w:rsid w:val="006E0EE5"/>
    <w:rsid w:val="006E0EE7"/>
    <w:rsid w:val="006E0F1B"/>
    <w:rsid w:val="006E0F6D"/>
    <w:rsid w:val="006E1045"/>
    <w:rsid w:val="006E1059"/>
    <w:rsid w:val="006E10A9"/>
    <w:rsid w:val="006E10F5"/>
    <w:rsid w:val="006E115E"/>
    <w:rsid w:val="006E11BD"/>
    <w:rsid w:val="006E1212"/>
    <w:rsid w:val="006E1311"/>
    <w:rsid w:val="006E138F"/>
    <w:rsid w:val="006E1411"/>
    <w:rsid w:val="006E14AE"/>
    <w:rsid w:val="006E151B"/>
    <w:rsid w:val="006E169B"/>
    <w:rsid w:val="006E17C0"/>
    <w:rsid w:val="006E182C"/>
    <w:rsid w:val="006E184C"/>
    <w:rsid w:val="006E185D"/>
    <w:rsid w:val="006E187E"/>
    <w:rsid w:val="006E1891"/>
    <w:rsid w:val="006E1913"/>
    <w:rsid w:val="006E1993"/>
    <w:rsid w:val="006E19B8"/>
    <w:rsid w:val="006E1AEF"/>
    <w:rsid w:val="006E1B70"/>
    <w:rsid w:val="006E1B7A"/>
    <w:rsid w:val="006E1CFE"/>
    <w:rsid w:val="006E1EC5"/>
    <w:rsid w:val="006E1ED1"/>
    <w:rsid w:val="006E1EE0"/>
    <w:rsid w:val="006E1F9B"/>
    <w:rsid w:val="006E205E"/>
    <w:rsid w:val="006E20DC"/>
    <w:rsid w:val="006E212F"/>
    <w:rsid w:val="006E214D"/>
    <w:rsid w:val="006E21B9"/>
    <w:rsid w:val="006E2258"/>
    <w:rsid w:val="006E24AF"/>
    <w:rsid w:val="006E25CF"/>
    <w:rsid w:val="006E26C3"/>
    <w:rsid w:val="006E26FA"/>
    <w:rsid w:val="006E292C"/>
    <w:rsid w:val="006E2939"/>
    <w:rsid w:val="006E2A9B"/>
    <w:rsid w:val="006E2AEF"/>
    <w:rsid w:val="006E2B3C"/>
    <w:rsid w:val="006E2BEE"/>
    <w:rsid w:val="006E2C1F"/>
    <w:rsid w:val="006E2C41"/>
    <w:rsid w:val="006E2CF5"/>
    <w:rsid w:val="006E2D62"/>
    <w:rsid w:val="006E2D6B"/>
    <w:rsid w:val="006E2DBB"/>
    <w:rsid w:val="006E2EB4"/>
    <w:rsid w:val="006E2F3E"/>
    <w:rsid w:val="006E31EC"/>
    <w:rsid w:val="006E326E"/>
    <w:rsid w:val="006E32DF"/>
    <w:rsid w:val="006E33CA"/>
    <w:rsid w:val="006E345A"/>
    <w:rsid w:val="006E3496"/>
    <w:rsid w:val="006E34F5"/>
    <w:rsid w:val="006E3557"/>
    <w:rsid w:val="006E3571"/>
    <w:rsid w:val="006E3759"/>
    <w:rsid w:val="006E3872"/>
    <w:rsid w:val="006E387D"/>
    <w:rsid w:val="006E39AA"/>
    <w:rsid w:val="006E39AD"/>
    <w:rsid w:val="006E3A86"/>
    <w:rsid w:val="006E3B7D"/>
    <w:rsid w:val="006E3C43"/>
    <w:rsid w:val="006E3D13"/>
    <w:rsid w:val="006E3DB5"/>
    <w:rsid w:val="006E3FA4"/>
    <w:rsid w:val="006E3FB0"/>
    <w:rsid w:val="006E40ED"/>
    <w:rsid w:val="006E42AA"/>
    <w:rsid w:val="006E432F"/>
    <w:rsid w:val="006E43F6"/>
    <w:rsid w:val="006E4430"/>
    <w:rsid w:val="006E4528"/>
    <w:rsid w:val="006E45A7"/>
    <w:rsid w:val="006E45D9"/>
    <w:rsid w:val="006E461D"/>
    <w:rsid w:val="006E478C"/>
    <w:rsid w:val="006E4981"/>
    <w:rsid w:val="006E4A3C"/>
    <w:rsid w:val="006E4B5E"/>
    <w:rsid w:val="006E4BA0"/>
    <w:rsid w:val="006E4C7A"/>
    <w:rsid w:val="006E4C9F"/>
    <w:rsid w:val="006E4D36"/>
    <w:rsid w:val="006E4EDF"/>
    <w:rsid w:val="006E4FD8"/>
    <w:rsid w:val="006E5142"/>
    <w:rsid w:val="006E515E"/>
    <w:rsid w:val="006E52FE"/>
    <w:rsid w:val="006E5344"/>
    <w:rsid w:val="006E570B"/>
    <w:rsid w:val="006E57FB"/>
    <w:rsid w:val="006E5884"/>
    <w:rsid w:val="006E5968"/>
    <w:rsid w:val="006E5BC1"/>
    <w:rsid w:val="006E5DCF"/>
    <w:rsid w:val="006E5DEA"/>
    <w:rsid w:val="006E605E"/>
    <w:rsid w:val="006E60AA"/>
    <w:rsid w:val="006E613E"/>
    <w:rsid w:val="006E6161"/>
    <w:rsid w:val="006E6305"/>
    <w:rsid w:val="006E639A"/>
    <w:rsid w:val="006E63C7"/>
    <w:rsid w:val="006E649F"/>
    <w:rsid w:val="006E64F2"/>
    <w:rsid w:val="006E66DE"/>
    <w:rsid w:val="006E66F7"/>
    <w:rsid w:val="006E689D"/>
    <w:rsid w:val="006E690C"/>
    <w:rsid w:val="006E69D4"/>
    <w:rsid w:val="006E6B22"/>
    <w:rsid w:val="006E6BC4"/>
    <w:rsid w:val="006E6BE1"/>
    <w:rsid w:val="006E6CAF"/>
    <w:rsid w:val="006E6D9A"/>
    <w:rsid w:val="006E6FF9"/>
    <w:rsid w:val="006E70B2"/>
    <w:rsid w:val="006E70D1"/>
    <w:rsid w:val="006E721F"/>
    <w:rsid w:val="006E7267"/>
    <w:rsid w:val="006E7286"/>
    <w:rsid w:val="006E73A9"/>
    <w:rsid w:val="006E74FE"/>
    <w:rsid w:val="006E75EA"/>
    <w:rsid w:val="006E76B6"/>
    <w:rsid w:val="006E7752"/>
    <w:rsid w:val="006E79C6"/>
    <w:rsid w:val="006E79F5"/>
    <w:rsid w:val="006E7B05"/>
    <w:rsid w:val="006E7CA2"/>
    <w:rsid w:val="006E7F57"/>
    <w:rsid w:val="006F0008"/>
    <w:rsid w:val="006F005A"/>
    <w:rsid w:val="006F007E"/>
    <w:rsid w:val="006F00D8"/>
    <w:rsid w:val="006F00DF"/>
    <w:rsid w:val="006F0140"/>
    <w:rsid w:val="006F0152"/>
    <w:rsid w:val="006F023C"/>
    <w:rsid w:val="006F0241"/>
    <w:rsid w:val="006F031A"/>
    <w:rsid w:val="006F0356"/>
    <w:rsid w:val="006F040C"/>
    <w:rsid w:val="006F041E"/>
    <w:rsid w:val="006F04A6"/>
    <w:rsid w:val="006F04B9"/>
    <w:rsid w:val="006F04E9"/>
    <w:rsid w:val="006F058F"/>
    <w:rsid w:val="006F065A"/>
    <w:rsid w:val="006F065B"/>
    <w:rsid w:val="006F071F"/>
    <w:rsid w:val="006F077F"/>
    <w:rsid w:val="006F07BD"/>
    <w:rsid w:val="006F07F7"/>
    <w:rsid w:val="006F081D"/>
    <w:rsid w:val="006F08DC"/>
    <w:rsid w:val="006F098A"/>
    <w:rsid w:val="006F09A7"/>
    <w:rsid w:val="006F0A63"/>
    <w:rsid w:val="006F0A8D"/>
    <w:rsid w:val="006F0B21"/>
    <w:rsid w:val="006F0BE7"/>
    <w:rsid w:val="006F0C41"/>
    <w:rsid w:val="006F0C6C"/>
    <w:rsid w:val="006F0C81"/>
    <w:rsid w:val="006F0D69"/>
    <w:rsid w:val="006F0E06"/>
    <w:rsid w:val="006F0EED"/>
    <w:rsid w:val="006F10A6"/>
    <w:rsid w:val="006F119E"/>
    <w:rsid w:val="006F11B3"/>
    <w:rsid w:val="006F1220"/>
    <w:rsid w:val="006F1334"/>
    <w:rsid w:val="006F1363"/>
    <w:rsid w:val="006F137E"/>
    <w:rsid w:val="006F144C"/>
    <w:rsid w:val="006F1492"/>
    <w:rsid w:val="006F14AC"/>
    <w:rsid w:val="006F1548"/>
    <w:rsid w:val="006F1659"/>
    <w:rsid w:val="006F1670"/>
    <w:rsid w:val="006F176C"/>
    <w:rsid w:val="006F17E3"/>
    <w:rsid w:val="006F1890"/>
    <w:rsid w:val="006F19D3"/>
    <w:rsid w:val="006F1AE3"/>
    <w:rsid w:val="006F1BD0"/>
    <w:rsid w:val="006F1ECC"/>
    <w:rsid w:val="006F1EDD"/>
    <w:rsid w:val="006F1F70"/>
    <w:rsid w:val="006F1F81"/>
    <w:rsid w:val="006F1FF6"/>
    <w:rsid w:val="006F2109"/>
    <w:rsid w:val="006F2112"/>
    <w:rsid w:val="006F2293"/>
    <w:rsid w:val="006F23C0"/>
    <w:rsid w:val="006F2609"/>
    <w:rsid w:val="006F26FB"/>
    <w:rsid w:val="006F26FD"/>
    <w:rsid w:val="006F2714"/>
    <w:rsid w:val="006F2804"/>
    <w:rsid w:val="006F28FA"/>
    <w:rsid w:val="006F2903"/>
    <w:rsid w:val="006F29E3"/>
    <w:rsid w:val="006F2A6E"/>
    <w:rsid w:val="006F2AB6"/>
    <w:rsid w:val="006F2B18"/>
    <w:rsid w:val="006F2B55"/>
    <w:rsid w:val="006F2BEE"/>
    <w:rsid w:val="006F2DD2"/>
    <w:rsid w:val="006F2F25"/>
    <w:rsid w:val="006F3131"/>
    <w:rsid w:val="006F325B"/>
    <w:rsid w:val="006F3308"/>
    <w:rsid w:val="006F359F"/>
    <w:rsid w:val="006F3696"/>
    <w:rsid w:val="006F3703"/>
    <w:rsid w:val="006F37A6"/>
    <w:rsid w:val="006F37C1"/>
    <w:rsid w:val="006F3B34"/>
    <w:rsid w:val="006F3C73"/>
    <w:rsid w:val="006F3D62"/>
    <w:rsid w:val="006F3E56"/>
    <w:rsid w:val="006F3F0E"/>
    <w:rsid w:val="006F3F76"/>
    <w:rsid w:val="006F4055"/>
    <w:rsid w:val="006F4062"/>
    <w:rsid w:val="006F4224"/>
    <w:rsid w:val="006F4328"/>
    <w:rsid w:val="006F4356"/>
    <w:rsid w:val="006F442F"/>
    <w:rsid w:val="006F45CE"/>
    <w:rsid w:val="006F474B"/>
    <w:rsid w:val="006F47A4"/>
    <w:rsid w:val="006F4818"/>
    <w:rsid w:val="006F4876"/>
    <w:rsid w:val="006F4986"/>
    <w:rsid w:val="006F4996"/>
    <w:rsid w:val="006F49AE"/>
    <w:rsid w:val="006F4B77"/>
    <w:rsid w:val="006F4C7D"/>
    <w:rsid w:val="006F4CB0"/>
    <w:rsid w:val="006F4D0B"/>
    <w:rsid w:val="006F4D8E"/>
    <w:rsid w:val="006F4E24"/>
    <w:rsid w:val="006F4ECD"/>
    <w:rsid w:val="006F5012"/>
    <w:rsid w:val="006F50F7"/>
    <w:rsid w:val="006F510A"/>
    <w:rsid w:val="006F5187"/>
    <w:rsid w:val="006F52B2"/>
    <w:rsid w:val="006F539D"/>
    <w:rsid w:val="006F54EB"/>
    <w:rsid w:val="006F563D"/>
    <w:rsid w:val="006F56DA"/>
    <w:rsid w:val="006F5739"/>
    <w:rsid w:val="006F5905"/>
    <w:rsid w:val="006F5A23"/>
    <w:rsid w:val="006F5B3A"/>
    <w:rsid w:val="006F5C39"/>
    <w:rsid w:val="006F5D06"/>
    <w:rsid w:val="006F5D30"/>
    <w:rsid w:val="006F5D70"/>
    <w:rsid w:val="006F5D91"/>
    <w:rsid w:val="006F5E21"/>
    <w:rsid w:val="006F5F3F"/>
    <w:rsid w:val="006F5F8E"/>
    <w:rsid w:val="006F5FF6"/>
    <w:rsid w:val="006F63BE"/>
    <w:rsid w:val="006F6402"/>
    <w:rsid w:val="006F6418"/>
    <w:rsid w:val="006F6420"/>
    <w:rsid w:val="006F642A"/>
    <w:rsid w:val="006F642F"/>
    <w:rsid w:val="006F64DB"/>
    <w:rsid w:val="006F65D4"/>
    <w:rsid w:val="006F65E5"/>
    <w:rsid w:val="006F6709"/>
    <w:rsid w:val="006F6991"/>
    <w:rsid w:val="006F6A1F"/>
    <w:rsid w:val="006F6BC4"/>
    <w:rsid w:val="006F6D76"/>
    <w:rsid w:val="006F6D79"/>
    <w:rsid w:val="006F6DB7"/>
    <w:rsid w:val="006F6E4F"/>
    <w:rsid w:val="006F6E52"/>
    <w:rsid w:val="006F6E88"/>
    <w:rsid w:val="006F6F7D"/>
    <w:rsid w:val="006F6FD3"/>
    <w:rsid w:val="006F7074"/>
    <w:rsid w:val="006F719A"/>
    <w:rsid w:val="006F7234"/>
    <w:rsid w:val="006F723A"/>
    <w:rsid w:val="006F72A2"/>
    <w:rsid w:val="006F72B8"/>
    <w:rsid w:val="006F7368"/>
    <w:rsid w:val="006F7374"/>
    <w:rsid w:val="006F741B"/>
    <w:rsid w:val="006F7534"/>
    <w:rsid w:val="006F7716"/>
    <w:rsid w:val="006F7827"/>
    <w:rsid w:val="006F7833"/>
    <w:rsid w:val="006F7984"/>
    <w:rsid w:val="006F79A0"/>
    <w:rsid w:val="006F7A04"/>
    <w:rsid w:val="006F7AF4"/>
    <w:rsid w:val="006F7BE8"/>
    <w:rsid w:val="006F7C1E"/>
    <w:rsid w:val="006F7C6C"/>
    <w:rsid w:val="006F7DE5"/>
    <w:rsid w:val="006F7E7E"/>
    <w:rsid w:val="006F7F16"/>
    <w:rsid w:val="006F7F67"/>
    <w:rsid w:val="006F7FD8"/>
    <w:rsid w:val="0070007C"/>
    <w:rsid w:val="00700098"/>
    <w:rsid w:val="007000A1"/>
    <w:rsid w:val="00700250"/>
    <w:rsid w:val="007004B8"/>
    <w:rsid w:val="00700653"/>
    <w:rsid w:val="00700746"/>
    <w:rsid w:val="0070084F"/>
    <w:rsid w:val="00700962"/>
    <w:rsid w:val="007009FC"/>
    <w:rsid w:val="00700A77"/>
    <w:rsid w:val="00700B4B"/>
    <w:rsid w:val="00700B9B"/>
    <w:rsid w:val="00700BBE"/>
    <w:rsid w:val="00700D63"/>
    <w:rsid w:val="00700D82"/>
    <w:rsid w:val="00700DA1"/>
    <w:rsid w:val="00700FAD"/>
    <w:rsid w:val="00700FC5"/>
    <w:rsid w:val="00700FDC"/>
    <w:rsid w:val="007011CC"/>
    <w:rsid w:val="0070126A"/>
    <w:rsid w:val="007012A3"/>
    <w:rsid w:val="0070141E"/>
    <w:rsid w:val="0070163A"/>
    <w:rsid w:val="0070164F"/>
    <w:rsid w:val="00701750"/>
    <w:rsid w:val="00701839"/>
    <w:rsid w:val="007018C7"/>
    <w:rsid w:val="00701A60"/>
    <w:rsid w:val="00701A85"/>
    <w:rsid w:val="00701B03"/>
    <w:rsid w:val="00701B19"/>
    <w:rsid w:val="00701BFC"/>
    <w:rsid w:val="00701D9E"/>
    <w:rsid w:val="00701E6F"/>
    <w:rsid w:val="00701E7B"/>
    <w:rsid w:val="00701F13"/>
    <w:rsid w:val="00701F59"/>
    <w:rsid w:val="00701FBC"/>
    <w:rsid w:val="00702083"/>
    <w:rsid w:val="00702089"/>
    <w:rsid w:val="00702114"/>
    <w:rsid w:val="0070218E"/>
    <w:rsid w:val="00702225"/>
    <w:rsid w:val="007024B0"/>
    <w:rsid w:val="007024B6"/>
    <w:rsid w:val="00702504"/>
    <w:rsid w:val="00702515"/>
    <w:rsid w:val="0070269C"/>
    <w:rsid w:val="007026E5"/>
    <w:rsid w:val="007026E9"/>
    <w:rsid w:val="00702705"/>
    <w:rsid w:val="0070273F"/>
    <w:rsid w:val="00702839"/>
    <w:rsid w:val="00702888"/>
    <w:rsid w:val="00702986"/>
    <w:rsid w:val="00702B75"/>
    <w:rsid w:val="00702B9A"/>
    <w:rsid w:val="00702B9D"/>
    <w:rsid w:val="00702BE7"/>
    <w:rsid w:val="00702C05"/>
    <w:rsid w:val="00702CA8"/>
    <w:rsid w:val="00702DE6"/>
    <w:rsid w:val="00702E8E"/>
    <w:rsid w:val="00702EFD"/>
    <w:rsid w:val="00702F18"/>
    <w:rsid w:val="00702F3F"/>
    <w:rsid w:val="00702F5C"/>
    <w:rsid w:val="007030BA"/>
    <w:rsid w:val="0070322F"/>
    <w:rsid w:val="007032CC"/>
    <w:rsid w:val="00703304"/>
    <w:rsid w:val="007035CD"/>
    <w:rsid w:val="007035F1"/>
    <w:rsid w:val="007035FF"/>
    <w:rsid w:val="0070361E"/>
    <w:rsid w:val="0070369E"/>
    <w:rsid w:val="007036A7"/>
    <w:rsid w:val="0070376A"/>
    <w:rsid w:val="00703885"/>
    <w:rsid w:val="00703A1D"/>
    <w:rsid w:val="00703B14"/>
    <w:rsid w:val="00703B36"/>
    <w:rsid w:val="00703B47"/>
    <w:rsid w:val="00703BFC"/>
    <w:rsid w:val="00703C02"/>
    <w:rsid w:val="00703C0E"/>
    <w:rsid w:val="00703C8F"/>
    <w:rsid w:val="00703CCA"/>
    <w:rsid w:val="00703D54"/>
    <w:rsid w:val="00703E69"/>
    <w:rsid w:val="00703E97"/>
    <w:rsid w:val="00703F9C"/>
    <w:rsid w:val="00703FFB"/>
    <w:rsid w:val="00704252"/>
    <w:rsid w:val="00704278"/>
    <w:rsid w:val="007043FE"/>
    <w:rsid w:val="0070447C"/>
    <w:rsid w:val="007044EC"/>
    <w:rsid w:val="007044F5"/>
    <w:rsid w:val="00704631"/>
    <w:rsid w:val="0070463D"/>
    <w:rsid w:val="00704662"/>
    <w:rsid w:val="007047C1"/>
    <w:rsid w:val="0070482D"/>
    <w:rsid w:val="00704896"/>
    <w:rsid w:val="007048A7"/>
    <w:rsid w:val="007049A4"/>
    <w:rsid w:val="007049E2"/>
    <w:rsid w:val="007049EE"/>
    <w:rsid w:val="00704AE0"/>
    <w:rsid w:val="00704AFC"/>
    <w:rsid w:val="00704C7E"/>
    <w:rsid w:val="00704E7D"/>
    <w:rsid w:val="00704F61"/>
    <w:rsid w:val="00705065"/>
    <w:rsid w:val="007050B6"/>
    <w:rsid w:val="00705163"/>
    <w:rsid w:val="007051EE"/>
    <w:rsid w:val="0070528B"/>
    <w:rsid w:val="007052AC"/>
    <w:rsid w:val="00705353"/>
    <w:rsid w:val="00705431"/>
    <w:rsid w:val="007055A0"/>
    <w:rsid w:val="00705660"/>
    <w:rsid w:val="0070571B"/>
    <w:rsid w:val="00705880"/>
    <w:rsid w:val="0070589E"/>
    <w:rsid w:val="007059C7"/>
    <w:rsid w:val="00705A15"/>
    <w:rsid w:val="00705A28"/>
    <w:rsid w:val="00705B27"/>
    <w:rsid w:val="00705B2A"/>
    <w:rsid w:val="00705BD0"/>
    <w:rsid w:val="00705C2D"/>
    <w:rsid w:val="00705C82"/>
    <w:rsid w:val="00705D64"/>
    <w:rsid w:val="00705ED9"/>
    <w:rsid w:val="00705EED"/>
    <w:rsid w:val="00706301"/>
    <w:rsid w:val="007064A9"/>
    <w:rsid w:val="007064D0"/>
    <w:rsid w:val="00706661"/>
    <w:rsid w:val="00706776"/>
    <w:rsid w:val="007067AE"/>
    <w:rsid w:val="0070686F"/>
    <w:rsid w:val="00706877"/>
    <w:rsid w:val="00706A87"/>
    <w:rsid w:val="00706A9A"/>
    <w:rsid w:val="00706AFC"/>
    <w:rsid w:val="00706B27"/>
    <w:rsid w:val="00706C09"/>
    <w:rsid w:val="00706EE5"/>
    <w:rsid w:val="00707215"/>
    <w:rsid w:val="0070726C"/>
    <w:rsid w:val="007072A3"/>
    <w:rsid w:val="007072CA"/>
    <w:rsid w:val="007072CB"/>
    <w:rsid w:val="007073D6"/>
    <w:rsid w:val="007073E5"/>
    <w:rsid w:val="0070749A"/>
    <w:rsid w:val="0070771D"/>
    <w:rsid w:val="007078BA"/>
    <w:rsid w:val="0070791D"/>
    <w:rsid w:val="00707927"/>
    <w:rsid w:val="00707A81"/>
    <w:rsid w:val="00707B63"/>
    <w:rsid w:val="00707C1F"/>
    <w:rsid w:val="00707CDE"/>
    <w:rsid w:val="00707E2B"/>
    <w:rsid w:val="00707E34"/>
    <w:rsid w:val="00707E87"/>
    <w:rsid w:val="00707E94"/>
    <w:rsid w:val="00707EE5"/>
    <w:rsid w:val="0071026D"/>
    <w:rsid w:val="00710315"/>
    <w:rsid w:val="007104ED"/>
    <w:rsid w:val="0071053D"/>
    <w:rsid w:val="007106E7"/>
    <w:rsid w:val="00710713"/>
    <w:rsid w:val="007107F4"/>
    <w:rsid w:val="007108B4"/>
    <w:rsid w:val="00710909"/>
    <w:rsid w:val="00710A04"/>
    <w:rsid w:val="00710A3A"/>
    <w:rsid w:val="00710B27"/>
    <w:rsid w:val="00710C49"/>
    <w:rsid w:val="00710C70"/>
    <w:rsid w:val="00710DC4"/>
    <w:rsid w:val="00710EE9"/>
    <w:rsid w:val="00710FCB"/>
    <w:rsid w:val="00711011"/>
    <w:rsid w:val="007110CE"/>
    <w:rsid w:val="00711205"/>
    <w:rsid w:val="00711281"/>
    <w:rsid w:val="0071134D"/>
    <w:rsid w:val="007114B3"/>
    <w:rsid w:val="00711512"/>
    <w:rsid w:val="00711590"/>
    <w:rsid w:val="00711650"/>
    <w:rsid w:val="007116D0"/>
    <w:rsid w:val="00711703"/>
    <w:rsid w:val="0071176B"/>
    <w:rsid w:val="0071185D"/>
    <w:rsid w:val="00711937"/>
    <w:rsid w:val="007119DB"/>
    <w:rsid w:val="00711A35"/>
    <w:rsid w:val="00711B7A"/>
    <w:rsid w:val="00711BB4"/>
    <w:rsid w:val="00711C9C"/>
    <w:rsid w:val="00711CFB"/>
    <w:rsid w:val="00711D47"/>
    <w:rsid w:val="00711F7D"/>
    <w:rsid w:val="00711FD7"/>
    <w:rsid w:val="007120B6"/>
    <w:rsid w:val="007120EA"/>
    <w:rsid w:val="00712166"/>
    <w:rsid w:val="00712323"/>
    <w:rsid w:val="007123B2"/>
    <w:rsid w:val="00712495"/>
    <w:rsid w:val="007124B6"/>
    <w:rsid w:val="00712523"/>
    <w:rsid w:val="007125A5"/>
    <w:rsid w:val="007125DD"/>
    <w:rsid w:val="00712620"/>
    <w:rsid w:val="00712637"/>
    <w:rsid w:val="0071288C"/>
    <w:rsid w:val="007128D7"/>
    <w:rsid w:val="00712953"/>
    <w:rsid w:val="007129B3"/>
    <w:rsid w:val="00712A66"/>
    <w:rsid w:val="00712AEE"/>
    <w:rsid w:val="00712B10"/>
    <w:rsid w:val="00712BCD"/>
    <w:rsid w:val="00712EBD"/>
    <w:rsid w:val="00712F13"/>
    <w:rsid w:val="00712F1B"/>
    <w:rsid w:val="00713054"/>
    <w:rsid w:val="00713079"/>
    <w:rsid w:val="00713401"/>
    <w:rsid w:val="00713404"/>
    <w:rsid w:val="00713415"/>
    <w:rsid w:val="00713456"/>
    <w:rsid w:val="007134D6"/>
    <w:rsid w:val="00713635"/>
    <w:rsid w:val="00713652"/>
    <w:rsid w:val="007136EB"/>
    <w:rsid w:val="007137B5"/>
    <w:rsid w:val="007137F8"/>
    <w:rsid w:val="0071383C"/>
    <w:rsid w:val="00713B2A"/>
    <w:rsid w:val="00713DF9"/>
    <w:rsid w:val="00713E2F"/>
    <w:rsid w:val="00713EA9"/>
    <w:rsid w:val="00713FB9"/>
    <w:rsid w:val="0071401F"/>
    <w:rsid w:val="0071406C"/>
    <w:rsid w:val="007140F5"/>
    <w:rsid w:val="007141C5"/>
    <w:rsid w:val="0071431D"/>
    <w:rsid w:val="00714357"/>
    <w:rsid w:val="00714370"/>
    <w:rsid w:val="0071448F"/>
    <w:rsid w:val="007144EE"/>
    <w:rsid w:val="00714524"/>
    <w:rsid w:val="00714531"/>
    <w:rsid w:val="00714659"/>
    <w:rsid w:val="007147C3"/>
    <w:rsid w:val="00714880"/>
    <w:rsid w:val="00714A04"/>
    <w:rsid w:val="00714A0F"/>
    <w:rsid w:val="00714A2C"/>
    <w:rsid w:val="00714CC8"/>
    <w:rsid w:val="00714E20"/>
    <w:rsid w:val="00714E2F"/>
    <w:rsid w:val="00714E40"/>
    <w:rsid w:val="00714E63"/>
    <w:rsid w:val="00714EDA"/>
    <w:rsid w:val="00714FBC"/>
    <w:rsid w:val="00715030"/>
    <w:rsid w:val="007150B4"/>
    <w:rsid w:val="007150E2"/>
    <w:rsid w:val="007151DC"/>
    <w:rsid w:val="007151E8"/>
    <w:rsid w:val="0071531B"/>
    <w:rsid w:val="00715363"/>
    <w:rsid w:val="007154C5"/>
    <w:rsid w:val="007154CA"/>
    <w:rsid w:val="00715541"/>
    <w:rsid w:val="00715608"/>
    <w:rsid w:val="00715757"/>
    <w:rsid w:val="007159AD"/>
    <w:rsid w:val="00715A39"/>
    <w:rsid w:val="00715A44"/>
    <w:rsid w:val="00715A49"/>
    <w:rsid w:val="00715A73"/>
    <w:rsid w:val="00715AA0"/>
    <w:rsid w:val="00715ADD"/>
    <w:rsid w:val="00715C26"/>
    <w:rsid w:val="00715D68"/>
    <w:rsid w:val="00716098"/>
    <w:rsid w:val="007160CC"/>
    <w:rsid w:val="0071614F"/>
    <w:rsid w:val="00716182"/>
    <w:rsid w:val="00716251"/>
    <w:rsid w:val="007162EB"/>
    <w:rsid w:val="007163D7"/>
    <w:rsid w:val="00716401"/>
    <w:rsid w:val="00716414"/>
    <w:rsid w:val="00716427"/>
    <w:rsid w:val="0071646F"/>
    <w:rsid w:val="007164B9"/>
    <w:rsid w:val="0071656B"/>
    <w:rsid w:val="00716649"/>
    <w:rsid w:val="0071664D"/>
    <w:rsid w:val="0071664F"/>
    <w:rsid w:val="00716672"/>
    <w:rsid w:val="0071674F"/>
    <w:rsid w:val="00716756"/>
    <w:rsid w:val="0071683B"/>
    <w:rsid w:val="00716858"/>
    <w:rsid w:val="00716A35"/>
    <w:rsid w:val="00716A3F"/>
    <w:rsid w:val="00716AD7"/>
    <w:rsid w:val="00716AF8"/>
    <w:rsid w:val="00716C5C"/>
    <w:rsid w:val="00716C79"/>
    <w:rsid w:val="00716C95"/>
    <w:rsid w:val="00716C98"/>
    <w:rsid w:val="00716DC7"/>
    <w:rsid w:val="00716E38"/>
    <w:rsid w:val="00716FA9"/>
    <w:rsid w:val="00716FDD"/>
    <w:rsid w:val="007170BB"/>
    <w:rsid w:val="00717428"/>
    <w:rsid w:val="00717535"/>
    <w:rsid w:val="00717559"/>
    <w:rsid w:val="0071769D"/>
    <w:rsid w:val="00717A6A"/>
    <w:rsid w:val="00717A6D"/>
    <w:rsid w:val="00717B12"/>
    <w:rsid w:val="00717B50"/>
    <w:rsid w:val="00717BB7"/>
    <w:rsid w:val="00717D23"/>
    <w:rsid w:val="00717D46"/>
    <w:rsid w:val="00717D52"/>
    <w:rsid w:val="00717D65"/>
    <w:rsid w:val="00717E45"/>
    <w:rsid w:val="00717F94"/>
    <w:rsid w:val="00717FD6"/>
    <w:rsid w:val="0072006E"/>
    <w:rsid w:val="00720076"/>
    <w:rsid w:val="00720088"/>
    <w:rsid w:val="007200CB"/>
    <w:rsid w:val="007200F5"/>
    <w:rsid w:val="00720116"/>
    <w:rsid w:val="00720325"/>
    <w:rsid w:val="007204F0"/>
    <w:rsid w:val="00720545"/>
    <w:rsid w:val="00720605"/>
    <w:rsid w:val="007206A9"/>
    <w:rsid w:val="007206DE"/>
    <w:rsid w:val="00720864"/>
    <w:rsid w:val="00720876"/>
    <w:rsid w:val="007208AB"/>
    <w:rsid w:val="00720965"/>
    <w:rsid w:val="00720AB6"/>
    <w:rsid w:val="00720B21"/>
    <w:rsid w:val="00720B6D"/>
    <w:rsid w:val="00720D27"/>
    <w:rsid w:val="00720E6E"/>
    <w:rsid w:val="00720F61"/>
    <w:rsid w:val="00720FA0"/>
    <w:rsid w:val="0072107A"/>
    <w:rsid w:val="0072109A"/>
    <w:rsid w:val="007210D6"/>
    <w:rsid w:val="0072111A"/>
    <w:rsid w:val="007211C3"/>
    <w:rsid w:val="007211F2"/>
    <w:rsid w:val="00721282"/>
    <w:rsid w:val="00721291"/>
    <w:rsid w:val="007215A2"/>
    <w:rsid w:val="00721620"/>
    <w:rsid w:val="00721678"/>
    <w:rsid w:val="007216ED"/>
    <w:rsid w:val="0072177D"/>
    <w:rsid w:val="00721830"/>
    <w:rsid w:val="0072192B"/>
    <w:rsid w:val="0072198A"/>
    <w:rsid w:val="00721A6C"/>
    <w:rsid w:val="00721AAB"/>
    <w:rsid w:val="00721B8B"/>
    <w:rsid w:val="00721BF7"/>
    <w:rsid w:val="00721E3C"/>
    <w:rsid w:val="00721F2A"/>
    <w:rsid w:val="007220AE"/>
    <w:rsid w:val="00722112"/>
    <w:rsid w:val="007222BB"/>
    <w:rsid w:val="00722381"/>
    <w:rsid w:val="00722431"/>
    <w:rsid w:val="00722538"/>
    <w:rsid w:val="00722541"/>
    <w:rsid w:val="007225F9"/>
    <w:rsid w:val="0072272B"/>
    <w:rsid w:val="007227F4"/>
    <w:rsid w:val="00722966"/>
    <w:rsid w:val="007229A5"/>
    <w:rsid w:val="007229BB"/>
    <w:rsid w:val="00722C30"/>
    <w:rsid w:val="00722CC7"/>
    <w:rsid w:val="00722F8D"/>
    <w:rsid w:val="00723007"/>
    <w:rsid w:val="00723126"/>
    <w:rsid w:val="007233E1"/>
    <w:rsid w:val="007233E7"/>
    <w:rsid w:val="0072343F"/>
    <w:rsid w:val="00723466"/>
    <w:rsid w:val="00723507"/>
    <w:rsid w:val="00723540"/>
    <w:rsid w:val="007235D9"/>
    <w:rsid w:val="007235FE"/>
    <w:rsid w:val="00723849"/>
    <w:rsid w:val="00723853"/>
    <w:rsid w:val="007238BE"/>
    <w:rsid w:val="0072392D"/>
    <w:rsid w:val="00723C0D"/>
    <w:rsid w:val="00723C3E"/>
    <w:rsid w:val="00723CA7"/>
    <w:rsid w:val="00723CF2"/>
    <w:rsid w:val="00723D83"/>
    <w:rsid w:val="00723DBD"/>
    <w:rsid w:val="00723EDD"/>
    <w:rsid w:val="00723F5A"/>
    <w:rsid w:val="00723FAF"/>
    <w:rsid w:val="00724041"/>
    <w:rsid w:val="007240A1"/>
    <w:rsid w:val="007240CD"/>
    <w:rsid w:val="00724356"/>
    <w:rsid w:val="007245B1"/>
    <w:rsid w:val="007246B7"/>
    <w:rsid w:val="00724833"/>
    <w:rsid w:val="0072494E"/>
    <w:rsid w:val="00724952"/>
    <w:rsid w:val="007249B5"/>
    <w:rsid w:val="00724A21"/>
    <w:rsid w:val="00724A39"/>
    <w:rsid w:val="00724AA5"/>
    <w:rsid w:val="00724AA8"/>
    <w:rsid w:val="00724ADE"/>
    <w:rsid w:val="00724BDB"/>
    <w:rsid w:val="00724C02"/>
    <w:rsid w:val="00724CCB"/>
    <w:rsid w:val="007250E9"/>
    <w:rsid w:val="007250FF"/>
    <w:rsid w:val="0072517C"/>
    <w:rsid w:val="0072525C"/>
    <w:rsid w:val="0072525F"/>
    <w:rsid w:val="0072548D"/>
    <w:rsid w:val="00725498"/>
    <w:rsid w:val="007254F1"/>
    <w:rsid w:val="00725514"/>
    <w:rsid w:val="0072554C"/>
    <w:rsid w:val="007255AD"/>
    <w:rsid w:val="007255DD"/>
    <w:rsid w:val="007255E9"/>
    <w:rsid w:val="00725662"/>
    <w:rsid w:val="007256AE"/>
    <w:rsid w:val="007256EB"/>
    <w:rsid w:val="00725725"/>
    <w:rsid w:val="007257F0"/>
    <w:rsid w:val="00725863"/>
    <w:rsid w:val="0072589D"/>
    <w:rsid w:val="007258B1"/>
    <w:rsid w:val="0072592B"/>
    <w:rsid w:val="00725955"/>
    <w:rsid w:val="007259D8"/>
    <w:rsid w:val="00725B0B"/>
    <w:rsid w:val="00725B17"/>
    <w:rsid w:val="00725B2A"/>
    <w:rsid w:val="00725E00"/>
    <w:rsid w:val="00725E89"/>
    <w:rsid w:val="00725F9F"/>
    <w:rsid w:val="00726013"/>
    <w:rsid w:val="00726043"/>
    <w:rsid w:val="0072608C"/>
    <w:rsid w:val="0072617F"/>
    <w:rsid w:val="00726225"/>
    <w:rsid w:val="007263FB"/>
    <w:rsid w:val="0072650A"/>
    <w:rsid w:val="0072651F"/>
    <w:rsid w:val="00726550"/>
    <w:rsid w:val="0072660F"/>
    <w:rsid w:val="00726646"/>
    <w:rsid w:val="007266FE"/>
    <w:rsid w:val="007267FF"/>
    <w:rsid w:val="00726800"/>
    <w:rsid w:val="00726835"/>
    <w:rsid w:val="007268EC"/>
    <w:rsid w:val="00726A31"/>
    <w:rsid w:val="00726A56"/>
    <w:rsid w:val="00726B6F"/>
    <w:rsid w:val="00726CBF"/>
    <w:rsid w:val="00726D63"/>
    <w:rsid w:val="00726E00"/>
    <w:rsid w:val="00726E4E"/>
    <w:rsid w:val="00726E6F"/>
    <w:rsid w:val="00727026"/>
    <w:rsid w:val="00727225"/>
    <w:rsid w:val="007273B2"/>
    <w:rsid w:val="007273C8"/>
    <w:rsid w:val="0072748D"/>
    <w:rsid w:val="007274F8"/>
    <w:rsid w:val="007275A3"/>
    <w:rsid w:val="007275B5"/>
    <w:rsid w:val="007278BC"/>
    <w:rsid w:val="0072797C"/>
    <w:rsid w:val="00727CBA"/>
    <w:rsid w:val="00727DA2"/>
    <w:rsid w:val="00727E95"/>
    <w:rsid w:val="00727F1C"/>
    <w:rsid w:val="00730012"/>
    <w:rsid w:val="00730083"/>
    <w:rsid w:val="007301CE"/>
    <w:rsid w:val="0073021C"/>
    <w:rsid w:val="00730222"/>
    <w:rsid w:val="007302EA"/>
    <w:rsid w:val="00730438"/>
    <w:rsid w:val="007304CB"/>
    <w:rsid w:val="007304DB"/>
    <w:rsid w:val="00730542"/>
    <w:rsid w:val="00730573"/>
    <w:rsid w:val="007305E3"/>
    <w:rsid w:val="007305E4"/>
    <w:rsid w:val="007306EF"/>
    <w:rsid w:val="007307C9"/>
    <w:rsid w:val="007307EE"/>
    <w:rsid w:val="00730872"/>
    <w:rsid w:val="00730885"/>
    <w:rsid w:val="00730A2E"/>
    <w:rsid w:val="00730C51"/>
    <w:rsid w:val="00730C9C"/>
    <w:rsid w:val="00730D97"/>
    <w:rsid w:val="00730DD7"/>
    <w:rsid w:val="00730EEB"/>
    <w:rsid w:val="00730F05"/>
    <w:rsid w:val="00730F10"/>
    <w:rsid w:val="00730F49"/>
    <w:rsid w:val="00730FAD"/>
    <w:rsid w:val="007311F1"/>
    <w:rsid w:val="00731403"/>
    <w:rsid w:val="007314B9"/>
    <w:rsid w:val="007314C5"/>
    <w:rsid w:val="007314D7"/>
    <w:rsid w:val="00731512"/>
    <w:rsid w:val="00731541"/>
    <w:rsid w:val="00731671"/>
    <w:rsid w:val="0073172A"/>
    <w:rsid w:val="0073175C"/>
    <w:rsid w:val="007318C2"/>
    <w:rsid w:val="00731923"/>
    <w:rsid w:val="00731B46"/>
    <w:rsid w:val="00731BE2"/>
    <w:rsid w:val="00731BE7"/>
    <w:rsid w:val="00731CB2"/>
    <w:rsid w:val="00731D65"/>
    <w:rsid w:val="00731D79"/>
    <w:rsid w:val="00731DA6"/>
    <w:rsid w:val="007320BD"/>
    <w:rsid w:val="00732102"/>
    <w:rsid w:val="00732181"/>
    <w:rsid w:val="00732334"/>
    <w:rsid w:val="0073242A"/>
    <w:rsid w:val="0073244C"/>
    <w:rsid w:val="007324D1"/>
    <w:rsid w:val="00732564"/>
    <w:rsid w:val="00732763"/>
    <w:rsid w:val="00732773"/>
    <w:rsid w:val="00732866"/>
    <w:rsid w:val="00732905"/>
    <w:rsid w:val="00732944"/>
    <w:rsid w:val="00732958"/>
    <w:rsid w:val="00732965"/>
    <w:rsid w:val="00732A0A"/>
    <w:rsid w:val="00732B26"/>
    <w:rsid w:val="00732B5E"/>
    <w:rsid w:val="00732EE5"/>
    <w:rsid w:val="00732FA2"/>
    <w:rsid w:val="00732FBD"/>
    <w:rsid w:val="00732FE4"/>
    <w:rsid w:val="0073306D"/>
    <w:rsid w:val="007330D2"/>
    <w:rsid w:val="007331F7"/>
    <w:rsid w:val="0073327B"/>
    <w:rsid w:val="007334C3"/>
    <w:rsid w:val="00733538"/>
    <w:rsid w:val="007335AB"/>
    <w:rsid w:val="00733609"/>
    <w:rsid w:val="00733791"/>
    <w:rsid w:val="00733839"/>
    <w:rsid w:val="0073392A"/>
    <w:rsid w:val="0073393E"/>
    <w:rsid w:val="0073397D"/>
    <w:rsid w:val="007339C4"/>
    <w:rsid w:val="007339CE"/>
    <w:rsid w:val="007339D2"/>
    <w:rsid w:val="00733A37"/>
    <w:rsid w:val="00733AB1"/>
    <w:rsid w:val="00733AC4"/>
    <w:rsid w:val="00733B73"/>
    <w:rsid w:val="00733D8C"/>
    <w:rsid w:val="00733EC1"/>
    <w:rsid w:val="0073407E"/>
    <w:rsid w:val="007340A3"/>
    <w:rsid w:val="0073415C"/>
    <w:rsid w:val="0073421B"/>
    <w:rsid w:val="0073436D"/>
    <w:rsid w:val="007346B8"/>
    <w:rsid w:val="007346D4"/>
    <w:rsid w:val="007347A7"/>
    <w:rsid w:val="007349CF"/>
    <w:rsid w:val="00734ADF"/>
    <w:rsid w:val="00734B07"/>
    <w:rsid w:val="00734BF4"/>
    <w:rsid w:val="00734CB5"/>
    <w:rsid w:val="00734D2E"/>
    <w:rsid w:val="00734DB7"/>
    <w:rsid w:val="00734DFF"/>
    <w:rsid w:val="00734F07"/>
    <w:rsid w:val="00734FFA"/>
    <w:rsid w:val="00735009"/>
    <w:rsid w:val="0073505E"/>
    <w:rsid w:val="0073527F"/>
    <w:rsid w:val="00735293"/>
    <w:rsid w:val="0073535F"/>
    <w:rsid w:val="00735484"/>
    <w:rsid w:val="007354B1"/>
    <w:rsid w:val="007354E0"/>
    <w:rsid w:val="00735523"/>
    <w:rsid w:val="0073556A"/>
    <w:rsid w:val="007355EF"/>
    <w:rsid w:val="0073560F"/>
    <w:rsid w:val="00735738"/>
    <w:rsid w:val="007357A0"/>
    <w:rsid w:val="00735876"/>
    <w:rsid w:val="007358EB"/>
    <w:rsid w:val="00735A1F"/>
    <w:rsid w:val="00735A37"/>
    <w:rsid w:val="00735C18"/>
    <w:rsid w:val="00735CA5"/>
    <w:rsid w:val="00735CB2"/>
    <w:rsid w:val="00735DF9"/>
    <w:rsid w:val="00735E5B"/>
    <w:rsid w:val="00735E6B"/>
    <w:rsid w:val="00735ECC"/>
    <w:rsid w:val="00735EDC"/>
    <w:rsid w:val="00735F89"/>
    <w:rsid w:val="00735F98"/>
    <w:rsid w:val="00736081"/>
    <w:rsid w:val="0073612A"/>
    <w:rsid w:val="007361F4"/>
    <w:rsid w:val="007361FB"/>
    <w:rsid w:val="00736237"/>
    <w:rsid w:val="00736347"/>
    <w:rsid w:val="0073665C"/>
    <w:rsid w:val="007366B3"/>
    <w:rsid w:val="007366B9"/>
    <w:rsid w:val="0073672E"/>
    <w:rsid w:val="007368AF"/>
    <w:rsid w:val="00736AAE"/>
    <w:rsid w:val="00736C28"/>
    <w:rsid w:val="00736D90"/>
    <w:rsid w:val="00736E1C"/>
    <w:rsid w:val="00736E34"/>
    <w:rsid w:val="00736EEE"/>
    <w:rsid w:val="00736F40"/>
    <w:rsid w:val="0073703A"/>
    <w:rsid w:val="00737058"/>
    <w:rsid w:val="0073707B"/>
    <w:rsid w:val="00737184"/>
    <w:rsid w:val="0073719F"/>
    <w:rsid w:val="00737235"/>
    <w:rsid w:val="00737252"/>
    <w:rsid w:val="00737321"/>
    <w:rsid w:val="00737364"/>
    <w:rsid w:val="0073743A"/>
    <w:rsid w:val="00737513"/>
    <w:rsid w:val="007375A7"/>
    <w:rsid w:val="0073761E"/>
    <w:rsid w:val="007376FA"/>
    <w:rsid w:val="0073774B"/>
    <w:rsid w:val="00737993"/>
    <w:rsid w:val="00737B79"/>
    <w:rsid w:val="00737BBC"/>
    <w:rsid w:val="00737C42"/>
    <w:rsid w:val="00737D3A"/>
    <w:rsid w:val="00737D4F"/>
    <w:rsid w:val="00737F2A"/>
    <w:rsid w:val="00740066"/>
    <w:rsid w:val="0074023F"/>
    <w:rsid w:val="007402EB"/>
    <w:rsid w:val="0074030F"/>
    <w:rsid w:val="007403C2"/>
    <w:rsid w:val="00740405"/>
    <w:rsid w:val="00740446"/>
    <w:rsid w:val="007404FC"/>
    <w:rsid w:val="00740507"/>
    <w:rsid w:val="00740534"/>
    <w:rsid w:val="0074057A"/>
    <w:rsid w:val="0074064B"/>
    <w:rsid w:val="0074075E"/>
    <w:rsid w:val="0074079C"/>
    <w:rsid w:val="007407B8"/>
    <w:rsid w:val="0074081D"/>
    <w:rsid w:val="007408F0"/>
    <w:rsid w:val="00740992"/>
    <w:rsid w:val="007409D6"/>
    <w:rsid w:val="00740A35"/>
    <w:rsid w:val="00740BCD"/>
    <w:rsid w:val="00740C5D"/>
    <w:rsid w:val="00740C67"/>
    <w:rsid w:val="00740CC0"/>
    <w:rsid w:val="00740D41"/>
    <w:rsid w:val="00740E08"/>
    <w:rsid w:val="00740EDB"/>
    <w:rsid w:val="00740F02"/>
    <w:rsid w:val="00740F56"/>
    <w:rsid w:val="00740F88"/>
    <w:rsid w:val="00740FAB"/>
    <w:rsid w:val="00740FD5"/>
    <w:rsid w:val="00741288"/>
    <w:rsid w:val="0074128B"/>
    <w:rsid w:val="00741291"/>
    <w:rsid w:val="00741297"/>
    <w:rsid w:val="0074146A"/>
    <w:rsid w:val="0074154B"/>
    <w:rsid w:val="007415C2"/>
    <w:rsid w:val="00741699"/>
    <w:rsid w:val="007416A2"/>
    <w:rsid w:val="007417B1"/>
    <w:rsid w:val="00741814"/>
    <w:rsid w:val="007418C8"/>
    <w:rsid w:val="00741A1B"/>
    <w:rsid w:val="00741A1F"/>
    <w:rsid w:val="00741B0F"/>
    <w:rsid w:val="00741BA9"/>
    <w:rsid w:val="00741BB9"/>
    <w:rsid w:val="00741C16"/>
    <w:rsid w:val="00741C8A"/>
    <w:rsid w:val="00741D13"/>
    <w:rsid w:val="00741E69"/>
    <w:rsid w:val="00741E95"/>
    <w:rsid w:val="00741EA2"/>
    <w:rsid w:val="00741F24"/>
    <w:rsid w:val="00741F49"/>
    <w:rsid w:val="00741F4A"/>
    <w:rsid w:val="00741F85"/>
    <w:rsid w:val="00742149"/>
    <w:rsid w:val="007421CE"/>
    <w:rsid w:val="00742243"/>
    <w:rsid w:val="007422D4"/>
    <w:rsid w:val="00742454"/>
    <w:rsid w:val="007424C8"/>
    <w:rsid w:val="0074256C"/>
    <w:rsid w:val="00742595"/>
    <w:rsid w:val="007425E6"/>
    <w:rsid w:val="00742640"/>
    <w:rsid w:val="0074296C"/>
    <w:rsid w:val="00742B71"/>
    <w:rsid w:val="00742BCD"/>
    <w:rsid w:val="00742BF6"/>
    <w:rsid w:val="00742EC1"/>
    <w:rsid w:val="00742FCB"/>
    <w:rsid w:val="0074310C"/>
    <w:rsid w:val="00743115"/>
    <w:rsid w:val="0074317C"/>
    <w:rsid w:val="007431D6"/>
    <w:rsid w:val="00743286"/>
    <w:rsid w:val="007432B1"/>
    <w:rsid w:val="007432F9"/>
    <w:rsid w:val="007433B2"/>
    <w:rsid w:val="007435BF"/>
    <w:rsid w:val="0074364A"/>
    <w:rsid w:val="007438AB"/>
    <w:rsid w:val="00743A00"/>
    <w:rsid w:val="00743B46"/>
    <w:rsid w:val="00743B89"/>
    <w:rsid w:val="00743C82"/>
    <w:rsid w:val="00743D0F"/>
    <w:rsid w:val="00743DE6"/>
    <w:rsid w:val="00743E3C"/>
    <w:rsid w:val="00743E74"/>
    <w:rsid w:val="00743F6C"/>
    <w:rsid w:val="00743FD9"/>
    <w:rsid w:val="00743FEF"/>
    <w:rsid w:val="00744022"/>
    <w:rsid w:val="0074402E"/>
    <w:rsid w:val="0074405F"/>
    <w:rsid w:val="00744285"/>
    <w:rsid w:val="0074448B"/>
    <w:rsid w:val="0074450B"/>
    <w:rsid w:val="0074458A"/>
    <w:rsid w:val="007445C8"/>
    <w:rsid w:val="0074470F"/>
    <w:rsid w:val="00744873"/>
    <w:rsid w:val="00744957"/>
    <w:rsid w:val="00744963"/>
    <w:rsid w:val="00744A18"/>
    <w:rsid w:val="00744A46"/>
    <w:rsid w:val="00744B48"/>
    <w:rsid w:val="00744B52"/>
    <w:rsid w:val="00744B9F"/>
    <w:rsid w:val="00744C51"/>
    <w:rsid w:val="00744CDB"/>
    <w:rsid w:val="00744EB7"/>
    <w:rsid w:val="00744F2C"/>
    <w:rsid w:val="00744FAA"/>
    <w:rsid w:val="007450CD"/>
    <w:rsid w:val="00745477"/>
    <w:rsid w:val="00745728"/>
    <w:rsid w:val="007457A3"/>
    <w:rsid w:val="0074585C"/>
    <w:rsid w:val="007458EF"/>
    <w:rsid w:val="00745958"/>
    <w:rsid w:val="00745AE3"/>
    <w:rsid w:val="00745B6F"/>
    <w:rsid w:val="00745B81"/>
    <w:rsid w:val="00745D02"/>
    <w:rsid w:val="00745FA9"/>
    <w:rsid w:val="00746043"/>
    <w:rsid w:val="007460B4"/>
    <w:rsid w:val="007461C0"/>
    <w:rsid w:val="00746249"/>
    <w:rsid w:val="00746264"/>
    <w:rsid w:val="0074630B"/>
    <w:rsid w:val="00746360"/>
    <w:rsid w:val="007463B5"/>
    <w:rsid w:val="007463F8"/>
    <w:rsid w:val="0074643E"/>
    <w:rsid w:val="007464C7"/>
    <w:rsid w:val="007464CA"/>
    <w:rsid w:val="007466AF"/>
    <w:rsid w:val="0074671A"/>
    <w:rsid w:val="0074684B"/>
    <w:rsid w:val="00746934"/>
    <w:rsid w:val="00746B00"/>
    <w:rsid w:val="00746BAD"/>
    <w:rsid w:val="00746C42"/>
    <w:rsid w:val="00746CA0"/>
    <w:rsid w:val="00746D9B"/>
    <w:rsid w:val="00746E57"/>
    <w:rsid w:val="00746E66"/>
    <w:rsid w:val="00746EF5"/>
    <w:rsid w:val="00746F16"/>
    <w:rsid w:val="0074703F"/>
    <w:rsid w:val="00747052"/>
    <w:rsid w:val="007470F3"/>
    <w:rsid w:val="0074710A"/>
    <w:rsid w:val="0074717C"/>
    <w:rsid w:val="007471C3"/>
    <w:rsid w:val="007472F7"/>
    <w:rsid w:val="0074730F"/>
    <w:rsid w:val="00747331"/>
    <w:rsid w:val="0074750D"/>
    <w:rsid w:val="007475FC"/>
    <w:rsid w:val="00747682"/>
    <w:rsid w:val="00747692"/>
    <w:rsid w:val="00747697"/>
    <w:rsid w:val="00747A0A"/>
    <w:rsid w:val="00747AB9"/>
    <w:rsid w:val="00747C9D"/>
    <w:rsid w:val="00747D29"/>
    <w:rsid w:val="00747D5C"/>
    <w:rsid w:val="00747D7D"/>
    <w:rsid w:val="00747E7C"/>
    <w:rsid w:val="00747EB9"/>
    <w:rsid w:val="007502C4"/>
    <w:rsid w:val="007504F2"/>
    <w:rsid w:val="0075056F"/>
    <w:rsid w:val="007505D3"/>
    <w:rsid w:val="0075060E"/>
    <w:rsid w:val="0075071B"/>
    <w:rsid w:val="00750757"/>
    <w:rsid w:val="00750835"/>
    <w:rsid w:val="0075085D"/>
    <w:rsid w:val="00750910"/>
    <w:rsid w:val="00750938"/>
    <w:rsid w:val="007509E9"/>
    <w:rsid w:val="00750A33"/>
    <w:rsid w:val="00750A78"/>
    <w:rsid w:val="00750B69"/>
    <w:rsid w:val="00750BC5"/>
    <w:rsid w:val="00750CCF"/>
    <w:rsid w:val="00750D1A"/>
    <w:rsid w:val="00750DB0"/>
    <w:rsid w:val="00750F91"/>
    <w:rsid w:val="00750FDC"/>
    <w:rsid w:val="00751124"/>
    <w:rsid w:val="00751150"/>
    <w:rsid w:val="00751166"/>
    <w:rsid w:val="007511F2"/>
    <w:rsid w:val="007511FF"/>
    <w:rsid w:val="00751221"/>
    <w:rsid w:val="00751289"/>
    <w:rsid w:val="0075136B"/>
    <w:rsid w:val="00751449"/>
    <w:rsid w:val="00751484"/>
    <w:rsid w:val="007514D5"/>
    <w:rsid w:val="007514E1"/>
    <w:rsid w:val="0075150F"/>
    <w:rsid w:val="0075179F"/>
    <w:rsid w:val="0075180F"/>
    <w:rsid w:val="007519B2"/>
    <w:rsid w:val="00751A89"/>
    <w:rsid w:val="00751BD1"/>
    <w:rsid w:val="00751BF1"/>
    <w:rsid w:val="00751D7F"/>
    <w:rsid w:val="00751E1B"/>
    <w:rsid w:val="00751E7B"/>
    <w:rsid w:val="00751F64"/>
    <w:rsid w:val="00751F82"/>
    <w:rsid w:val="0075204B"/>
    <w:rsid w:val="007520BD"/>
    <w:rsid w:val="00752154"/>
    <w:rsid w:val="00752183"/>
    <w:rsid w:val="00752197"/>
    <w:rsid w:val="007521A6"/>
    <w:rsid w:val="007521B2"/>
    <w:rsid w:val="007521C7"/>
    <w:rsid w:val="0075227C"/>
    <w:rsid w:val="00752294"/>
    <w:rsid w:val="0075231D"/>
    <w:rsid w:val="0075238E"/>
    <w:rsid w:val="007523B8"/>
    <w:rsid w:val="007523D3"/>
    <w:rsid w:val="007523E5"/>
    <w:rsid w:val="00752444"/>
    <w:rsid w:val="007524A4"/>
    <w:rsid w:val="007525C9"/>
    <w:rsid w:val="00752670"/>
    <w:rsid w:val="0075275E"/>
    <w:rsid w:val="0075295C"/>
    <w:rsid w:val="00752C4A"/>
    <w:rsid w:val="00752C74"/>
    <w:rsid w:val="00752D0C"/>
    <w:rsid w:val="00752DBA"/>
    <w:rsid w:val="00752DC4"/>
    <w:rsid w:val="00752E13"/>
    <w:rsid w:val="00752F12"/>
    <w:rsid w:val="00752F53"/>
    <w:rsid w:val="00752FF6"/>
    <w:rsid w:val="00753059"/>
    <w:rsid w:val="00753090"/>
    <w:rsid w:val="007530D9"/>
    <w:rsid w:val="00753164"/>
    <w:rsid w:val="0075317F"/>
    <w:rsid w:val="00753296"/>
    <w:rsid w:val="0075336A"/>
    <w:rsid w:val="007533D9"/>
    <w:rsid w:val="00753578"/>
    <w:rsid w:val="00753599"/>
    <w:rsid w:val="0075374A"/>
    <w:rsid w:val="0075378D"/>
    <w:rsid w:val="00753870"/>
    <w:rsid w:val="00753892"/>
    <w:rsid w:val="00753A82"/>
    <w:rsid w:val="00753A85"/>
    <w:rsid w:val="00753AA9"/>
    <w:rsid w:val="00753AED"/>
    <w:rsid w:val="00753B64"/>
    <w:rsid w:val="00753BE0"/>
    <w:rsid w:val="00753C16"/>
    <w:rsid w:val="00753CA5"/>
    <w:rsid w:val="00753CD6"/>
    <w:rsid w:val="00753D3B"/>
    <w:rsid w:val="00753E52"/>
    <w:rsid w:val="00753EC8"/>
    <w:rsid w:val="00753EF9"/>
    <w:rsid w:val="00753FE6"/>
    <w:rsid w:val="0075420F"/>
    <w:rsid w:val="007542DD"/>
    <w:rsid w:val="00754325"/>
    <w:rsid w:val="0075436E"/>
    <w:rsid w:val="007543AC"/>
    <w:rsid w:val="007545EF"/>
    <w:rsid w:val="00754688"/>
    <w:rsid w:val="00754693"/>
    <w:rsid w:val="0075488C"/>
    <w:rsid w:val="00754890"/>
    <w:rsid w:val="00754A93"/>
    <w:rsid w:val="00754AC3"/>
    <w:rsid w:val="00754C37"/>
    <w:rsid w:val="00754CB0"/>
    <w:rsid w:val="00754D8C"/>
    <w:rsid w:val="00754EC5"/>
    <w:rsid w:val="00754ED5"/>
    <w:rsid w:val="00754EDB"/>
    <w:rsid w:val="00754F18"/>
    <w:rsid w:val="00754F27"/>
    <w:rsid w:val="0075504A"/>
    <w:rsid w:val="0075510B"/>
    <w:rsid w:val="00755128"/>
    <w:rsid w:val="007551C5"/>
    <w:rsid w:val="007551FB"/>
    <w:rsid w:val="0075528E"/>
    <w:rsid w:val="0075529F"/>
    <w:rsid w:val="0075531C"/>
    <w:rsid w:val="00755398"/>
    <w:rsid w:val="0075542B"/>
    <w:rsid w:val="0075556D"/>
    <w:rsid w:val="0075567A"/>
    <w:rsid w:val="0075571A"/>
    <w:rsid w:val="00755785"/>
    <w:rsid w:val="007557A4"/>
    <w:rsid w:val="007557AC"/>
    <w:rsid w:val="0075586D"/>
    <w:rsid w:val="007558BE"/>
    <w:rsid w:val="00755AF8"/>
    <w:rsid w:val="00755B32"/>
    <w:rsid w:val="00755BBC"/>
    <w:rsid w:val="00755C8E"/>
    <w:rsid w:val="00755CDF"/>
    <w:rsid w:val="00755F6E"/>
    <w:rsid w:val="00755FA0"/>
    <w:rsid w:val="00755FC6"/>
    <w:rsid w:val="007563AC"/>
    <w:rsid w:val="00756485"/>
    <w:rsid w:val="0075655D"/>
    <w:rsid w:val="00756613"/>
    <w:rsid w:val="007567AC"/>
    <w:rsid w:val="007567EC"/>
    <w:rsid w:val="00756865"/>
    <w:rsid w:val="0075687C"/>
    <w:rsid w:val="007568BB"/>
    <w:rsid w:val="00756B3A"/>
    <w:rsid w:val="00756B50"/>
    <w:rsid w:val="00756BA6"/>
    <w:rsid w:val="00756BF4"/>
    <w:rsid w:val="00756C88"/>
    <w:rsid w:val="00756CAE"/>
    <w:rsid w:val="00756D3B"/>
    <w:rsid w:val="00756DBD"/>
    <w:rsid w:val="00756F6A"/>
    <w:rsid w:val="00756FAB"/>
    <w:rsid w:val="00756FD0"/>
    <w:rsid w:val="00756FDE"/>
    <w:rsid w:val="0075704B"/>
    <w:rsid w:val="00757068"/>
    <w:rsid w:val="00757199"/>
    <w:rsid w:val="007571C0"/>
    <w:rsid w:val="007571FC"/>
    <w:rsid w:val="0075721E"/>
    <w:rsid w:val="0075731C"/>
    <w:rsid w:val="007574A2"/>
    <w:rsid w:val="007574A9"/>
    <w:rsid w:val="007574E5"/>
    <w:rsid w:val="007575BE"/>
    <w:rsid w:val="00757867"/>
    <w:rsid w:val="007578FD"/>
    <w:rsid w:val="00757939"/>
    <w:rsid w:val="007579BE"/>
    <w:rsid w:val="007579DC"/>
    <w:rsid w:val="00757B56"/>
    <w:rsid w:val="00757BCF"/>
    <w:rsid w:val="00757CF2"/>
    <w:rsid w:val="00757F26"/>
    <w:rsid w:val="00757F9D"/>
    <w:rsid w:val="00757FBA"/>
    <w:rsid w:val="00760115"/>
    <w:rsid w:val="0076019D"/>
    <w:rsid w:val="007602EE"/>
    <w:rsid w:val="00760400"/>
    <w:rsid w:val="007604E4"/>
    <w:rsid w:val="007604FD"/>
    <w:rsid w:val="00760686"/>
    <w:rsid w:val="007606D0"/>
    <w:rsid w:val="007606EF"/>
    <w:rsid w:val="00760773"/>
    <w:rsid w:val="0076077D"/>
    <w:rsid w:val="007608DF"/>
    <w:rsid w:val="00760940"/>
    <w:rsid w:val="00760985"/>
    <w:rsid w:val="007609D3"/>
    <w:rsid w:val="00760A21"/>
    <w:rsid w:val="00760AEF"/>
    <w:rsid w:val="00760B14"/>
    <w:rsid w:val="00760C73"/>
    <w:rsid w:val="00760FDC"/>
    <w:rsid w:val="00761029"/>
    <w:rsid w:val="007610F7"/>
    <w:rsid w:val="0076112D"/>
    <w:rsid w:val="0076116D"/>
    <w:rsid w:val="007611B3"/>
    <w:rsid w:val="0076120E"/>
    <w:rsid w:val="007612D8"/>
    <w:rsid w:val="00761339"/>
    <w:rsid w:val="0076142B"/>
    <w:rsid w:val="00761460"/>
    <w:rsid w:val="0076146C"/>
    <w:rsid w:val="00761547"/>
    <w:rsid w:val="007616B9"/>
    <w:rsid w:val="0076179C"/>
    <w:rsid w:val="00761928"/>
    <w:rsid w:val="00761D61"/>
    <w:rsid w:val="00761DC6"/>
    <w:rsid w:val="00761F3C"/>
    <w:rsid w:val="00761FCF"/>
    <w:rsid w:val="00761FD3"/>
    <w:rsid w:val="007620B2"/>
    <w:rsid w:val="00762105"/>
    <w:rsid w:val="007621D6"/>
    <w:rsid w:val="007622A7"/>
    <w:rsid w:val="007622D0"/>
    <w:rsid w:val="00762356"/>
    <w:rsid w:val="0076247A"/>
    <w:rsid w:val="007624B5"/>
    <w:rsid w:val="007624BB"/>
    <w:rsid w:val="0076266E"/>
    <w:rsid w:val="00762789"/>
    <w:rsid w:val="007627F5"/>
    <w:rsid w:val="00762867"/>
    <w:rsid w:val="0076286C"/>
    <w:rsid w:val="007628E7"/>
    <w:rsid w:val="00762916"/>
    <w:rsid w:val="00762C73"/>
    <w:rsid w:val="00762D2F"/>
    <w:rsid w:val="00762DD3"/>
    <w:rsid w:val="00762EBF"/>
    <w:rsid w:val="00762F4A"/>
    <w:rsid w:val="00762F77"/>
    <w:rsid w:val="0076312F"/>
    <w:rsid w:val="00763223"/>
    <w:rsid w:val="0076324F"/>
    <w:rsid w:val="007632DD"/>
    <w:rsid w:val="00763339"/>
    <w:rsid w:val="00763377"/>
    <w:rsid w:val="00763450"/>
    <w:rsid w:val="0076348E"/>
    <w:rsid w:val="007634CF"/>
    <w:rsid w:val="007634FA"/>
    <w:rsid w:val="00763566"/>
    <w:rsid w:val="00763610"/>
    <w:rsid w:val="007636EB"/>
    <w:rsid w:val="00763705"/>
    <w:rsid w:val="00763713"/>
    <w:rsid w:val="0076374C"/>
    <w:rsid w:val="0076374E"/>
    <w:rsid w:val="0076377B"/>
    <w:rsid w:val="00763835"/>
    <w:rsid w:val="00763960"/>
    <w:rsid w:val="007639BA"/>
    <w:rsid w:val="00763A1B"/>
    <w:rsid w:val="00763AD0"/>
    <w:rsid w:val="00763B0D"/>
    <w:rsid w:val="00763B25"/>
    <w:rsid w:val="00763D52"/>
    <w:rsid w:val="00763DD6"/>
    <w:rsid w:val="00763EFE"/>
    <w:rsid w:val="00763FB9"/>
    <w:rsid w:val="0076403C"/>
    <w:rsid w:val="007640B0"/>
    <w:rsid w:val="00764272"/>
    <w:rsid w:val="0076431A"/>
    <w:rsid w:val="007646C0"/>
    <w:rsid w:val="0076474D"/>
    <w:rsid w:val="00764787"/>
    <w:rsid w:val="0076489D"/>
    <w:rsid w:val="00764993"/>
    <w:rsid w:val="007649BD"/>
    <w:rsid w:val="00764A5E"/>
    <w:rsid w:val="00764A88"/>
    <w:rsid w:val="00764B07"/>
    <w:rsid w:val="00764BD3"/>
    <w:rsid w:val="00764BE7"/>
    <w:rsid w:val="00764C06"/>
    <w:rsid w:val="00764CEA"/>
    <w:rsid w:val="00764D6A"/>
    <w:rsid w:val="00764D98"/>
    <w:rsid w:val="00764DAC"/>
    <w:rsid w:val="00764E04"/>
    <w:rsid w:val="00764E2D"/>
    <w:rsid w:val="00764F5D"/>
    <w:rsid w:val="00765014"/>
    <w:rsid w:val="0076503D"/>
    <w:rsid w:val="00765041"/>
    <w:rsid w:val="00765056"/>
    <w:rsid w:val="00765123"/>
    <w:rsid w:val="007651AC"/>
    <w:rsid w:val="00765333"/>
    <w:rsid w:val="00765396"/>
    <w:rsid w:val="007654E8"/>
    <w:rsid w:val="00765817"/>
    <w:rsid w:val="00765819"/>
    <w:rsid w:val="0076582A"/>
    <w:rsid w:val="0076589E"/>
    <w:rsid w:val="007658FC"/>
    <w:rsid w:val="0076591F"/>
    <w:rsid w:val="00765C25"/>
    <w:rsid w:val="00765C2E"/>
    <w:rsid w:val="00765C35"/>
    <w:rsid w:val="00765D24"/>
    <w:rsid w:val="00765D98"/>
    <w:rsid w:val="00765F6C"/>
    <w:rsid w:val="00766035"/>
    <w:rsid w:val="00766048"/>
    <w:rsid w:val="0076615E"/>
    <w:rsid w:val="0076620F"/>
    <w:rsid w:val="007662CB"/>
    <w:rsid w:val="007662F9"/>
    <w:rsid w:val="007662FA"/>
    <w:rsid w:val="00766511"/>
    <w:rsid w:val="0076652D"/>
    <w:rsid w:val="007666E7"/>
    <w:rsid w:val="007668B5"/>
    <w:rsid w:val="007669B7"/>
    <w:rsid w:val="00766A11"/>
    <w:rsid w:val="00766AF8"/>
    <w:rsid w:val="00766B6D"/>
    <w:rsid w:val="00766BDD"/>
    <w:rsid w:val="00766E16"/>
    <w:rsid w:val="007670E0"/>
    <w:rsid w:val="0076710C"/>
    <w:rsid w:val="00767129"/>
    <w:rsid w:val="0076714F"/>
    <w:rsid w:val="007671A1"/>
    <w:rsid w:val="007675E1"/>
    <w:rsid w:val="007675EC"/>
    <w:rsid w:val="007676E8"/>
    <w:rsid w:val="007676F9"/>
    <w:rsid w:val="00767A10"/>
    <w:rsid w:val="00767CDD"/>
    <w:rsid w:val="00767DE4"/>
    <w:rsid w:val="00767DE8"/>
    <w:rsid w:val="00767E17"/>
    <w:rsid w:val="00767E35"/>
    <w:rsid w:val="00770048"/>
    <w:rsid w:val="007701FD"/>
    <w:rsid w:val="0077026F"/>
    <w:rsid w:val="00770296"/>
    <w:rsid w:val="00770378"/>
    <w:rsid w:val="007703FB"/>
    <w:rsid w:val="00770406"/>
    <w:rsid w:val="00770668"/>
    <w:rsid w:val="0077070A"/>
    <w:rsid w:val="00770710"/>
    <w:rsid w:val="007707E7"/>
    <w:rsid w:val="007707F8"/>
    <w:rsid w:val="0077082C"/>
    <w:rsid w:val="007709BA"/>
    <w:rsid w:val="00770A02"/>
    <w:rsid w:val="00770B69"/>
    <w:rsid w:val="00770C80"/>
    <w:rsid w:val="00770E15"/>
    <w:rsid w:val="00770E9D"/>
    <w:rsid w:val="00770F63"/>
    <w:rsid w:val="00771041"/>
    <w:rsid w:val="007710BB"/>
    <w:rsid w:val="007710C7"/>
    <w:rsid w:val="007710F2"/>
    <w:rsid w:val="00771174"/>
    <w:rsid w:val="00771177"/>
    <w:rsid w:val="0077125E"/>
    <w:rsid w:val="00771409"/>
    <w:rsid w:val="0077157E"/>
    <w:rsid w:val="0077159F"/>
    <w:rsid w:val="007715A6"/>
    <w:rsid w:val="007715E5"/>
    <w:rsid w:val="00771669"/>
    <w:rsid w:val="0077169A"/>
    <w:rsid w:val="00771749"/>
    <w:rsid w:val="007718C8"/>
    <w:rsid w:val="00771A42"/>
    <w:rsid w:val="00771B44"/>
    <w:rsid w:val="00771B59"/>
    <w:rsid w:val="00771B7D"/>
    <w:rsid w:val="00771CC7"/>
    <w:rsid w:val="00771CC8"/>
    <w:rsid w:val="00771D59"/>
    <w:rsid w:val="00771D60"/>
    <w:rsid w:val="00771D8E"/>
    <w:rsid w:val="00771E09"/>
    <w:rsid w:val="00771E94"/>
    <w:rsid w:val="00771E98"/>
    <w:rsid w:val="00771EE7"/>
    <w:rsid w:val="00771EFB"/>
    <w:rsid w:val="00771F70"/>
    <w:rsid w:val="00771FAB"/>
    <w:rsid w:val="00772049"/>
    <w:rsid w:val="00772055"/>
    <w:rsid w:val="007720FC"/>
    <w:rsid w:val="00772285"/>
    <w:rsid w:val="00772536"/>
    <w:rsid w:val="007725F5"/>
    <w:rsid w:val="0077260F"/>
    <w:rsid w:val="00772687"/>
    <w:rsid w:val="007726AB"/>
    <w:rsid w:val="00772719"/>
    <w:rsid w:val="00772865"/>
    <w:rsid w:val="00772876"/>
    <w:rsid w:val="00772930"/>
    <w:rsid w:val="007729B6"/>
    <w:rsid w:val="00772ACE"/>
    <w:rsid w:val="00772AD2"/>
    <w:rsid w:val="00772C3E"/>
    <w:rsid w:val="00772D36"/>
    <w:rsid w:val="00772D87"/>
    <w:rsid w:val="00772DEE"/>
    <w:rsid w:val="00772E20"/>
    <w:rsid w:val="00772E68"/>
    <w:rsid w:val="00772F2E"/>
    <w:rsid w:val="00772F6F"/>
    <w:rsid w:val="00773056"/>
    <w:rsid w:val="007730A6"/>
    <w:rsid w:val="007732C6"/>
    <w:rsid w:val="00773443"/>
    <w:rsid w:val="0077348F"/>
    <w:rsid w:val="0077350C"/>
    <w:rsid w:val="007736A5"/>
    <w:rsid w:val="00773973"/>
    <w:rsid w:val="0077399B"/>
    <w:rsid w:val="00773A9B"/>
    <w:rsid w:val="00773B41"/>
    <w:rsid w:val="00773C75"/>
    <w:rsid w:val="00773D76"/>
    <w:rsid w:val="00773D78"/>
    <w:rsid w:val="00773DA8"/>
    <w:rsid w:val="00773E9C"/>
    <w:rsid w:val="00774020"/>
    <w:rsid w:val="00774032"/>
    <w:rsid w:val="0077404F"/>
    <w:rsid w:val="007741CA"/>
    <w:rsid w:val="0077439B"/>
    <w:rsid w:val="007743E5"/>
    <w:rsid w:val="0077447B"/>
    <w:rsid w:val="007744A7"/>
    <w:rsid w:val="007744E1"/>
    <w:rsid w:val="007744EA"/>
    <w:rsid w:val="007745D8"/>
    <w:rsid w:val="007745EE"/>
    <w:rsid w:val="007746A9"/>
    <w:rsid w:val="00774708"/>
    <w:rsid w:val="007748A2"/>
    <w:rsid w:val="007748B5"/>
    <w:rsid w:val="00774903"/>
    <w:rsid w:val="00774952"/>
    <w:rsid w:val="007749DE"/>
    <w:rsid w:val="00774A07"/>
    <w:rsid w:val="00774B4A"/>
    <w:rsid w:val="00774C4B"/>
    <w:rsid w:val="00774C5C"/>
    <w:rsid w:val="00774CEE"/>
    <w:rsid w:val="00774D10"/>
    <w:rsid w:val="00774D15"/>
    <w:rsid w:val="00774D9F"/>
    <w:rsid w:val="00774DB3"/>
    <w:rsid w:val="00774DEC"/>
    <w:rsid w:val="00774ED8"/>
    <w:rsid w:val="00774FF7"/>
    <w:rsid w:val="00774FFA"/>
    <w:rsid w:val="00775006"/>
    <w:rsid w:val="007750AC"/>
    <w:rsid w:val="007750D8"/>
    <w:rsid w:val="007750FC"/>
    <w:rsid w:val="00775267"/>
    <w:rsid w:val="0077597A"/>
    <w:rsid w:val="007759EB"/>
    <w:rsid w:val="00775AC8"/>
    <w:rsid w:val="00775BCE"/>
    <w:rsid w:val="00775C19"/>
    <w:rsid w:val="00775C40"/>
    <w:rsid w:val="00775CAC"/>
    <w:rsid w:val="00775D1E"/>
    <w:rsid w:val="00775D5D"/>
    <w:rsid w:val="00775D6B"/>
    <w:rsid w:val="00775E84"/>
    <w:rsid w:val="00775FE5"/>
    <w:rsid w:val="007760B9"/>
    <w:rsid w:val="00776277"/>
    <w:rsid w:val="00776326"/>
    <w:rsid w:val="0077642B"/>
    <w:rsid w:val="00776436"/>
    <w:rsid w:val="0077659E"/>
    <w:rsid w:val="0077674E"/>
    <w:rsid w:val="0077676B"/>
    <w:rsid w:val="0077678E"/>
    <w:rsid w:val="007769A8"/>
    <w:rsid w:val="007769B9"/>
    <w:rsid w:val="00776B2E"/>
    <w:rsid w:val="00776B71"/>
    <w:rsid w:val="00776C81"/>
    <w:rsid w:val="00776E9B"/>
    <w:rsid w:val="00776EAD"/>
    <w:rsid w:val="00776F6E"/>
    <w:rsid w:val="00777021"/>
    <w:rsid w:val="0077712C"/>
    <w:rsid w:val="007771B1"/>
    <w:rsid w:val="007771EF"/>
    <w:rsid w:val="00777357"/>
    <w:rsid w:val="0077735F"/>
    <w:rsid w:val="00777392"/>
    <w:rsid w:val="0077739E"/>
    <w:rsid w:val="0077741E"/>
    <w:rsid w:val="007774A1"/>
    <w:rsid w:val="0077754C"/>
    <w:rsid w:val="007775F3"/>
    <w:rsid w:val="007775F6"/>
    <w:rsid w:val="00777675"/>
    <w:rsid w:val="0077768F"/>
    <w:rsid w:val="007776B7"/>
    <w:rsid w:val="00777801"/>
    <w:rsid w:val="0077785A"/>
    <w:rsid w:val="00777A16"/>
    <w:rsid w:val="00777A5A"/>
    <w:rsid w:val="00777B1A"/>
    <w:rsid w:val="00777B7B"/>
    <w:rsid w:val="00777CB0"/>
    <w:rsid w:val="00777D56"/>
    <w:rsid w:val="00777D64"/>
    <w:rsid w:val="00777D74"/>
    <w:rsid w:val="00777EE5"/>
    <w:rsid w:val="00777EF4"/>
    <w:rsid w:val="00777F1A"/>
    <w:rsid w:val="00777FC4"/>
    <w:rsid w:val="00777FE6"/>
    <w:rsid w:val="0078005F"/>
    <w:rsid w:val="00780150"/>
    <w:rsid w:val="00780266"/>
    <w:rsid w:val="00780283"/>
    <w:rsid w:val="007802F0"/>
    <w:rsid w:val="007804FD"/>
    <w:rsid w:val="007805B9"/>
    <w:rsid w:val="0078070E"/>
    <w:rsid w:val="0078074E"/>
    <w:rsid w:val="00780756"/>
    <w:rsid w:val="007807A2"/>
    <w:rsid w:val="007807B0"/>
    <w:rsid w:val="007808EA"/>
    <w:rsid w:val="0078092F"/>
    <w:rsid w:val="00780962"/>
    <w:rsid w:val="00780A23"/>
    <w:rsid w:val="00780B9F"/>
    <w:rsid w:val="00780BE5"/>
    <w:rsid w:val="00780C52"/>
    <w:rsid w:val="00780D97"/>
    <w:rsid w:val="00780DC2"/>
    <w:rsid w:val="00781096"/>
    <w:rsid w:val="0078109E"/>
    <w:rsid w:val="007810C1"/>
    <w:rsid w:val="00781105"/>
    <w:rsid w:val="00781109"/>
    <w:rsid w:val="00781371"/>
    <w:rsid w:val="00781454"/>
    <w:rsid w:val="007815FA"/>
    <w:rsid w:val="0078161B"/>
    <w:rsid w:val="007816AE"/>
    <w:rsid w:val="00781755"/>
    <w:rsid w:val="007817A9"/>
    <w:rsid w:val="007817BA"/>
    <w:rsid w:val="007818A9"/>
    <w:rsid w:val="007818B9"/>
    <w:rsid w:val="007819D7"/>
    <w:rsid w:val="00781ADC"/>
    <w:rsid w:val="00781B36"/>
    <w:rsid w:val="00781B72"/>
    <w:rsid w:val="00781B96"/>
    <w:rsid w:val="00781CC8"/>
    <w:rsid w:val="00781F7C"/>
    <w:rsid w:val="0078205D"/>
    <w:rsid w:val="007820ED"/>
    <w:rsid w:val="007820F1"/>
    <w:rsid w:val="007821A9"/>
    <w:rsid w:val="007821C4"/>
    <w:rsid w:val="007822E4"/>
    <w:rsid w:val="00782300"/>
    <w:rsid w:val="00782328"/>
    <w:rsid w:val="0078295A"/>
    <w:rsid w:val="00782993"/>
    <w:rsid w:val="00782B7D"/>
    <w:rsid w:val="00782C5B"/>
    <w:rsid w:val="00782D83"/>
    <w:rsid w:val="00782D84"/>
    <w:rsid w:val="00782FA9"/>
    <w:rsid w:val="00782FAB"/>
    <w:rsid w:val="00782FAD"/>
    <w:rsid w:val="00783052"/>
    <w:rsid w:val="007831B0"/>
    <w:rsid w:val="00783221"/>
    <w:rsid w:val="00783351"/>
    <w:rsid w:val="0078345A"/>
    <w:rsid w:val="0078357B"/>
    <w:rsid w:val="0078358E"/>
    <w:rsid w:val="007835A3"/>
    <w:rsid w:val="00783639"/>
    <w:rsid w:val="007836B4"/>
    <w:rsid w:val="00783718"/>
    <w:rsid w:val="00783790"/>
    <w:rsid w:val="00783792"/>
    <w:rsid w:val="00783949"/>
    <w:rsid w:val="00783A96"/>
    <w:rsid w:val="00783AE4"/>
    <w:rsid w:val="00783C08"/>
    <w:rsid w:val="00783C14"/>
    <w:rsid w:val="0078406D"/>
    <w:rsid w:val="007842AC"/>
    <w:rsid w:val="007842CD"/>
    <w:rsid w:val="00784333"/>
    <w:rsid w:val="0078444A"/>
    <w:rsid w:val="007845D1"/>
    <w:rsid w:val="007847B3"/>
    <w:rsid w:val="007847EF"/>
    <w:rsid w:val="00784805"/>
    <w:rsid w:val="007848A1"/>
    <w:rsid w:val="007848E9"/>
    <w:rsid w:val="00784944"/>
    <w:rsid w:val="007849F9"/>
    <w:rsid w:val="00784A09"/>
    <w:rsid w:val="00784A81"/>
    <w:rsid w:val="00784B5B"/>
    <w:rsid w:val="00784C3C"/>
    <w:rsid w:val="00784CE2"/>
    <w:rsid w:val="00784CF4"/>
    <w:rsid w:val="00784D27"/>
    <w:rsid w:val="00784D2F"/>
    <w:rsid w:val="00784E50"/>
    <w:rsid w:val="00784F50"/>
    <w:rsid w:val="0078502D"/>
    <w:rsid w:val="0078502F"/>
    <w:rsid w:val="007850A4"/>
    <w:rsid w:val="0078510C"/>
    <w:rsid w:val="00785111"/>
    <w:rsid w:val="00785138"/>
    <w:rsid w:val="007853D2"/>
    <w:rsid w:val="0078553F"/>
    <w:rsid w:val="00785670"/>
    <w:rsid w:val="007856FD"/>
    <w:rsid w:val="007857E0"/>
    <w:rsid w:val="00785848"/>
    <w:rsid w:val="0078587C"/>
    <w:rsid w:val="007858E9"/>
    <w:rsid w:val="0078593B"/>
    <w:rsid w:val="00785ADF"/>
    <w:rsid w:val="00785BBF"/>
    <w:rsid w:val="00785C9E"/>
    <w:rsid w:val="00785CA2"/>
    <w:rsid w:val="00785DC2"/>
    <w:rsid w:val="00785E81"/>
    <w:rsid w:val="00785EAD"/>
    <w:rsid w:val="00786179"/>
    <w:rsid w:val="007861DA"/>
    <w:rsid w:val="007861F5"/>
    <w:rsid w:val="007862A0"/>
    <w:rsid w:val="007863B9"/>
    <w:rsid w:val="007863C7"/>
    <w:rsid w:val="007864CB"/>
    <w:rsid w:val="0078650A"/>
    <w:rsid w:val="007866A7"/>
    <w:rsid w:val="0078677C"/>
    <w:rsid w:val="00786812"/>
    <w:rsid w:val="00786A36"/>
    <w:rsid w:val="00786B75"/>
    <w:rsid w:val="00786BB0"/>
    <w:rsid w:val="00786C72"/>
    <w:rsid w:val="00786D6F"/>
    <w:rsid w:val="00786FBE"/>
    <w:rsid w:val="00786FC7"/>
    <w:rsid w:val="00786FF4"/>
    <w:rsid w:val="007871B8"/>
    <w:rsid w:val="007874B1"/>
    <w:rsid w:val="00787547"/>
    <w:rsid w:val="00787849"/>
    <w:rsid w:val="00787B4B"/>
    <w:rsid w:val="00787C9F"/>
    <w:rsid w:val="00787E36"/>
    <w:rsid w:val="00787EEF"/>
    <w:rsid w:val="00787F17"/>
    <w:rsid w:val="00787F30"/>
    <w:rsid w:val="00790086"/>
    <w:rsid w:val="00790126"/>
    <w:rsid w:val="00790130"/>
    <w:rsid w:val="00790221"/>
    <w:rsid w:val="00790299"/>
    <w:rsid w:val="0079033F"/>
    <w:rsid w:val="007904BC"/>
    <w:rsid w:val="0079051C"/>
    <w:rsid w:val="007905D0"/>
    <w:rsid w:val="00790677"/>
    <w:rsid w:val="007906A9"/>
    <w:rsid w:val="00790707"/>
    <w:rsid w:val="00790721"/>
    <w:rsid w:val="0079074C"/>
    <w:rsid w:val="00790A71"/>
    <w:rsid w:val="00790A75"/>
    <w:rsid w:val="00790AB0"/>
    <w:rsid w:val="00790CC6"/>
    <w:rsid w:val="00790EEB"/>
    <w:rsid w:val="00790F10"/>
    <w:rsid w:val="00790FCA"/>
    <w:rsid w:val="007910B4"/>
    <w:rsid w:val="007910CE"/>
    <w:rsid w:val="00791318"/>
    <w:rsid w:val="007913AE"/>
    <w:rsid w:val="0079144F"/>
    <w:rsid w:val="00791488"/>
    <w:rsid w:val="007914EA"/>
    <w:rsid w:val="007914F1"/>
    <w:rsid w:val="0079151D"/>
    <w:rsid w:val="00791526"/>
    <w:rsid w:val="00791575"/>
    <w:rsid w:val="00791669"/>
    <w:rsid w:val="0079169F"/>
    <w:rsid w:val="007916E2"/>
    <w:rsid w:val="0079184B"/>
    <w:rsid w:val="007918FD"/>
    <w:rsid w:val="00791985"/>
    <w:rsid w:val="007919A3"/>
    <w:rsid w:val="00791A35"/>
    <w:rsid w:val="00791B2F"/>
    <w:rsid w:val="00791B3F"/>
    <w:rsid w:val="00791B72"/>
    <w:rsid w:val="00791D99"/>
    <w:rsid w:val="00791DDC"/>
    <w:rsid w:val="00791EA1"/>
    <w:rsid w:val="00791ED7"/>
    <w:rsid w:val="00791F2A"/>
    <w:rsid w:val="00791FCE"/>
    <w:rsid w:val="00792013"/>
    <w:rsid w:val="0079216A"/>
    <w:rsid w:val="007921A3"/>
    <w:rsid w:val="00792200"/>
    <w:rsid w:val="00792219"/>
    <w:rsid w:val="007922B9"/>
    <w:rsid w:val="00792397"/>
    <w:rsid w:val="007923F3"/>
    <w:rsid w:val="0079247A"/>
    <w:rsid w:val="0079251D"/>
    <w:rsid w:val="0079270F"/>
    <w:rsid w:val="00792C63"/>
    <w:rsid w:val="00792C81"/>
    <w:rsid w:val="00792C98"/>
    <w:rsid w:val="00792CC7"/>
    <w:rsid w:val="00792D02"/>
    <w:rsid w:val="00792D95"/>
    <w:rsid w:val="00792DEC"/>
    <w:rsid w:val="00792E32"/>
    <w:rsid w:val="00792E70"/>
    <w:rsid w:val="00792E95"/>
    <w:rsid w:val="00792EE7"/>
    <w:rsid w:val="00792F28"/>
    <w:rsid w:val="007933BF"/>
    <w:rsid w:val="007933ED"/>
    <w:rsid w:val="00793402"/>
    <w:rsid w:val="00793450"/>
    <w:rsid w:val="007935C3"/>
    <w:rsid w:val="007935D0"/>
    <w:rsid w:val="00793726"/>
    <w:rsid w:val="007938BA"/>
    <w:rsid w:val="00793939"/>
    <w:rsid w:val="0079395C"/>
    <w:rsid w:val="0079396B"/>
    <w:rsid w:val="007939DA"/>
    <w:rsid w:val="00793A1B"/>
    <w:rsid w:val="00793B3E"/>
    <w:rsid w:val="00793B4E"/>
    <w:rsid w:val="00793D13"/>
    <w:rsid w:val="00793D9D"/>
    <w:rsid w:val="00793DFC"/>
    <w:rsid w:val="00793FA1"/>
    <w:rsid w:val="00794092"/>
    <w:rsid w:val="00794193"/>
    <w:rsid w:val="0079422C"/>
    <w:rsid w:val="00794263"/>
    <w:rsid w:val="007942C9"/>
    <w:rsid w:val="007942D0"/>
    <w:rsid w:val="00794348"/>
    <w:rsid w:val="00794446"/>
    <w:rsid w:val="007945E9"/>
    <w:rsid w:val="007946E5"/>
    <w:rsid w:val="00794756"/>
    <w:rsid w:val="0079482A"/>
    <w:rsid w:val="00794948"/>
    <w:rsid w:val="00794BB2"/>
    <w:rsid w:val="00794C35"/>
    <w:rsid w:val="00794C63"/>
    <w:rsid w:val="00794D0F"/>
    <w:rsid w:val="00794D2D"/>
    <w:rsid w:val="00794EE2"/>
    <w:rsid w:val="00794F00"/>
    <w:rsid w:val="00794F1A"/>
    <w:rsid w:val="00794FA4"/>
    <w:rsid w:val="00795007"/>
    <w:rsid w:val="0079507F"/>
    <w:rsid w:val="00795103"/>
    <w:rsid w:val="0079510F"/>
    <w:rsid w:val="00795250"/>
    <w:rsid w:val="00795351"/>
    <w:rsid w:val="00795395"/>
    <w:rsid w:val="007954BE"/>
    <w:rsid w:val="007955CA"/>
    <w:rsid w:val="0079569A"/>
    <w:rsid w:val="00795704"/>
    <w:rsid w:val="0079570A"/>
    <w:rsid w:val="00795789"/>
    <w:rsid w:val="00795876"/>
    <w:rsid w:val="00795989"/>
    <w:rsid w:val="00795A8D"/>
    <w:rsid w:val="00795AFD"/>
    <w:rsid w:val="00795B4A"/>
    <w:rsid w:val="00795BC7"/>
    <w:rsid w:val="00795C9B"/>
    <w:rsid w:val="00795E16"/>
    <w:rsid w:val="00795E5F"/>
    <w:rsid w:val="00795E7F"/>
    <w:rsid w:val="00796024"/>
    <w:rsid w:val="0079604C"/>
    <w:rsid w:val="00796114"/>
    <w:rsid w:val="00796236"/>
    <w:rsid w:val="0079627D"/>
    <w:rsid w:val="00796377"/>
    <w:rsid w:val="00796613"/>
    <w:rsid w:val="00796742"/>
    <w:rsid w:val="00796808"/>
    <w:rsid w:val="0079684F"/>
    <w:rsid w:val="0079686D"/>
    <w:rsid w:val="0079699D"/>
    <w:rsid w:val="007969A8"/>
    <w:rsid w:val="007969DF"/>
    <w:rsid w:val="00796A63"/>
    <w:rsid w:val="00796A9E"/>
    <w:rsid w:val="00796BCF"/>
    <w:rsid w:val="00796CB3"/>
    <w:rsid w:val="00796D36"/>
    <w:rsid w:val="00796E8B"/>
    <w:rsid w:val="00797209"/>
    <w:rsid w:val="007973D5"/>
    <w:rsid w:val="007974E2"/>
    <w:rsid w:val="0079752F"/>
    <w:rsid w:val="00797592"/>
    <w:rsid w:val="007975F9"/>
    <w:rsid w:val="00797681"/>
    <w:rsid w:val="00797841"/>
    <w:rsid w:val="007978CB"/>
    <w:rsid w:val="0079790C"/>
    <w:rsid w:val="00797AD2"/>
    <w:rsid w:val="00797B1C"/>
    <w:rsid w:val="00797B34"/>
    <w:rsid w:val="00797CA5"/>
    <w:rsid w:val="00797D03"/>
    <w:rsid w:val="00797DA5"/>
    <w:rsid w:val="00797E59"/>
    <w:rsid w:val="00797F4A"/>
    <w:rsid w:val="007A002A"/>
    <w:rsid w:val="007A022B"/>
    <w:rsid w:val="007A02BB"/>
    <w:rsid w:val="007A0350"/>
    <w:rsid w:val="007A0363"/>
    <w:rsid w:val="007A03BB"/>
    <w:rsid w:val="007A03F2"/>
    <w:rsid w:val="007A0473"/>
    <w:rsid w:val="007A0500"/>
    <w:rsid w:val="007A0526"/>
    <w:rsid w:val="007A0598"/>
    <w:rsid w:val="007A05CA"/>
    <w:rsid w:val="007A0681"/>
    <w:rsid w:val="007A0713"/>
    <w:rsid w:val="007A075D"/>
    <w:rsid w:val="007A089E"/>
    <w:rsid w:val="007A08A9"/>
    <w:rsid w:val="007A0A1B"/>
    <w:rsid w:val="007A0CE1"/>
    <w:rsid w:val="007A0D64"/>
    <w:rsid w:val="007A0F0D"/>
    <w:rsid w:val="007A0F67"/>
    <w:rsid w:val="007A103C"/>
    <w:rsid w:val="007A1154"/>
    <w:rsid w:val="007A11B0"/>
    <w:rsid w:val="007A11DA"/>
    <w:rsid w:val="007A11EF"/>
    <w:rsid w:val="007A1203"/>
    <w:rsid w:val="007A120A"/>
    <w:rsid w:val="007A12FB"/>
    <w:rsid w:val="007A1393"/>
    <w:rsid w:val="007A1473"/>
    <w:rsid w:val="007A14D6"/>
    <w:rsid w:val="007A1502"/>
    <w:rsid w:val="007A15EE"/>
    <w:rsid w:val="007A1617"/>
    <w:rsid w:val="007A1741"/>
    <w:rsid w:val="007A18FF"/>
    <w:rsid w:val="007A191F"/>
    <w:rsid w:val="007A1975"/>
    <w:rsid w:val="007A1A2B"/>
    <w:rsid w:val="007A1A46"/>
    <w:rsid w:val="007A1C03"/>
    <w:rsid w:val="007A1CD5"/>
    <w:rsid w:val="007A1DA7"/>
    <w:rsid w:val="007A1DF1"/>
    <w:rsid w:val="007A1E17"/>
    <w:rsid w:val="007A1E8C"/>
    <w:rsid w:val="007A1EFF"/>
    <w:rsid w:val="007A2066"/>
    <w:rsid w:val="007A2140"/>
    <w:rsid w:val="007A21BD"/>
    <w:rsid w:val="007A21DA"/>
    <w:rsid w:val="007A2334"/>
    <w:rsid w:val="007A2468"/>
    <w:rsid w:val="007A25AA"/>
    <w:rsid w:val="007A2846"/>
    <w:rsid w:val="007A28E2"/>
    <w:rsid w:val="007A295D"/>
    <w:rsid w:val="007A29C8"/>
    <w:rsid w:val="007A29DC"/>
    <w:rsid w:val="007A2CB8"/>
    <w:rsid w:val="007A2E23"/>
    <w:rsid w:val="007A2E7C"/>
    <w:rsid w:val="007A2EE5"/>
    <w:rsid w:val="007A2FCE"/>
    <w:rsid w:val="007A30EE"/>
    <w:rsid w:val="007A3149"/>
    <w:rsid w:val="007A3215"/>
    <w:rsid w:val="007A3240"/>
    <w:rsid w:val="007A32E8"/>
    <w:rsid w:val="007A341B"/>
    <w:rsid w:val="007A349D"/>
    <w:rsid w:val="007A3529"/>
    <w:rsid w:val="007A36CD"/>
    <w:rsid w:val="007A3790"/>
    <w:rsid w:val="007A379B"/>
    <w:rsid w:val="007A3A18"/>
    <w:rsid w:val="007A3B2E"/>
    <w:rsid w:val="007A3C0C"/>
    <w:rsid w:val="007A4128"/>
    <w:rsid w:val="007A4258"/>
    <w:rsid w:val="007A4274"/>
    <w:rsid w:val="007A427E"/>
    <w:rsid w:val="007A44F5"/>
    <w:rsid w:val="007A4706"/>
    <w:rsid w:val="007A471B"/>
    <w:rsid w:val="007A4871"/>
    <w:rsid w:val="007A488D"/>
    <w:rsid w:val="007A4A0D"/>
    <w:rsid w:val="007A4A49"/>
    <w:rsid w:val="007A4B0A"/>
    <w:rsid w:val="007A4BF6"/>
    <w:rsid w:val="007A4CC6"/>
    <w:rsid w:val="007A4D93"/>
    <w:rsid w:val="007A4E78"/>
    <w:rsid w:val="007A4E8A"/>
    <w:rsid w:val="007A4F97"/>
    <w:rsid w:val="007A513B"/>
    <w:rsid w:val="007A526A"/>
    <w:rsid w:val="007A52EE"/>
    <w:rsid w:val="007A5370"/>
    <w:rsid w:val="007A540F"/>
    <w:rsid w:val="007A577A"/>
    <w:rsid w:val="007A5896"/>
    <w:rsid w:val="007A5A74"/>
    <w:rsid w:val="007A5A75"/>
    <w:rsid w:val="007A5ACB"/>
    <w:rsid w:val="007A5B0D"/>
    <w:rsid w:val="007A5B14"/>
    <w:rsid w:val="007A5B56"/>
    <w:rsid w:val="007A5C06"/>
    <w:rsid w:val="007A5C37"/>
    <w:rsid w:val="007A5C4F"/>
    <w:rsid w:val="007A5CB7"/>
    <w:rsid w:val="007A5D10"/>
    <w:rsid w:val="007A5DBF"/>
    <w:rsid w:val="007A5E54"/>
    <w:rsid w:val="007A5E5F"/>
    <w:rsid w:val="007A5E85"/>
    <w:rsid w:val="007A5F65"/>
    <w:rsid w:val="007A5F68"/>
    <w:rsid w:val="007A60FD"/>
    <w:rsid w:val="007A64A7"/>
    <w:rsid w:val="007A656D"/>
    <w:rsid w:val="007A66A0"/>
    <w:rsid w:val="007A66D0"/>
    <w:rsid w:val="007A671B"/>
    <w:rsid w:val="007A6730"/>
    <w:rsid w:val="007A67AD"/>
    <w:rsid w:val="007A690E"/>
    <w:rsid w:val="007A6943"/>
    <w:rsid w:val="007A6A20"/>
    <w:rsid w:val="007A6A66"/>
    <w:rsid w:val="007A6AD9"/>
    <w:rsid w:val="007A6BC2"/>
    <w:rsid w:val="007A6CC6"/>
    <w:rsid w:val="007A6D9B"/>
    <w:rsid w:val="007A6DD3"/>
    <w:rsid w:val="007A6E5C"/>
    <w:rsid w:val="007A6E77"/>
    <w:rsid w:val="007A6EE3"/>
    <w:rsid w:val="007A7020"/>
    <w:rsid w:val="007A70C9"/>
    <w:rsid w:val="007A716B"/>
    <w:rsid w:val="007A718F"/>
    <w:rsid w:val="007A7264"/>
    <w:rsid w:val="007A7364"/>
    <w:rsid w:val="007A73E0"/>
    <w:rsid w:val="007A7469"/>
    <w:rsid w:val="007A74EB"/>
    <w:rsid w:val="007A7764"/>
    <w:rsid w:val="007A77E3"/>
    <w:rsid w:val="007A77F8"/>
    <w:rsid w:val="007A784B"/>
    <w:rsid w:val="007A7880"/>
    <w:rsid w:val="007A7948"/>
    <w:rsid w:val="007A79AF"/>
    <w:rsid w:val="007A79FE"/>
    <w:rsid w:val="007A7AC4"/>
    <w:rsid w:val="007A7B5B"/>
    <w:rsid w:val="007A7C0A"/>
    <w:rsid w:val="007A7CD0"/>
    <w:rsid w:val="007A7DE9"/>
    <w:rsid w:val="007A7E54"/>
    <w:rsid w:val="007A7E77"/>
    <w:rsid w:val="007A7EA1"/>
    <w:rsid w:val="007A7EE6"/>
    <w:rsid w:val="007A7EF6"/>
    <w:rsid w:val="007A7F09"/>
    <w:rsid w:val="007A7F6D"/>
    <w:rsid w:val="007B0022"/>
    <w:rsid w:val="007B0052"/>
    <w:rsid w:val="007B024B"/>
    <w:rsid w:val="007B02D8"/>
    <w:rsid w:val="007B02F7"/>
    <w:rsid w:val="007B03CD"/>
    <w:rsid w:val="007B03DA"/>
    <w:rsid w:val="007B03E3"/>
    <w:rsid w:val="007B0469"/>
    <w:rsid w:val="007B04AA"/>
    <w:rsid w:val="007B04C8"/>
    <w:rsid w:val="007B05ED"/>
    <w:rsid w:val="007B07E7"/>
    <w:rsid w:val="007B0826"/>
    <w:rsid w:val="007B0889"/>
    <w:rsid w:val="007B08F9"/>
    <w:rsid w:val="007B0992"/>
    <w:rsid w:val="007B0A2D"/>
    <w:rsid w:val="007B0AC6"/>
    <w:rsid w:val="007B0DB6"/>
    <w:rsid w:val="007B0DED"/>
    <w:rsid w:val="007B0E40"/>
    <w:rsid w:val="007B0F15"/>
    <w:rsid w:val="007B0F7C"/>
    <w:rsid w:val="007B10F0"/>
    <w:rsid w:val="007B10F8"/>
    <w:rsid w:val="007B11A2"/>
    <w:rsid w:val="007B122A"/>
    <w:rsid w:val="007B1267"/>
    <w:rsid w:val="007B13E3"/>
    <w:rsid w:val="007B146A"/>
    <w:rsid w:val="007B1481"/>
    <w:rsid w:val="007B14E6"/>
    <w:rsid w:val="007B15B5"/>
    <w:rsid w:val="007B162B"/>
    <w:rsid w:val="007B16FA"/>
    <w:rsid w:val="007B1734"/>
    <w:rsid w:val="007B1899"/>
    <w:rsid w:val="007B192E"/>
    <w:rsid w:val="007B1961"/>
    <w:rsid w:val="007B19FF"/>
    <w:rsid w:val="007B1BBD"/>
    <w:rsid w:val="007B1CCB"/>
    <w:rsid w:val="007B1E0E"/>
    <w:rsid w:val="007B1E47"/>
    <w:rsid w:val="007B1EE2"/>
    <w:rsid w:val="007B202B"/>
    <w:rsid w:val="007B20B6"/>
    <w:rsid w:val="007B2157"/>
    <w:rsid w:val="007B2178"/>
    <w:rsid w:val="007B21DF"/>
    <w:rsid w:val="007B2227"/>
    <w:rsid w:val="007B22B3"/>
    <w:rsid w:val="007B22FE"/>
    <w:rsid w:val="007B2399"/>
    <w:rsid w:val="007B2439"/>
    <w:rsid w:val="007B24A2"/>
    <w:rsid w:val="007B251C"/>
    <w:rsid w:val="007B25B2"/>
    <w:rsid w:val="007B2710"/>
    <w:rsid w:val="007B2810"/>
    <w:rsid w:val="007B2883"/>
    <w:rsid w:val="007B2903"/>
    <w:rsid w:val="007B29B4"/>
    <w:rsid w:val="007B29E1"/>
    <w:rsid w:val="007B2A9C"/>
    <w:rsid w:val="007B2B2F"/>
    <w:rsid w:val="007B2B82"/>
    <w:rsid w:val="007B2CBE"/>
    <w:rsid w:val="007B2EFE"/>
    <w:rsid w:val="007B2F95"/>
    <w:rsid w:val="007B3348"/>
    <w:rsid w:val="007B3519"/>
    <w:rsid w:val="007B3553"/>
    <w:rsid w:val="007B362E"/>
    <w:rsid w:val="007B3648"/>
    <w:rsid w:val="007B3666"/>
    <w:rsid w:val="007B3777"/>
    <w:rsid w:val="007B37C6"/>
    <w:rsid w:val="007B37F9"/>
    <w:rsid w:val="007B381D"/>
    <w:rsid w:val="007B38BA"/>
    <w:rsid w:val="007B38D5"/>
    <w:rsid w:val="007B3A33"/>
    <w:rsid w:val="007B3A4C"/>
    <w:rsid w:val="007B3AF4"/>
    <w:rsid w:val="007B3B13"/>
    <w:rsid w:val="007B3D04"/>
    <w:rsid w:val="007B3D0B"/>
    <w:rsid w:val="007B3E7A"/>
    <w:rsid w:val="007B3EA4"/>
    <w:rsid w:val="007B3EFC"/>
    <w:rsid w:val="007B3F5D"/>
    <w:rsid w:val="007B4098"/>
    <w:rsid w:val="007B40D1"/>
    <w:rsid w:val="007B41A0"/>
    <w:rsid w:val="007B421C"/>
    <w:rsid w:val="007B42C5"/>
    <w:rsid w:val="007B4315"/>
    <w:rsid w:val="007B4427"/>
    <w:rsid w:val="007B44E4"/>
    <w:rsid w:val="007B45CA"/>
    <w:rsid w:val="007B466E"/>
    <w:rsid w:val="007B4758"/>
    <w:rsid w:val="007B4987"/>
    <w:rsid w:val="007B49B7"/>
    <w:rsid w:val="007B4C54"/>
    <w:rsid w:val="007B4C71"/>
    <w:rsid w:val="007B4D6E"/>
    <w:rsid w:val="007B4EE6"/>
    <w:rsid w:val="007B4F6D"/>
    <w:rsid w:val="007B4FFB"/>
    <w:rsid w:val="007B513E"/>
    <w:rsid w:val="007B515D"/>
    <w:rsid w:val="007B5180"/>
    <w:rsid w:val="007B51EF"/>
    <w:rsid w:val="007B5214"/>
    <w:rsid w:val="007B52B8"/>
    <w:rsid w:val="007B52DE"/>
    <w:rsid w:val="007B5416"/>
    <w:rsid w:val="007B54A6"/>
    <w:rsid w:val="007B54AB"/>
    <w:rsid w:val="007B54B8"/>
    <w:rsid w:val="007B5508"/>
    <w:rsid w:val="007B553D"/>
    <w:rsid w:val="007B55E7"/>
    <w:rsid w:val="007B56D0"/>
    <w:rsid w:val="007B56FC"/>
    <w:rsid w:val="007B574C"/>
    <w:rsid w:val="007B5800"/>
    <w:rsid w:val="007B594B"/>
    <w:rsid w:val="007B5A14"/>
    <w:rsid w:val="007B5BF8"/>
    <w:rsid w:val="007B5DF5"/>
    <w:rsid w:val="007B5ECC"/>
    <w:rsid w:val="007B5F03"/>
    <w:rsid w:val="007B6306"/>
    <w:rsid w:val="007B63B0"/>
    <w:rsid w:val="007B63E6"/>
    <w:rsid w:val="007B6403"/>
    <w:rsid w:val="007B6407"/>
    <w:rsid w:val="007B6447"/>
    <w:rsid w:val="007B6454"/>
    <w:rsid w:val="007B64AE"/>
    <w:rsid w:val="007B66AF"/>
    <w:rsid w:val="007B68FE"/>
    <w:rsid w:val="007B69C5"/>
    <w:rsid w:val="007B6B82"/>
    <w:rsid w:val="007B6BCD"/>
    <w:rsid w:val="007B6C9E"/>
    <w:rsid w:val="007B6CB5"/>
    <w:rsid w:val="007B6D61"/>
    <w:rsid w:val="007B6E6B"/>
    <w:rsid w:val="007B6F76"/>
    <w:rsid w:val="007B6F84"/>
    <w:rsid w:val="007B6FF3"/>
    <w:rsid w:val="007B7009"/>
    <w:rsid w:val="007B70E3"/>
    <w:rsid w:val="007B7122"/>
    <w:rsid w:val="007B7127"/>
    <w:rsid w:val="007B7165"/>
    <w:rsid w:val="007B72A1"/>
    <w:rsid w:val="007B72C7"/>
    <w:rsid w:val="007B734D"/>
    <w:rsid w:val="007B73CF"/>
    <w:rsid w:val="007B764F"/>
    <w:rsid w:val="007B7656"/>
    <w:rsid w:val="007B786D"/>
    <w:rsid w:val="007B7937"/>
    <w:rsid w:val="007B7973"/>
    <w:rsid w:val="007B7ADC"/>
    <w:rsid w:val="007B7BE3"/>
    <w:rsid w:val="007B7C37"/>
    <w:rsid w:val="007B7C53"/>
    <w:rsid w:val="007B7EAA"/>
    <w:rsid w:val="007B7EDC"/>
    <w:rsid w:val="007BB862"/>
    <w:rsid w:val="007C01BA"/>
    <w:rsid w:val="007C0253"/>
    <w:rsid w:val="007C0258"/>
    <w:rsid w:val="007C0288"/>
    <w:rsid w:val="007C034C"/>
    <w:rsid w:val="007C0373"/>
    <w:rsid w:val="007C03FA"/>
    <w:rsid w:val="007C044A"/>
    <w:rsid w:val="007C053A"/>
    <w:rsid w:val="007C060F"/>
    <w:rsid w:val="007C076C"/>
    <w:rsid w:val="007C0798"/>
    <w:rsid w:val="007C07E1"/>
    <w:rsid w:val="007C082D"/>
    <w:rsid w:val="007C08BD"/>
    <w:rsid w:val="007C0CA5"/>
    <w:rsid w:val="007C0CB8"/>
    <w:rsid w:val="007C0CF0"/>
    <w:rsid w:val="007C0D07"/>
    <w:rsid w:val="007C0D91"/>
    <w:rsid w:val="007C0D95"/>
    <w:rsid w:val="007C0E33"/>
    <w:rsid w:val="007C0E81"/>
    <w:rsid w:val="007C1021"/>
    <w:rsid w:val="007C1060"/>
    <w:rsid w:val="007C10A6"/>
    <w:rsid w:val="007C1162"/>
    <w:rsid w:val="007C11D6"/>
    <w:rsid w:val="007C125A"/>
    <w:rsid w:val="007C15D9"/>
    <w:rsid w:val="007C167D"/>
    <w:rsid w:val="007C170F"/>
    <w:rsid w:val="007C1795"/>
    <w:rsid w:val="007C17BD"/>
    <w:rsid w:val="007C182D"/>
    <w:rsid w:val="007C1940"/>
    <w:rsid w:val="007C1A3B"/>
    <w:rsid w:val="007C1D0F"/>
    <w:rsid w:val="007C1D23"/>
    <w:rsid w:val="007C1DD5"/>
    <w:rsid w:val="007C1ECE"/>
    <w:rsid w:val="007C1F0D"/>
    <w:rsid w:val="007C1FF0"/>
    <w:rsid w:val="007C2281"/>
    <w:rsid w:val="007C2431"/>
    <w:rsid w:val="007C2549"/>
    <w:rsid w:val="007C255F"/>
    <w:rsid w:val="007C26E7"/>
    <w:rsid w:val="007C271C"/>
    <w:rsid w:val="007C27E6"/>
    <w:rsid w:val="007C27EC"/>
    <w:rsid w:val="007C295B"/>
    <w:rsid w:val="007C2C28"/>
    <w:rsid w:val="007C2D34"/>
    <w:rsid w:val="007C2E6B"/>
    <w:rsid w:val="007C2E71"/>
    <w:rsid w:val="007C2EBC"/>
    <w:rsid w:val="007C2EBE"/>
    <w:rsid w:val="007C2F13"/>
    <w:rsid w:val="007C2FA1"/>
    <w:rsid w:val="007C2FFB"/>
    <w:rsid w:val="007C328A"/>
    <w:rsid w:val="007C33BF"/>
    <w:rsid w:val="007C343F"/>
    <w:rsid w:val="007C3527"/>
    <w:rsid w:val="007C358A"/>
    <w:rsid w:val="007C35CF"/>
    <w:rsid w:val="007C361D"/>
    <w:rsid w:val="007C3635"/>
    <w:rsid w:val="007C3757"/>
    <w:rsid w:val="007C3779"/>
    <w:rsid w:val="007C3798"/>
    <w:rsid w:val="007C380C"/>
    <w:rsid w:val="007C384E"/>
    <w:rsid w:val="007C387F"/>
    <w:rsid w:val="007C39C5"/>
    <w:rsid w:val="007C3A19"/>
    <w:rsid w:val="007C3A38"/>
    <w:rsid w:val="007C3D3A"/>
    <w:rsid w:val="007C3DB6"/>
    <w:rsid w:val="007C3E56"/>
    <w:rsid w:val="007C3F5D"/>
    <w:rsid w:val="007C40F8"/>
    <w:rsid w:val="007C4103"/>
    <w:rsid w:val="007C411A"/>
    <w:rsid w:val="007C4196"/>
    <w:rsid w:val="007C4226"/>
    <w:rsid w:val="007C4251"/>
    <w:rsid w:val="007C42CE"/>
    <w:rsid w:val="007C44D1"/>
    <w:rsid w:val="007C4861"/>
    <w:rsid w:val="007C48A0"/>
    <w:rsid w:val="007C4957"/>
    <w:rsid w:val="007C4966"/>
    <w:rsid w:val="007C4977"/>
    <w:rsid w:val="007C49DC"/>
    <w:rsid w:val="007C4A68"/>
    <w:rsid w:val="007C4A8C"/>
    <w:rsid w:val="007C4C6C"/>
    <w:rsid w:val="007C4F58"/>
    <w:rsid w:val="007C4F81"/>
    <w:rsid w:val="007C4FAE"/>
    <w:rsid w:val="007C5084"/>
    <w:rsid w:val="007C50D1"/>
    <w:rsid w:val="007C513A"/>
    <w:rsid w:val="007C53B8"/>
    <w:rsid w:val="007C53CD"/>
    <w:rsid w:val="007C560E"/>
    <w:rsid w:val="007C5718"/>
    <w:rsid w:val="007C5720"/>
    <w:rsid w:val="007C5920"/>
    <w:rsid w:val="007C5968"/>
    <w:rsid w:val="007C59A5"/>
    <w:rsid w:val="007C5A8D"/>
    <w:rsid w:val="007C5C26"/>
    <w:rsid w:val="007C5CC9"/>
    <w:rsid w:val="007C5D27"/>
    <w:rsid w:val="007C5E28"/>
    <w:rsid w:val="007C5E4B"/>
    <w:rsid w:val="007C5E71"/>
    <w:rsid w:val="007C6011"/>
    <w:rsid w:val="007C611B"/>
    <w:rsid w:val="007C6586"/>
    <w:rsid w:val="007C66C5"/>
    <w:rsid w:val="007C6704"/>
    <w:rsid w:val="007C673C"/>
    <w:rsid w:val="007C67B3"/>
    <w:rsid w:val="007C6B33"/>
    <w:rsid w:val="007C6BDB"/>
    <w:rsid w:val="007C6CB9"/>
    <w:rsid w:val="007C6E4E"/>
    <w:rsid w:val="007C6F52"/>
    <w:rsid w:val="007C7038"/>
    <w:rsid w:val="007C7048"/>
    <w:rsid w:val="007C7355"/>
    <w:rsid w:val="007C7491"/>
    <w:rsid w:val="007C76B1"/>
    <w:rsid w:val="007C76FE"/>
    <w:rsid w:val="007C7749"/>
    <w:rsid w:val="007C78E8"/>
    <w:rsid w:val="007C79BF"/>
    <w:rsid w:val="007C7A83"/>
    <w:rsid w:val="007C7AD5"/>
    <w:rsid w:val="007C7BC5"/>
    <w:rsid w:val="007C7FC6"/>
    <w:rsid w:val="007C7FE3"/>
    <w:rsid w:val="007D0044"/>
    <w:rsid w:val="007D0300"/>
    <w:rsid w:val="007D049E"/>
    <w:rsid w:val="007D050E"/>
    <w:rsid w:val="007D0598"/>
    <w:rsid w:val="007D064D"/>
    <w:rsid w:val="007D0853"/>
    <w:rsid w:val="007D0985"/>
    <w:rsid w:val="007D0A95"/>
    <w:rsid w:val="007D0C18"/>
    <w:rsid w:val="007D0CE3"/>
    <w:rsid w:val="007D0EA5"/>
    <w:rsid w:val="007D1016"/>
    <w:rsid w:val="007D111E"/>
    <w:rsid w:val="007D1159"/>
    <w:rsid w:val="007D115C"/>
    <w:rsid w:val="007D121D"/>
    <w:rsid w:val="007D122C"/>
    <w:rsid w:val="007D1236"/>
    <w:rsid w:val="007D123C"/>
    <w:rsid w:val="007D12E2"/>
    <w:rsid w:val="007D1313"/>
    <w:rsid w:val="007D143C"/>
    <w:rsid w:val="007D14E1"/>
    <w:rsid w:val="007D16E4"/>
    <w:rsid w:val="007D186A"/>
    <w:rsid w:val="007D19D1"/>
    <w:rsid w:val="007D1B6B"/>
    <w:rsid w:val="007D1C87"/>
    <w:rsid w:val="007D1C95"/>
    <w:rsid w:val="007D1E7A"/>
    <w:rsid w:val="007D1ECD"/>
    <w:rsid w:val="007D1EE7"/>
    <w:rsid w:val="007D1F14"/>
    <w:rsid w:val="007D1F55"/>
    <w:rsid w:val="007D2101"/>
    <w:rsid w:val="007D21B1"/>
    <w:rsid w:val="007D225F"/>
    <w:rsid w:val="007D2377"/>
    <w:rsid w:val="007D2456"/>
    <w:rsid w:val="007D2494"/>
    <w:rsid w:val="007D26F2"/>
    <w:rsid w:val="007D27D1"/>
    <w:rsid w:val="007D2879"/>
    <w:rsid w:val="007D288E"/>
    <w:rsid w:val="007D2890"/>
    <w:rsid w:val="007D28C5"/>
    <w:rsid w:val="007D28CB"/>
    <w:rsid w:val="007D294B"/>
    <w:rsid w:val="007D2A21"/>
    <w:rsid w:val="007D2A4F"/>
    <w:rsid w:val="007D2AB4"/>
    <w:rsid w:val="007D2AEA"/>
    <w:rsid w:val="007D2B2A"/>
    <w:rsid w:val="007D2B62"/>
    <w:rsid w:val="007D2B63"/>
    <w:rsid w:val="007D2BB6"/>
    <w:rsid w:val="007D2C1D"/>
    <w:rsid w:val="007D2C7A"/>
    <w:rsid w:val="007D2D5C"/>
    <w:rsid w:val="007D2E50"/>
    <w:rsid w:val="007D2EE1"/>
    <w:rsid w:val="007D2EFC"/>
    <w:rsid w:val="007D2F34"/>
    <w:rsid w:val="007D3173"/>
    <w:rsid w:val="007D31F9"/>
    <w:rsid w:val="007D325C"/>
    <w:rsid w:val="007D32B4"/>
    <w:rsid w:val="007D3346"/>
    <w:rsid w:val="007D334E"/>
    <w:rsid w:val="007D3483"/>
    <w:rsid w:val="007D34BB"/>
    <w:rsid w:val="007D35AC"/>
    <w:rsid w:val="007D3625"/>
    <w:rsid w:val="007D3668"/>
    <w:rsid w:val="007D36EB"/>
    <w:rsid w:val="007D3715"/>
    <w:rsid w:val="007D3720"/>
    <w:rsid w:val="007D3754"/>
    <w:rsid w:val="007D3773"/>
    <w:rsid w:val="007D3785"/>
    <w:rsid w:val="007D37A4"/>
    <w:rsid w:val="007D37C0"/>
    <w:rsid w:val="007D37F2"/>
    <w:rsid w:val="007D3814"/>
    <w:rsid w:val="007D3850"/>
    <w:rsid w:val="007D38F2"/>
    <w:rsid w:val="007D39EA"/>
    <w:rsid w:val="007D3AE8"/>
    <w:rsid w:val="007D3B71"/>
    <w:rsid w:val="007D3BA2"/>
    <w:rsid w:val="007D3C74"/>
    <w:rsid w:val="007D3C8E"/>
    <w:rsid w:val="007D3E65"/>
    <w:rsid w:val="007D3F41"/>
    <w:rsid w:val="007D3F6D"/>
    <w:rsid w:val="007D3F80"/>
    <w:rsid w:val="007D3F8C"/>
    <w:rsid w:val="007D408B"/>
    <w:rsid w:val="007D4097"/>
    <w:rsid w:val="007D4167"/>
    <w:rsid w:val="007D421B"/>
    <w:rsid w:val="007D42C2"/>
    <w:rsid w:val="007D42C6"/>
    <w:rsid w:val="007D4466"/>
    <w:rsid w:val="007D4614"/>
    <w:rsid w:val="007D46B0"/>
    <w:rsid w:val="007D46F1"/>
    <w:rsid w:val="007D473D"/>
    <w:rsid w:val="007D4766"/>
    <w:rsid w:val="007D4A2D"/>
    <w:rsid w:val="007D4A94"/>
    <w:rsid w:val="007D4B43"/>
    <w:rsid w:val="007D4CE8"/>
    <w:rsid w:val="007D4E87"/>
    <w:rsid w:val="007D4EBF"/>
    <w:rsid w:val="007D4F03"/>
    <w:rsid w:val="007D4FF5"/>
    <w:rsid w:val="007D5009"/>
    <w:rsid w:val="007D50C9"/>
    <w:rsid w:val="007D5173"/>
    <w:rsid w:val="007D5185"/>
    <w:rsid w:val="007D526A"/>
    <w:rsid w:val="007D52EB"/>
    <w:rsid w:val="007D52F0"/>
    <w:rsid w:val="007D52FE"/>
    <w:rsid w:val="007D541F"/>
    <w:rsid w:val="007D5443"/>
    <w:rsid w:val="007D54CB"/>
    <w:rsid w:val="007D550B"/>
    <w:rsid w:val="007D5512"/>
    <w:rsid w:val="007D57F7"/>
    <w:rsid w:val="007D58CD"/>
    <w:rsid w:val="007D592E"/>
    <w:rsid w:val="007D594F"/>
    <w:rsid w:val="007D5972"/>
    <w:rsid w:val="007D598B"/>
    <w:rsid w:val="007D5B48"/>
    <w:rsid w:val="007D5D28"/>
    <w:rsid w:val="007D5D4C"/>
    <w:rsid w:val="007D5E17"/>
    <w:rsid w:val="007D5E4B"/>
    <w:rsid w:val="007D5E92"/>
    <w:rsid w:val="007D5EA6"/>
    <w:rsid w:val="007D5F9C"/>
    <w:rsid w:val="007D5FD8"/>
    <w:rsid w:val="007D5FF7"/>
    <w:rsid w:val="007D6028"/>
    <w:rsid w:val="007D6125"/>
    <w:rsid w:val="007D620D"/>
    <w:rsid w:val="007D6261"/>
    <w:rsid w:val="007D6334"/>
    <w:rsid w:val="007D63E9"/>
    <w:rsid w:val="007D644B"/>
    <w:rsid w:val="007D652C"/>
    <w:rsid w:val="007D65EC"/>
    <w:rsid w:val="007D664A"/>
    <w:rsid w:val="007D6651"/>
    <w:rsid w:val="007D672D"/>
    <w:rsid w:val="007D67E8"/>
    <w:rsid w:val="007D6A28"/>
    <w:rsid w:val="007D6ADE"/>
    <w:rsid w:val="007D6B92"/>
    <w:rsid w:val="007D6C0C"/>
    <w:rsid w:val="007D6CE5"/>
    <w:rsid w:val="007D6F63"/>
    <w:rsid w:val="007D6FF5"/>
    <w:rsid w:val="007D7100"/>
    <w:rsid w:val="007D71EE"/>
    <w:rsid w:val="007D7261"/>
    <w:rsid w:val="007D7351"/>
    <w:rsid w:val="007D736E"/>
    <w:rsid w:val="007D7451"/>
    <w:rsid w:val="007D755E"/>
    <w:rsid w:val="007D75BF"/>
    <w:rsid w:val="007D76E0"/>
    <w:rsid w:val="007D770B"/>
    <w:rsid w:val="007D770F"/>
    <w:rsid w:val="007D7747"/>
    <w:rsid w:val="007D77AF"/>
    <w:rsid w:val="007D787F"/>
    <w:rsid w:val="007D7961"/>
    <w:rsid w:val="007D7989"/>
    <w:rsid w:val="007D79CF"/>
    <w:rsid w:val="007D7A5C"/>
    <w:rsid w:val="007D7A8D"/>
    <w:rsid w:val="007D7BB4"/>
    <w:rsid w:val="007D7CB1"/>
    <w:rsid w:val="007D7CBB"/>
    <w:rsid w:val="007D7CCD"/>
    <w:rsid w:val="007D7D71"/>
    <w:rsid w:val="007D7DD5"/>
    <w:rsid w:val="007D7E1E"/>
    <w:rsid w:val="007D7E4A"/>
    <w:rsid w:val="007D7F52"/>
    <w:rsid w:val="007E00D1"/>
    <w:rsid w:val="007E00F9"/>
    <w:rsid w:val="007E02A6"/>
    <w:rsid w:val="007E02DE"/>
    <w:rsid w:val="007E0450"/>
    <w:rsid w:val="007E0457"/>
    <w:rsid w:val="007E05AE"/>
    <w:rsid w:val="007E0687"/>
    <w:rsid w:val="007E06A7"/>
    <w:rsid w:val="007E084A"/>
    <w:rsid w:val="007E08EC"/>
    <w:rsid w:val="007E0945"/>
    <w:rsid w:val="007E09EE"/>
    <w:rsid w:val="007E0A0C"/>
    <w:rsid w:val="007E0A41"/>
    <w:rsid w:val="007E0A48"/>
    <w:rsid w:val="007E0BBE"/>
    <w:rsid w:val="007E0BD3"/>
    <w:rsid w:val="007E0BE2"/>
    <w:rsid w:val="007E0C26"/>
    <w:rsid w:val="007E0D7A"/>
    <w:rsid w:val="007E0D8B"/>
    <w:rsid w:val="007E0DA2"/>
    <w:rsid w:val="007E0DF6"/>
    <w:rsid w:val="007E0E86"/>
    <w:rsid w:val="007E0F32"/>
    <w:rsid w:val="007E1007"/>
    <w:rsid w:val="007E1018"/>
    <w:rsid w:val="007E117C"/>
    <w:rsid w:val="007E1239"/>
    <w:rsid w:val="007E127A"/>
    <w:rsid w:val="007E12C6"/>
    <w:rsid w:val="007E131D"/>
    <w:rsid w:val="007E13BF"/>
    <w:rsid w:val="007E1505"/>
    <w:rsid w:val="007E1648"/>
    <w:rsid w:val="007E1653"/>
    <w:rsid w:val="007E165E"/>
    <w:rsid w:val="007E1684"/>
    <w:rsid w:val="007E16A1"/>
    <w:rsid w:val="007E183B"/>
    <w:rsid w:val="007E18B2"/>
    <w:rsid w:val="007E1A6A"/>
    <w:rsid w:val="007E1C13"/>
    <w:rsid w:val="007E1C69"/>
    <w:rsid w:val="007E1D26"/>
    <w:rsid w:val="007E1DCE"/>
    <w:rsid w:val="007E1E26"/>
    <w:rsid w:val="007E1E3E"/>
    <w:rsid w:val="007E1E4D"/>
    <w:rsid w:val="007E1E4F"/>
    <w:rsid w:val="007E1F7E"/>
    <w:rsid w:val="007E1FE4"/>
    <w:rsid w:val="007E216A"/>
    <w:rsid w:val="007E21CC"/>
    <w:rsid w:val="007E237D"/>
    <w:rsid w:val="007E23B5"/>
    <w:rsid w:val="007E242D"/>
    <w:rsid w:val="007E2497"/>
    <w:rsid w:val="007E24A6"/>
    <w:rsid w:val="007E24ED"/>
    <w:rsid w:val="007E2523"/>
    <w:rsid w:val="007E25F1"/>
    <w:rsid w:val="007E262A"/>
    <w:rsid w:val="007E2654"/>
    <w:rsid w:val="007E26A3"/>
    <w:rsid w:val="007E26F0"/>
    <w:rsid w:val="007E27A8"/>
    <w:rsid w:val="007E2BB1"/>
    <w:rsid w:val="007E2BD8"/>
    <w:rsid w:val="007E2C19"/>
    <w:rsid w:val="007E2C45"/>
    <w:rsid w:val="007E2D20"/>
    <w:rsid w:val="007E2DB1"/>
    <w:rsid w:val="007E2E4D"/>
    <w:rsid w:val="007E2EE8"/>
    <w:rsid w:val="007E306D"/>
    <w:rsid w:val="007E30A0"/>
    <w:rsid w:val="007E30AF"/>
    <w:rsid w:val="007E3141"/>
    <w:rsid w:val="007E33F4"/>
    <w:rsid w:val="007E343F"/>
    <w:rsid w:val="007E346A"/>
    <w:rsid w:val="007E34AB"/>
    <w:rsid w:val="007E3505"/>
    <w:rsid w:val="007E355D"/>
    <w:rsid w:val="007E3579"/>
    <w:rsid w:val="007E36C0"/>
    <w:rsid w:val="007E381C"/>
    <w:rsid w:val="007E38E3"/>
    <w:rsid w:val="007E38FE"/>
    <w:rsid w:val="007E3953"/>
    <w:rsid w:val="007E3A84"/>
    <w:rsid w:val="007E3A9E"/>
    <w:rsid w:val="007E3AE9"/>
    <w:rsid w:val="007E3AF2"/>
    <w:rsid w:val="007E3AF8"/>
    <w:rsid w:val="007E3B61"/>
    <w:rsid w:val="007E3C71"/>
    <w:rsid w:val="007E4048"/>
    <w:rsid w:val="007E4112"/>
    <w:rsid w:val="007E4153"/>
    <w:rsid w:val="007E4177"/>
    <w:rsid w:val="007E419D"/>
    <w:rsid w:val="007E41E2"/>
    <w:rsid w:val="007E4255"/>
    <w:rsid w:val="007E4325"/>
    <w:rsid w:val="007E43B2"/>
    <w:rsid w:val="007E4496"/>
    <w:rsid w:val="007E45D4"/>
    <w:rsid w:val="007E4611"/>
    <w:rsid w:val="007E4699"/>
    <w:rsid w:val="007E46D1"/>
    <w:rsid w:val="007E4734"/>
    <w:rsid w:val="007E47F4"/>
    <w:rsid w:val="007E4864"/>
    <w:rsid w:val="007E48B0"/>
    <w:rsid w:val="007E48DD"/>
    <w:rsid w:val="007E4A24"/>
    <w:rsid w:val="007E4A9F"/>
    <w:rsid w:val="007E4C09"/>
    <w:rsid w:val="007E4C2F"/>
    <w:rsid w:val="007E4D89"/>
    <w:rsid w:val="007E4DB7"/>
    <w:rsid w:val="007E4E09"/>
    <w:rsid w:val="007E4E94"/>
    <w:rsid w:val="007E4F55"/>
    <w:rsid w:val="007E4FEC"/>
    <w:rsid w:val="007E5026"/>
    <w:rsid w:val="007E50A4"/>
    <w:rsid w:val="007E511F"/>
    <w:rsid w:val="007E5139"/>
    <w:rsid w:val="007E5147"/>
    <w:rsid w:val="007E5242"/>
    <w:rsid w:val="007E53EE"/>
    <w:rsid w:val="007E5401"/>
    <w:rsid w:val="007E5427"/>
    <w:rsid w:val="007E545E"/>
    <w:rsid w:val="007E55A5"/>
    <w:rsid w:val="007E55C4"/>
    <w:rsid w:val="007E55CB"/>
    <w:rsid w:val="007E5609"/>
    <w:rsid w:val="007E560A"/>
    <w:rsid w:val="007E565B"/>
    <w:rsid w:val="007E5737"/>
    <w:rsid w:val="007E5797"/>
    <w:rsid w:val="007E57A0"/>
    <w:rsid w:val="007E58F4"/>
    <w:rsid w:val="007E5B6F"/>
    <w:rsid w:val="007E5C00"/>
    <w:rsid w:val="007E5C4E"/>
    <w:rsid w:val="007E5C88"/>
    <w:rsid w:val="007E5D97"/>
    <w:rsid w:val="007E5E16"/>
    <w:rsid w:val="007E5E99"/>
    <w:rsid w:val="007E5EAD"/>
    <w:rsid w:val="007E5FB3"/>
    <w:rsid w:val="007E608A"/>
    <w:rsid w:val="007E6299"/>
    <w:rsid w:val="007E637C"/>
    <w:rsid w:val="007E6533"/>
    <w:rsid w:val="007E68A3"/>
    <w:rsid w:val="007E697E"/>
    <w:rsid w:val="007E6CF6"/>
    <w:rsid w:val="007E6D60"/>
    <w:rsid w:val="007E6EB2"/>
    <w:rsid w:val="007E7032"/>
    <w:rsid w:val="007E709D"/>
    <w:rsid w:val="007E70A8"/>
    <w:rsid w:val="007E70B1"/>
    <w:rsid w:val="007E71C3"/>
    <w:rsid w:val="007E72CA"/>
    <w:rsid w:val="007E734B"/>
    <w:rsid w:val="007E74D0"/>
    <w:rsid w:val="007E7627"/>
    <w:rsid w:val="007E771F"/>
    <w:rsid w:val="007E7782"/>
    <w:rsid w:val="007E7888"/>
    <w:rsid w:val="007E7A99"/>
    <w:rsid w:val="007E7BB3"/>
    <w:rsid w:val="007E7BFC"/>
    <w:rsid w:val="007E7C3E"/>
    <w:rsid w:val="007E7C42"/>
    <w:rsid w:val="007E7C8C"/>
    <w:rsid w:val="007E7CBC"/>
    <w:rsid w:val="007E7D48"/>
    <w:rsid w:val="007E7D5B"/>
    <w:rsid w:val="007E7DC9"/>
    <w:rsid w:val="007E7E2C"/>
    <w:rsid w:val="007E7EEC"/>
    <w:rsid w:val="007F0011"/>
    <w:rsid w:val="007F00F6"/>
    <w:rsid w:val="007F014C"/>
    <w:rsid w:val="007F01AB"/>
    <w:rsid w:val="007F01AC"/>
    <w:rsid w:val="007F01E5"/>
    <w:rsid w:val="007F032F"/>
    <w:rsid w:val="007F040A"/>
    <w:rsid w:val="007F05DA"/>
    <w:rsid w:val="007F07BF"/>
    <w:rsid w:val="007F083D"/>
    <w:rsid w:val="007F0894"/>
    <w:rsid w:val="007F08FF"/>
    <w:rsid w:val="007F091C"/>
    <w:rsid w:val="007F0A18"/>
    <w:rsid w:val="007F0B82"/>
    <w:rsid w:val="007F0CDC"/>
    <w:rsid w:val="007F0D4A"/>
    <w:rsid w:val="007F0D8B"/>
    <w:rsid w:val="007F0DFD"/>
    <w:rsid w:val="007F0F26"/>
    <w:rsid w:val="007F0F3C"/>
    <w:rsid w:val="007F0F5F"/>
    <w:rsid w:val="007F0F7B"/>
    <w:rsid w:val="007F0F89"/>
    <w:rsid w:val="007F0F9F"/>
    <w:rsid w:val="007F0FD0"/>
    <w:rsid w:val="007F1040"/>
    <w:rsid w:val="007F106C"/>
    <w:rsid w:val="007F119A"/>
    <w:rsid w:val="007F120D"/>
    <w:rsid w:val="007F127B"/>
    <w:rsid w:val="007F134B"/>
    <w:rsid w:val="007F145B"/>
    <w:rsid w:val="007F14B8"/>
    <w:rsid w:val="007F15F6"/>
    <w:rsid w:val="007F1671"/>
    <w:rsid w:val="007F16F0"/>
    <w:rsid w:val="007F1759"/>
    <w:rsid w:val="007F185F"/>
    <w:rsid w:val="007F18EF"/>
    <w:rsid w:val="007F1988"/>
    <w:rsid w:val="007F1D41"/>
    <w:rsid w:val="007F1E57"/>
    <w:rsid w:val="007F1E60"/>
    <w:rsid w:val="007F1FED"/>
    <w:rsid w:val="007F1FFF"/>
    <w:rsid w:val="007F208B"/>
    <w:rsid w:val="007F210F"/>
    <w:rsid w:val="007F2144"/>
    <w:rsid w:val="007F22E2"/>
    <w:rsid w:val="007F23E7"/>
    <w:rsid w:val="007F241C"/>
    <w:rsid w:val="007F2476"/>
    <w:rsid w:val="007F2495"/>
    <w:rsid w:val="007F2617"/>
    <w:rsid w:val="007F2711"/>
    <w:rsid w:val="007F27E0"/>
    <w:rsid w:val="007F2827"/>
    <w:rsid w:val="007F288D"/>
    <w:rsid w:val="007F299A"/>
    <w:rsid w:val="007F29AE"/>
    <w:rsid w:val="007F2AA4"/>
    <w:rsid w:val="007F2B86"/>
    <w:rsid w:val="007F2CEC"/>
    <w:rsid w:val="007F2EAD"/>
    <w:rsid w:val="007F2F54"/>
    <w:rsid w:val="007F2FEF"/>
    <w:rsid w:val="007F30C1"/>
    <w:rsid w:val="007F3193"/>
    <w:rsid w:val="007F31AD"/>
    <w:rsid w:val="007F31F3"/>
    <w:rsid w:val="007F32FB"/>
    <w:rsid w:val="007F3300"/>
    <w:rsid w:val="007F3308"/>
    <w:rsid w:val="007F33F6"/>
    <w:rsid w:val="007F33FA"/>
    <w:rsid w:val="007F3429"/>
    <w:rsid w:val="007F3467"/>
    <w:rsid w:val="007F3491"/>
    <w:rsid w:val="007F3595"/>
    <w:rsid w:val="007F3A2B"/>
    <w:rsid w:val="007F3A6B"/>
    <w:rsid w:val="007F3B10"/>
    <w:rsid w:val="007F3BA9"/>
    <w:rsid w:val="007F3C3D"/>
    <w:rsid w:val="007F3CEC"/>
    <w:rsid w:val="007F3D7E"/>
    <w:rsid w:val="007F3F70"/>
    <w:rsid w:val="007F4077"/>
    <w:rsid w:val="007F4172"/>
    <w:rsid w:val="007F41A6"/>
    <w:rsid w:val="007F424A"/>
    <w:rsid w:val="007F42A9"/>
    <w:rsid w:val="007F43EE"/>
    <w:rsid w:val="007F4425"/>
    <w:rsid w:val="007F4528"/>
    <w:rsid w:val="007F4649"/>
    <w:rsid w:val="007F47D1"/>
    <w:rsid w:val="007F494D"/>
    <w:rsid w:val="007F49D5"/>
    <w:rsid w:val="007F4A50"/>
    <w:rsid w:val="007F4B30"/>
    <w:rsid w:val="007F4B38"/>
    <w:rsid w:val="007F4B43"/>
    <w:rsid w:val="007F4C12"/>
    <w:rsid w:val="007F4CFB"/>
    <w:rsid w:val="007F4D56"/>
    <w:rsid w:val="007F4DC6"/>
    <w:rsid w:val="007F4DCB"/>
    <w:rsid w:val="007F4E55"/>
    <w:rsid w:val="007F4ECB"/>
    <w:rsid w:val="007F50A0"/>
    <w:rsid w:val="007F51B6"/>
    <w:rsid w:val="007F524E"/>
    <w:rsid w:val="007F52C4"/>
    <w:rsid w:val="007F545B"/>
    <w:rsid w:val="007F557D"/>
    <w:rsid w:val="007F5A6F"/>
    <w:rsid w:val="007F5B96"/>
    <w:rsid w:val="007F5C63"/>
    <w:rsid w:val="007F5C82"/>
    <w:rsid w:val="007F5C92"/>
    <w:rsid w:val="007F5CAD"/>
    <w:rsid w:val="007F5DFE"/>
    <w:rsid w:val="007F5EBE"/>
    <w:rsid w:val="007F5EDE"/>
    <w:rsid w:val="007F5EDF"/>
    <w:rsid w:val="007F5F18"/>
    <w:rsid w:val="007F5F85"/>
    <w:rsid w:val="007F5FEB"/>
    <w:rsid w:val="007F6089"/>
    <w:rsid w:val="007F60F1"/>
    <w:rsid w:val="007F60F9"/>
    <w:rsid w:val="007F6268"/>
    <w:rsid w:val="007F6319"/>
    <w:rsid w:val="007F642E"/>
    <w:rsid w:val="007F6443"/>
    <w:rsid w:val="007F64A3"/>
    <w:rsid w:val="007F64AB"/>
    <w:rsid w:val="007F6588"/>
    <w:rsid w:val="007F65AD"/>
    <w:rsid w:val="007F6727"/>
    <w:rsid w:val="007F676B"/>
    <w:rsid w:val="007F67B1"/>
    <w:rsid w:val="007F691E"/>
    <w:rsid w:val="007F692D"/>
    <w:rsid w:val="007F6985"/>
    <w:rsid w:val="007F69D7"/>
    <w:rsid w:val="007F69EC"/>
    <w:rsid w:val="007F6B7C"/>
    <w:rsid w:val="007F6C1D"/>
    <w:rsid w:val="007F6D09"/>
    <w:rsid w:val="007F6E8E"/>
    <w:rsid w:val="007F6F56"/>
    <w:rsid w:val="007F704D"/>
    <w:rsid w:val="007F7252"/>
    <w:rsid w:val="007F741E"/>
    <w:rsid w:val="007F74C1"/>
    <w:rsid w:val="007F75E3"/>
    <w:rsid w:val="007F76A3"/>
    <w:rsid w:val="007F7721"/>
    <w:rsid w:val="007F7727"/>
    <w:rsid w:val="007F7749"/>
    <w:rsid w:val="007F77E6"/>
    <w:rsid w:val="007F7855"/>
    <w:rsid w:val="007F7912"/>
    <w:rsid w:val="007F7919"/>
    <w:rsid w:val="007F79FC"/>
    <w:rsid w:val="007F7B79"/>
    <w:rsid w:val="007F7BAB"/>
    <w:rsid w:val="007F7BEA"/>
    <w:rsid w:val="007F7C02"/>
    <w:rsid w:val="007F7CFE"/>
    <w:rsid w:val="007F7F4B"/>
    <w:rsid w:val="007F7F92"/>
    <w:rsid w:val="0080020C"/>
    <w:rsid w:val="00800222"/>
    <w:rsid w:val="0080032D"/>
    <w:rsid w:val="0080039F"/>
    <w:rsid w:val="0080060C"/>
    <w:rsid w:val="00800849"/>
    <w:rsid w:val="0080090D"/>
    <w:rsid w:val="00800C1B"/>
    <w:rsid w:val="00800CCC"/>
    <w:rsid w:val="00800D0B"/>
    <w:rsid w:val="00800D15"/>
    <w:rsid w:val="00800E74"/>
    <w:rsid w:val="00800E90"/>
    <w:rsid w:val="00800E9B"/>
    <w:rsid w:val="00800F7D"/>
    <w:rsid w:val="00800FBA"/>
    <w:rsid w:val="0080109C"/>
    <w:rsid w:val="008010CA"/>
    <w:rsid w:val="008010DF"/>
    <w:rsid w:val="00801106"/>
    <w:rsid w:val="0080113A"/>
    <w:rsid w:val="008011A3"/>
    <w:rsid w:val="008012DB"/>
    <w:rsid w:val="00801357"/>
    <w:rsid w:val="00801396"/>
    <w:rsid w:val="008013F4"/>
    <w:rsid w:val="0080155A"/>
    <w:rsid w:val="0080156B"/>
    <w:rsid w:val="00801617"/>
    <w:rsid w:val="0080182F"/>
    <w:rsid w:val="008018B8"/>
    <w:rsid w:val="0080198D"/>
    <w:rsid w:val="00801A0B"/>
    <w:rsid w:val="00801A4D"/>
    <w:rsid w:val="00801B53"/>
    <w:rsid w:val="00801DAD"/>
    <w:rsid w:val="00801DC1"/>
    <w:rsid w:val="00801DF5"/>
    <w:rsid w:val="00801EBC"/>
    <w:rsid w:val="00801EC2"/>
    <w:rsid w:val="00801F46"/>
    <w:rsid w:val="00801FE4"/>
    <w:rsid w:val="00801FEF"/>
    <w:rsid w:val="00802030"/>
    <w:rsid w:val="008021D0"/>
    <w:rsid w:val="008021F6"/>
    <w:rsid w:val="0080233D"/>
    <w:rsid w:val="0080238D"/>
    <w:rsid w:val="008023FF"/>
    <w:rsid w:val="00802430"/>
    <w:rsid w:val="0080245D"/>
    <w:rsid w:val="008025AE"/>
    <w:rsid w:val="008026B4"/>
    <w:rsid w:val="008026DF"/>
    <w:rsid w:val="00802709"/>
    <w:rsid w:val="00802750"/>
    <w:rsid w:val="00802751"/>
    <w:rsid w:val="0080283A"/>
    <w:rsid w:val="00802947"/>
    <w:rsid w:val="00802972"/>
    <w:rsid w:val="00802B30"/>
    <w:rsid w:val="00802B68"/>
    <w:rsid w:val="00802B6D"/>
    <w:rsid w:val="00802C04"/>
    <w:rsid w:val="00802C6E"/>
    <w:rsid w:val="00802D80"/>
    <w:rsid w:val="00802EF8"/>
    <w:rsid w:val="00802FCB"/>
    <w:rsid w:val="0080304E"/>
    <w:rsid w:val="00803078"/>
    <w:rsid w:val="008030DF"/>
    <w:rsid w:val="0080317F"/>
    <w:rsid w:val="0080320B"/>
    <w:rsid w:val="00803267"/>
    <w:rsid w:val="008032E5"/>
    <w:rsid w:val="0080334B"/>
    <w:rsid w:val="008033C8"/>
    <w:rsid w:val="0080344E"/>
    <w:rsid w:val="00803510"/>
    <w:rsid w:val="0080352E"/>
    <w:rsid w:val="00803566"/>
    <w:rsid w:val="008035B1"/>
    <w:rsid w:val="0080363A"/>
    <w:rsid w:val="0080364F"/>
    <w:rsid w:val="0080367B"/>
    <w:rsid w:val="008036ED"/>
    <w:rsid w:val="00803861"/>
    <w:rsid w:val="00803979"/>
    <w:rsid w:val="008039DF"/>
    <w:rsid w:val="008039E3"/>
    <w:rsid w:val="00803A24"/>
    <w:rsid w:val="00803B57"/>
    <w:rsid w:val="00803B5B"/>
    <w:rsid w:val="00803CC2"/>
    <w:rsid w:val="00803D18"/>
    <w:rsid w:val="00803E56"/>
    <w:rsid w:val="00803E94"/>
    <w:rsid w:val="0080401F"/>
    <w:rsid w:val="0080402C"/>
    <w:rsid w:val="00804071"/>
    <w:rsid w:val="008040A3"/>
    <w:rsid w:val="008041FA"/>
    <w:rsid w:val="00804293"/>
    <w:rsid w:val="00804321"/>
    <w:rsid w:val="0080434B"/>
    <w:rsid w:val="008043BE"/>
    <w:rsid w:val="008043F5"/>
    <w:rsid w:val="00804554"/>
    <w:rsid w:val="00804576"/>
    <w:rsid w:val="0080462A"/>
    <w:rsid w:val="00804735"/>
    <w:rsid w:val="00804877"/>
    <w:rsid w:val="0080487C"/>
    <w:rsid w:val="00804881"/>
    <w:rsid w:val="0080489E"/>
    <w:rsid w:val="00804A33"/>
    <w:rsid w:val="00804AA2"/>
    <w:rsid w:val="00804B25"/>
    <w:rsid w:val="00804B76"/>
    <w:rsid w:val="00804B95"/>
    <w:rsid w:val="00804C7A"/>
    <w:rsid w:val="00804CCC"/>
    <w:rsid w:val="00804D25"/>
    <w:rsid w:val="00804D41"/>
    <w:rsid w:val="00804EC8"/>
    <w:rsid w:val="00804EE4"/>
    <w:rsid w:val="00804F77"/>
    <w:rsid w:val="00804FA2"/>
    <w:rsid w:val="00805020"/>
    <w:rsid w:val="00805151"/>
    <w:rsid w:val="00805293"/>
    <w:rsid w:val="00805397"/>
    <w:rsid w:val="0080546C"/>
    <w:rsid w:val="008055EA"/>
    <w:rsid w:val="00805687"/>
    <w:rsid w:val="00805771"/>
    <w:rsid w:val="008057DE"/>
    <w:rsid w:val="0080589B"/>
    <w:rsid w:val="00805968"/>
    <w:rsid w:val="0080599C"/>
    <w:rsid w:val="008059A2"/>
    <w:rsid w:val="00805A6B"/>
    <w:rsid w:val="00805A6C"/>
    <w:rsid w:val="00805B37"/>
    <w:rsid w:val="00805B72"/>
    <w:rsid w:val="00805BA3"/>
    <w:rsid w:val="00805C31"/>
    <w:rsid w:val="00805D33"/>
    <w:rsid w:val="00805DB7"/>
    <w:rsid w:val="00805E74"/>
    <w:rsid w:val="00805EA1"/>
    <w:rsid w:val="00805ED4"/>
    <w:rsid w:val="00805F5C"/>
    <w:rsid w:val="0080601A"/>
    <w:rsid w:val="00806057"/>
    <w:rsid w:val="00806076"/>
    <w:rsid w:val="008061B5"/>
    <w:rsid w:val="008061FB"/>
    <w:rsid w:val="008062A4"/>
    <w:rsid w:val="00806313"/>
    <w:rsid w:val="00806365"/>
    <w:rsid w:val="008063F3"/>
    <w:rsid w:val="008064FF"/>
    <w:rsid w:val="00806540"/>
    <w:rsid w:val="008065A7"/>
    <w:rsid w:val="008065E7"/>
    <w:rsid w:val="00806636"/>
    <w:rsid w:val="008066D0"/>
    <w:rsid w:val="008067C9"/>
    <w:rsid w:val="008067FF"/>
    <w:rsid w:val="00806889"/>
    <w:rsid w:val="008069BA"/>
    <w:rsid w:val="008069BB"/>
    <w:rsid w:val="008069E0"/>
    <w:rsid w:val="00806A19"/>
    <w:rsid w:val="00806AC2"/>
    <w:rsid w:val="00806AFD"/>
    <w:rsid w:val="00806BC2"/>
    <w:rsid w:val="00806BC7"/>
    <w:rsid w:val="00806C65"/>
    <w:rsid w:val="00806C6C"/>
    <w:rsid w:val="00806C8F"/>
    <w:rsid w:val="00806CA1"/>
    <w:rsid w:val="00806CE8"/>
    <w:rsid w:val="00806D38"/>
    <w:rsid w:val="00806DA2"/>
    <w:rsid w:val="00806DB5"/>
    <w:rsid w:val="00806E01"/>
    <w:rsid w:val="00806E22"/>
    <w:rsid w:val="00806E37"/>
    <w:rsid w:val="00806E6C"/>
    <w:rsid w:val="00806E9E"/>
    <w:rsid w:val="00806F03"/>
    <w:rsid w:val="00806F0F"/>
    <w:rsid w:val="00806FBF"/>
    <w:rsid w:val="00807148"/>
    <w:rsid w:val="00807240"/>
    <w:rsid w:val="00807309"/>
    <w:rsid w:val="00807484"/>
    <w:rsid w:val="008074B6"/>
    <w:rsid w:val="008075AD"/>
    <w:rsid w:val="008075E1"/>
    <w:rsid w:val="00807647"/>
    <w:rsid w:val="00807780"/>
    <w:rsid w:val="008077A3"/>
    <w:rsid w:val="008077B0"/>
    <w:rsid w:val="008077CF"/>
    <w:rsid w:val="0080781E"/>
    <w:rsid w:val="00807823"/>
    <w:rsid w:val="00807842"/>
    <w:rsid w:val="008078F6"/>
    <w:rsid w:val="00807A57"/>
    <w:rsid w:val="00807AAC"/>
    <w:rsid w:val="00807AFE"/>
    <w:rsid w:val="00807B91"/>
    <w:rsid w:val="00807D0B"/>
    <w:rsid w:val="00807D7C"/>
    <w:rsid w:val="00807D8F"/>
    <w:rsid w:val="00807F13"/>
    <w:rsid w:val="008101A3"/>
    <w:rsid w:val="008101CE"/>
    <w:rsid w:val="008101E2"/>
    <w:rsid w:val="008101F2"/>
    <w:rsid w:val="00810221"/>
    <w:rsid w:val="008102E5"/>
    <w:rsid w:val="00810336"/>
    <w:rsid w:val="00810390"/>
    <w:rsid w:val="008103B1"/>
    <w:rsid w:val="008104FA"/>
    <w:rsid w:val="0081057E"/>
    <w:rsid w:val="008105AC"/>
    <w:rsid w:val="00810890"/>
    <w:rsid w:val="008109EE"/>
    <w:rsid w:val="00810A61"/>
    <w:rsid w:val="00810AF8"/>
    <w:rsid w:val="00810BD5"/>
    <w:rsid w:val="00810DDE"/>
    <w:rsid w:val="00810DEF"/>
    <w:rsid w:val="00810E88"/>
    <w:rsid w:val="0081102F"/>
    <w:rsid w:val="008110A0"/>
    <w:rsid w:val="008110A6"/>
    <w:rsid w:val="0081112F"/>
    <w:rsid w:val="00811160"/>
    <w:rsid w:val="008111A3"/>
    <w:rsid w:val="008111B0"/>
    <w:rsid w:val="00811204"/>
    <w:rsid w:val="00811216"/>
    <w:rsid w:val="00811387"/>
    <w:rsid w:val="00811486"/>
    <w:rsid w:val="00811642"/>
    <w:rsid w:val="00811650"/>
    <w:rsid w:val="0081178B"/>
    <w:rsid w:val="008117C4"/>
    <w:rsid w:val="008118ED"/>
    <w:rsid w:val="00811954"/>
    <w:rsid w:val="008119D1"/>
    <w:rsid w:val="00811B00"/>
    <w:rsid w:val="00811C08"/>
    <w:rsid w:val="00811C44"/>
    <w:rsid w:val="00811DBB"/>
    <w:rsid w:val="00811E3C"/>
    <w:rsid w:val="008121CF"/>
    <w:rsid w:val="008122F1"/>
    <w:rsid w:val="00812365"/>
    <w:rsid w:val="00812395"/>
    <w:rsid w:val="008123CB"/>
    <w:rsid w:val="00812405"/>
    <w:rsid w:val="008125CD"/>
    <w:rsid w:val="00812655"/>
    <w:rsid w:val="008126CF"/>
    <w:rsid w:val="00812827"/>
    <w:rsid w:val="0081284E"/>
    <w:rsid w:val="00812923"/>
    <w:rsid w:val="00812984"/>
    <w:rsid w:val="00812AD4"/>
    <w:rsid w:val="00812B5A"/>
    <w:rsid w:val="00812BF0"/>
    <w:rsid w:val="00812C53"/>
    <w:rsid w:val="00812C91"/>
    <w:rsid w:val="00812D1E"/>
    <w:rsid w:val="00812D64"/>
    <w:rsid w:val="00812DE7"/>
    <w:rsid w:val="00812E99"/>
    <w:rsid w:val="0081305D"/>
    <w:rsid w:val="00813113"/>
    <w:rsid w:val="008131BC"/>
    <w:rsid w:val="00813462"/>
    <w:rsid w:val="0081348F"/>
    <w:rsid w:val="008134DD"/>
    <w:rsid w:val="00813701"/>
    <w:rsid w:val="00813732"/>
    <w:rsid w:val="008138AD"/>
    <w:rsid w:val="008139A7"/>
    <w:rsid w:val="00813A4B"/>
    <w:rsid w:val="00813B14"/>
    <w:rsid w:val="00813B46"/>
    <w:rsid w:val="00813C0F"/>
    <w:rsid w:val="00813CE7"/>
    <w:rsid w:val="00813D7A"/>
    <w:rsid w:val="00813F6E"/>
    <w:rsid w:val="00813FEC"/>
    <w:rsid w:val="00813FFA"/>
    <w:rsid w:val="00813FFD"/>
    <w:rsid w:val="0081407F"/>
    <w:rsid w:val="0081415A"/>
    <w:rsid w:val="00814175"/>
    <w:rsid w:val="008141A2"/>
    <w:rsid w:val="008141E3"/>
    <w:rsid w:val="0081435D"/>
    <w:rsid w:val="008144D9"/>
    <w:rsid w:val="0081450E"/>
    <w:rsid w:val="00814584"/>
    <w:rsid w:val="008145E1"/>
    <w:rsid w:val="008146A3"/>
    <w:rsid w:val="00814733"/>
    <w:rsid w:val="008148A9"/>
    <w:rsid w:val="00814B4F"/>
    <w:rsid w:val="00814C2C"/>
    <w:rsid w:val="00814C45"/>
    <w:rsid w:val="00814DC9"/>
    <w:rsid w:val="00814EE7"/>
    <w:rsid w:val="00814FB2"/>
    <w:rsid w:val="00814FF2"/>
    <w:rsid w:val="00815056"/>
    <w:rsid w:val="00815180"/>
    <w:rsid w:val="00815244"/>
    <w:rsid w:val="00815363"/>
    <w:rsid w:val="0081538C"/>
    <w:rsid w:val="008153D3"/>
    <w:rsid w:val="008154EC"/>
    <w:rsid w:val="008154FA"/>
    <w:rsid w:val="008155C9"/>
    <w:rsid w:val="0081560C"/>
    <w:rsid w:val="0081561F"/>
    <w:rsid w:val="00815896"/>
    <w:rsid w:val="008158E6"/>
    <w:rsid w:val="008159BD"/>
    <w:rsid w:val="00815ADF"/>
    <w:rsid w:val="00815AE5"/>
    <w:rsid w:val="00815AF2"/>
    <w:rsid w:val="00815C89"/>
    <w:rsid w:val="00815D92"/>
    <w:rsid w:val="00815E42"/>
    <w:rsid w:val="00815F2B"/>
    <w:rsid w:val="00815F83"/>
    <w:rsid w:val="0081600C"/>
    <w:rsid w:val="0081603C"/>
    <w:rsid w:val="0081607F"/>
    <w:rsid w:val="00816262"/>
    <w:rsid w:val="00816298"/>
    <w:rsid w:val="008164E1"/>
    <w:rsid w:val="008165B3"/>
    <w:rsid w:val="0081662C"/>
    <w:rsid w:val="008166C7"/>
    <w:rsid w:val="008167C6"/>
    <w:rsid w:val="008168F1"/>
    <w:rsid w:val="00816A58"/>
    <w:rsid w:val="00816AAB"/>
    <w:rsid w:val="00816B14"/>
    <w:rsid w:val="00816F0B"/>
    <w:rsid w:val="00816F65"/>
    <w:rsid w:val="00816F7F"/>
    <w:rsid w:val="00816FE2"/>
    <w:rsid w:val="008170B0"/>
    <w:rsid w:val="008170FD"/>
    <w:rsid w:val="0081712D"/>
    <w:rsid w:val="0081717C"/>
    <w:rsid w:val="008171E4"/>
    <w:rsid w:val="008171FC"/>
    <w:rsid w:val="00817359"/>
    <w:rsid w:val="008173DD"/>
    <w:rsid w:val="0081744C"/>
    <w:rsid w:val="0081745B"/>
    <w:rsid w:val="00817486"/>
    <w:rsid w:val="00817599"/>
    <w:rsid w:val="00817641"/>
    <w:rsid w:val="008177F6"/>
    <w:rsid w:val="00817843"/>
    <w:rsid w:val="008179F8"/>
    <w:rsid w:val="00817AF2"/>
    <w:rsid w:val="00817B97"/>
    <w:rsid w:val="00817C92"/>
    <w:rsid w:val="00817CC3"/>
    <w:rsid w:val="00817D33"/>
    <w:rsid w:val="00817D7A"/>
    <w:rsid w:val="00817D7C"/>
    <w:rsid w:val="00817F5F"/>
    <w:rsid w:val="00817FC9"/>
    <w:rsid w:val="0082022D"/>
    <w:rsid w:val="00820287"/>
    <w:rsid w:val="008202E2"/>
    <w:rsid w:val="00820381"/>
    <w:rsid w:val="008204DB"/>
    <w:rsid w:val="008204EE"/>
    <w:rsid w:val="008205D9"/>
    <w:rsid w:val="00820666"/>
    <w:rsid w:val="0082071D"/>
    <w:rsid w:val="0082072E"/>
    <w:rsid w:val="008207CA"/>
    <w:rsid w:val="00820AEB"/>
    <w:rsid w:val="00820B1F"/>
    <w:rsid w:val="00820B2A"/>
    <w:rsid w:val="00820B7E"/>
    <w:rsid w:val="00820C39"/>
    <w:rsid w:val="00820CC8"/>
    <w:rsid w:val="00820CCD"/>
    <w:rsid w:val="00820D07"/>
    <w:rsid w:val="00820E8E"/>
    <w:rsid w:val="00820F04"/>
    <w:rsid w:val="00821039"/>
    <w:rsid w:val="0082108B"/>
    <w:rsid w:val="00821218"/>
    <w:rsid w:val="00821415"/>
    <w:rsid w:val="0082160A"/>
    <w:rsid w:val="00821729"/>
    <w:rsid w:val="0082173B"/>
    <w:rsid w:val="008217CC"/>
    <w:rsid w:val="0082182A"/>
    <w:rsid w:val="00821947"/>
    <w:rsid w:val="008219BB"/>
    <w:rsid w:val="00821A17"/>
    <w:rsid w:val="00821CB4"/>
    <w:rsid w:val="00821CFB"/>
    <w:rsid w:val="00821D71"/>
    <w:rsid w:val="00821E0C"/>
    <w:rsid w:val="00821F2E"/>
    <w:rsid w:val="00821FFB"/>
    <w:rsid w:val="00822118"/>
    <w:rsid w:val="00822257"/>
    <w:rsid w:val="0082225F"/>
    <w:rsid w:val="0082229A"/>
    <w:rsid w:val="00822313"/>
    <w:rsid w:val="00822414"/>
    <w:rsid w:val="008225AA"/>
    <w:rsid w:val="00822637"/>
    <w:rsid w:val="0082270C"/>
    <w:rsid w:val="008227B3"/>
    <w:rsid w:val="008228F3"/>
    <w:rsid w:val="0082292A"/>
    <w:rsid w:val="008229E2"/>
    <w:rsid w:val="00822A72"/>
    <w:rsid w:val="00822A97"/>
    <w:rsid w:val="00822AC8"/>
    <w:rsid w:val="00822AE7"/>
    <w:rsid w:val="00822B3C"/>
    <w:rsid w:val="00822C87"/>
    <w:rsid w:val="00822CA5"/>
    <w:rsid w:val="00822CF7"/>
    <w:rsid w:val="00822D8A"/>
    <w:rsid w:val="00822E6B"/>
    <w:rsid w:val="00822FCA"/>
    <w:rsid w:val="00823004"/>
    <w:rsid w:val="008230F3"/>
    <w:rsid w:val="00823101"/>
    <w:rsid w:val="00823117"/>
    <w:rsid w:val="00823120"/>
    <w:rsid w:val="00823188"/>
    <w:rsid w:val="0082319A"/>
    <w:rsid w:val="008231CB"/>
    <w:rsid w:val="00823291"/>
    <w:rsid w:val="00823631"/>
    <w:rsid w:val="00823879"/>
    <w:rsid w:val="008238A5"/>
    <w:rsid w:val="00823944"/>
    <w:rsid w:val="0082394A"/>
    <w:rsid w:val="0082399D"/>
    <w:rsid w:val="00823BB7"/>
    <w:rsid w:val="00823C0E"/>
    <w:rsid w:val="00823C89"/>
    <w:rsid w:val="00823CFE"/>
    <w:rsid w:val="00823E74"/>
    <w:rsid w:val="00823EB3"/>
    <w:rsid w:val="00823EE5"/>
    <w:rsid w:val="00823F47"/>
    <w:rsid w:val="00823F4B"/>
    <w:rsid w:val="00823F58"/>
    <w:rsid w:val="00824027"/>
    <w:rsid w:val="00824089"/>
    <w:rsid w:val="00824154"/>
    <w:rsid w:val="0082422A"/>
    <w:rsid w:val="00824312"/>
    <w:rsid w:val="00824318"/>
    <w:rsid w:val="00824383"/>
    <w:rsid w:val="008243CA"/>
    <w:rsid w:val="0082446A"/>
    <w:rsid w:val="00824556"/>
    <w:rsid w:val="008245E2"/>
    <w:rsid w:val="008246C4"/>
    <w:rsid w:val="00824730"/>
    <w:rsid w:val="00824825"/>
    <w:rsid w:val="008248B8"/>
    <w:rsid w:val="008248F3"/>
    <w:rsid w:val="00824960"/>
    <w:rsid w:val="008249C3"/>
    <w:rsid w:val="00824A54"/>
    <w:rsid w:val="00824DB0"/>
    <w:rsid w:val="00825024"/>
    <w:rsid w:val="008250F9"/>
    <w:rsid w:val="00825227"/>
    <w:rsid w:val="008254BD"/>
    <w:rsid w:val="008255C8"/>
    <w:rsid w:val="00825715"/>
    <w:rsid w:val="008259AB"/>
    <w:rsid w:val="008259DF"/>
    <w:rsid w:val="00825A16"/>
    <w:rsid w:val="00825A93"/>
    <w:rsid w:val="00825AC8"/>
    <w:rsid w:val="00825B58"/>
    <w:rsid w:val="00825B88"/>
    <w:rsid w:val="00825B9D"/>
    <w:rsid w:val="00825D28"/>
    <w:rsid w:val="00825ED0"/>
    <w:rsid w:val="00825F45"/>
    <w:rsid w:val="00826018"/>
    <w:rsid w:val="008260AC"/>
    <w:rsid w:val="0082622B"/>
    <w:rsid w:val="00826287"/>
    <w:rsid w:val="0082641F"/>
    <w:rsid w:val="0082646C"/>
    <w:rsid w:val="00826656"/>
    <w:rsid w:val="0082666B"/>
    <w:rsid w:val="008266B5"/>
    <w:rsid w:val="008266D1"/>
    <w:rsid w:val="00826781"/>
    <w:rsid w:val="008267AC"/>
    <w:rsid w:val="00826851"/>
    <w:rsid w:val="0082695F"/>
    <w:rsid w:val="00826971"/>
    <w:rsid w:val="00826A47"/>
    <w:rsid w:val="00826A96"/>
    <w:rsid w:val="00826B61"/>
    <w:rsid w:val="00826B69"/>
    <w:rsid w:val="00826C20"/>
    <w:rsid w:val="00826CE2"/>
    <w:rsid w:val="00826E68"/>
    <w:rsid w:val="00826E6B"/>
    <w:rsid w:val="00826F97"/>
    <w:rsid w:val="00827055"/>
    <w:rsid w:val="0082718D"/>
    <w:rsid w:val="00827220"/>
    <w:rsid w:val="00827245"/>
    <w:rsid w:val="00827389"/>
    <w:rsid w:val="008273DF"/>
    <w:rsid w:val="008273EA"/>
    <w:rsid w:val="0082742B"/>
    <w:rsid w:val="008274CB"/>
    <w:rsid w:val="0082755E"/>
    <w:rsid w:val="00827575"/>
    <w:rsid w:val="00827A8E"/>
    <w:rsid w:val="00827ADD"/>
    <w:rsid w:val="00827B9C"/>
    <w:rsid w:val="00827BC1"/>
    <w:rsid w:val="00827BE8"/>
    <w:rsid w:val="00827BEA"/>
    <w:rsid w:val="00827DBE"/>
    <w:rsid w:val="0083015F"/>
    <w:rsid w:val="00830204"/>
    <w:rsid w:val="00830326"/>
    <w:rsid w:val="008303B4"/>
    <w:rsid w:val="00830547"/>
    <w:rsid w:val="0083061C"/>
    <w:rsid w:val="0083066A"/>
    <w:rsid w:val="0083067B"/>
    <w:rsid w:val="008307BF"/>
    <w:rsid w:val="0083088A"/>
    <w:rsid w:val="0083088C"/>
    <w:rsid w:val="008308FF"/>
    <w:rsid w:val="00830929"/>
    <w:rsid w:val="008309A2"/>
    <w:rsid w:val="00830A5D"/>
    <w:rsid w:val="00830A70"/>
    <w:rsid w:val="00830BD8"/>
    <w:rsid w:val="00830C81"/>
    <w:rsid w:val="00830CB6"/>
    <w:rsid w:val="00830D81"/>
    <w:rsid w:val="00831071"/>
    <w:rsid w:val="008311F2"/>
    <w:rsid w:val="0083134E"/>
    <w:rsid w:val="008313DD"/>
    <w:rsid w:val="008313F4"/>
    <w:rsid w:val="00831402"/>
    <w:rsid w:val="00831527"/>
    <w:rsid w:val="0083159E"/>
    <w:rsid w:val="00831726"/>
    <w:rsid w:val="00831765"/>
    <w:rsid w:val="0083196F"/>
    <w:rsid w:val="008319B1"/>
    <w:rsid w:val="00831A30"/>
    <w:rsid w:val="00831B64"/>
    <w:rsid w:val="00831C7E"/>
    <w:rsid w:val="00831DFE"/>
    <w:rsid w:val="00831F92"/>
    <w:rsid w:val="0083204E"/>
    <w:rsid w:val="00832089"/>
    <w:rsid w:val="008320C7"/>
    <w:rsid w:val="008321B4"/>
    <w:rsid w:val="008322B0"/>
    <w:rsid w:val="008322C6"/>
    <w:rsid w:val="0083230B"/>
    <w:rsid w:val="00832352"/>
    <w:rsid w:val="00832441"/>
    <w:rsid w:val="0083249B"/>
    <w:rsid w:val="008324C5"/>
    <w:rsid w:val="0083251A"/>
    <w:rsid w:val="00832596"/>
    <w:rsid w:val="008325A7"/>
    <w:rsid w:val="008325D3"/>
    <w:rsid w:val="00832619"/>
    <w:rsid w:val="0083263A"/>
    <w:rsid w:val="0083273C"/>
    <w:rsid w:val="00832788"/>
    <w:rsid w:val="008329A2"/>
    <w:rsid w:val="00832A62"/>
    <w:rsid w:val="00832B8F"/>
    <w:rsid w:val="00832C6B"/>
    <w:rsid w:val="00832C9A"/>
    <w:rsid w:val="00832CDE"/>
    <w:rsid w:val="00832D3D"/>
    <w:rsid w:val="00832EF4"/>
    <w:rsid w:val="00832F2F"/>
    <w:rsid w:val="00832F40"/>
    <w:rsid w:val="0083306B"/>
    <w:rsid w:val="008330AD"/>
    <w:rsid w:val="008330D7"/>
    <w:rsid w:val="008330DE"/>
    <w:rsid w:val="00833251"/>
    <w:rsid w:val="00833286"/>
    <w:rsid w:val="00833457"/>
    <w:rsid w:val="00833493"/>
    <w:rsid w:val="008334C0"/>
    <w:rsid w:val="00833633"/>
    <w:rsid w:val="008336FB"/>
    <w:rsid w:val="008337FD"/>
    <w:rsid w:val="008338E3"/>
    <w:rsid w:val="008339B1"/>
    <w:rsid w:val="00833A83"/>
    <w:rsid w:val="00833AA2"/>
    <w:rsid w:val="00833AE1"/>
    <w:rsid w:val="00833CF5"/>
    <w:rsid w:val="00833EB9"/>
    <w:rsid w:val="00834130"/>
    <w:rsid w:val="0083413D"/>
    <w:rsid w:val="008341D9"/>
    <w:rsid w:val="00834203"/>
    <w:rsid w:val="0083420B"/>
    <w:rsid w:val="00834222"/>
    <w:rsid w:val="0083424E"/>
    <w:rsid w:val="00834456"/>
    <w:rsid w:val="0083454E"/>
    <w:rsid w:val="00834584"/>
    <w:rsid w:val="008345CE"/>
    <w:rsid w:val="008345EB"/>
    <w:rsid w:val="0083490C"/>
    <w:rsid w:val="00834A63"/>
    <w:rsid w:val="00834C64"/>
    <w:rsid w:val="00834D65"/>
    <w:rsid w:val="00834DDE"/>
    <w:rsid w:val="00834EBB"/>
    <w:rsid w:val="00834EF2"/>
    <w:rsid w:val="00834EF6"/>
    <w:rsid w:val="00834F8E"/>
    <w:rsid w:val="00834FE0"/>
    <w:rsid w:val="00835173"/>
    <w:rsid w:val="008351EA"/>
    <w:rsid w:val="0083526C"/>
    <w:rsid w:val="008352D4"/>
    <w:rsid w:val="008352FF"/>
    <w:rsid w:val="0083538F"/>
    <w:rsid w:val="008353A8"/>
    <w:rsid w:val="008353AE"/>
    <w:rsid w:val="00835495"/>
    <w:rsid w:val="00835543"/>
    <w:rsid w:val="0083554E"/>
    <w:rsid w:val="00835601"/>
    <w:rsid w:val="00835605"/>
    <w:rsid w:val="00835755"/>
    <w:rsid w:val="008357A4"/>
    <w:rsid w:val="008357E7"/>
    <w:rsid w:val="00835918"/>
    <w:rsid w:val="00835A88"/>
    <w:rsid w:val="00835B60"/>
    <w:rsid w:val="00835C51"/>
    <w:rsid w:val="00835CB4"/>
    <w:rsid w:val="00835D4F"/>
    <w:rsid w:val="00835E31"/>
    <w:rsid w:val="00835EDD"/>
    <w:rsid w:val="00835F35"/>
    <w:rsid w:val="0083600E"/>
    <w:rsid w:val="00836116"/>
    <w:rsid w:val="008363E9"/>
    <w:rsid w:val="0083644F"/>
    <w:rsid w:val="00836489"/>
    <w:rsid w:val="0083651A"/>
    <w:rsid w:val="00836715"/>
    <w:rsid w:val="008367C5"/>
    <w:rsid w:val="00836887"/>
    <w:rsid w:val="00836D67"/>
    <w:rsid w:val="00836DFD"/>
    <w:rsid w:val="00836FC5"/>
    <w:rsid w:val="00837066"/>
    <w:rsid w:val="008371F5"/>
    <w:rsid w:val="00837205"/>
    <w:rsid w:val="008372CB"/>
    <w:rsid w:val="008373E1"/>
    <w:rsid w:val="0083755C"/>
    <w:rsid w:val="0083762C"/>
    <w:rsid w:val="00837654"/>
    <w:rsid w:val="0083771A"/>
    <w:rsid w:val="00837796"/>
    <w:rsid w:val="008378B1"/>
    <w:rsid w:val="00837C12"/>
    <w:rsid w:val="00837CD6"/>
    <w:rsid w:val="00837D89"/>
    <w:rsid w:val="00837DA9"/>
    <w:rsid w:val="0083B133"/>
    <w:rsid w:val="0084023D"/>
    <w:rsid w:val="0084024B"/>
    <w:rsid w:val="008402C3"/>
    <w:rsid w:val="00840375"/>
    <w:rsid w:val="008403AD"/>
    <w:rsid w:val="0084041A"/>
    <w:rsid w:val="00840470"/>
    <w:rsid w:val="00840680"/>
    <w:rsid w:val="008407CA"/>
    <w:rsid w:val="008408C2"/>
    <w:rsid w:val="00840C51"/>
    <w:rsid w:val="00840C85"/>
    <w:rsid w:val="00840F07"/>
    <w:rsid w:val="00840F23"/>
    <w:rsid w:val="00840FCA"/>
    <w:rsid w:val="008411C8"/>
    <w:rsid w:val="00841546"/>
    <w:rsid w:val="008417F8"/>
    <w:rsid w:val="0084187E"/>
    <w:rsid w:val="008418BD"/>
    <w:rsid w:val="00841A4D"/>
    <w:rsid w:val="00841B50"/>
    <w:rsid w:val="00841BD6"/>
    <w:rsid w:val="00841CB0"/>
    <w:rsid w:val="00841CF9"/>
    <w:rsid w:val="00841E92"/>
    <w:rsid w:val="00841E9A"/>
    <w:rsid w:val="00841EAB"/>
    <w:rsid w:val="00841ECF"/>
    <w:rsid w:val="00841FE8"/>
    <w:rsid w:val="00842019"/>
    <w:rsid w:val="0084204B"/>
    <w:rsid w:val="00842132"/>
    <w:rsid w:val="00842172"/>
    <w:rsid w:val="0084217F"/>
    <w:rsid w:val="008422F7"/>
    <w:rsid w:val="00842317"/>
    <w:rsid w:val="00842357"/>
    <w:rsid w:val="008423F5"/>
    <w:rsid w:val="008424C5"/>
    <w:rsid w:val="008425C5"/>
    <w:rsid w:val="00842605"/>
    <w:rsid w:val="0084269F"/>
    <w:rsid w:val="008426AB"/>
    <w:rsid w:val="008426E8"/>
    <w:rsid w:val="008427BC"/>
    <w:rsid w:val="00842849"/>
    <w:rsid w:val="008428C1"/>
    <w:rsid w:val="00842BC8"/>
    <w:rsid w:val="00842C39"/>
    <w:rsid w:val="00842C70"/>
    <w:rsid w:val="00842D18"/>
    <w:rsid w:val="00842D51"/>
    <w:rsid w:val="00842DBD"/>
    <w:rsid w:val="00842DD1"/>
    <w:rsid w:val="00842E36"/>
    <w:rsid w:val="00842E97"/>
    <w:rsid w:val="00842EF1"/>
    <w:rsid w:val="00842F1D"/>
    <w:rsid w:val="00842F2E"/>
    <w:rsid w:val="00843068"/>
    <w:rsid w:val="00843072"/>
    <w:rsid w:val="00843073"/>
    <w:rsid w:val="008430AC"/>
    <w:rsid w:val="008430BD"/>
    <w:rsid w:val="008431CE"/>
    <w:rsid w:val="008431F9"/>
    <w:rsid w:val="00843230"/>
    <w:rsid w:val="00843390"/>
    <w:rsid w:val="00843425"/>
    <w:rsid w:val="00843599"/>
    <w:rsid w:val="0084359B"/>
    <w:rsid w:val="008435C9"/>
    <w:rsid w:val="00843609"/>
    <w:rsid w:val="00843823"/>
    <w:rsid w:val="00843866"/>
    <w:rsid w:val="008438F5"/>
    <w:rsid w:val="008439D5"/>
    <w:rsid w:val="00843A21"/>
    <w:rsid w:val="00843A59"/>
    <w:rsid w:val="00843B4B"/>
    <w:rsid w:val="00843CAD"/>
    <w:rsid w:val="00843CEF"/>
    <w:rsid w:val="00843D7F"/>
    <w:rsid w:val="00843E79"/>
    <w:rsid w:val="00843EBF"/>
    <w:rsid w:val="00843F00"/>
    <w:rsid w:val="0084403F"/>
    <w:rsid w:val="00844051"/>
    <w:rsid w:val="008441AD"/>
    <w:rsid w:val="008441CB"/>
    <w:rsid w:val="00844203"/>
    <w:rsid w:val="00844373"/>
    <w:rsid w:val="0084448F"/>
    <w:rsid w:val="008445E8"/>
    <w:rsid w:val="0084463E"/>
    <w:rsid w:val="0084478F"/>
    <w:rsid w:val="0084497D"/>
    <w:rsid w:val="00844B95"/>
    <w:rsid w:val="00844C84"/>
    <w:rsid w:val="00844C88"/>
    <w:rsid w:val="00844D45"/>
    <w:rsid w:val="00844D68"/>
    <w:rsid w:val="00844D73"/>
    <w:rsid w:val="00844DC4"/>
    <w:rsid w:val="00844E36"/>
    <w:rsid w:val="00844F3A"/>
    <w:rsid w:val="0084502F"/>
    <w:rsid w:val="00845073"/>
    <w:rsid w:val="00845085"/>
    <w:rsid w:val="00845150"/>
    <w:rsid w:val="008451F7"/>
    <w:rsid w:val="00845270"/>
    <w:rsid w:val="008453E3"/>
    <w:rsid w:val="00845502"/>
    <w:rsid w:val="00845503"/>
    <w:rsid w:val="0084554A"/>
    <w:rsid w:val="00845568"/>
    <w:rsid w:val="00845588"/>
    <w:rsid w:val="00845675"/>
    <w:rsid w:val="0084580F"/>
    <w:rsid w:val="00845851"/>
    <w:rsid w:val="008458EB"/>
    <w:rsid w:val="008459C2"/>
    <w:rsid w:val="00845B4E"/>
    <w:rsid w:val="00845B9A"/>
    <w:rsid w:val="00845BA6"/>
    <w:rsid w:val="00845CA7"/>
    <w:rsid w:val="00845D4B"/>
    <w:rsid w:val="00845D80"/>
    <w:rsid w:val="00845DAA"/>
    <w:rsid w:val="00845DBD"/>
    <w:rsid w:val="00845F4B"/>
    <w:rsid w:val="00845F96"/>
    <w:rsid w:val="0084616F"/>
    <w:rsid w:val="0084620F"/>
    <w:rsid w:val="0084649A"/>
    <w:rsid w:val="008465A0"/>
    <w:rsid w:val="008466FA"/>
    <w:rsid w:val="0084671A"/>
    <w:rsid w:val="0084675C"/>
    <w:rsid w:val="008467B3"/>
    <w:rsid w:val="008468BC"/>
    <w:rsid w:val="0084697E"/>
    <w:rsid w:val="00846AA4"/>
    <w:rsid w:val="00846BEF"/>
    <w:rsid w:val="00846E73"/>
    <w:rsid w:val="00846EBE"/>
    <w:rsid w:val="00846F02"/>
    <w:rsid w:val="00846F07"/>
    <w:rsid w:val="0084708B"/>
    <w:rsid w:val="00847162"/>
    <w:rsid w:val="008473D7"/>
    <w:rsid w:val="008475AD"/>
    <w:rsid w:val="008476D8"/>
    <w:rsid w:val="00847756"/>
    <w:rsid w:val="008477A9"/>
    <w:rsid w:val="00847933"/>
    <w:rsid w:val="008479DD"/>
    <w:rsid w:val="008479F5"/>
    <w:rsid w:val="00847AEB"/>
    <w:rsid w:val="00847BDB"/>
    <w:rsid w:val="00847D80"/>
    <w:rsid w:val="00847DC4"/>
    <w:rsid w:val="00847E3A"/>
    <w:rsid w:val="00847EC8"/>
    <w:rsid w:val="00847FA0"/>
    <w:rsid w:val="00847FA1"/>
    <w:rsid w:val="00847FAD"/>
    <w:rsid w:val="008500CD"/>
    <w:rsid w:val="00850335"/>
    <w:rsid w:val="008506F2"/>
    <w:rsid w:val="00850711"/>
    <w:rsid w:val="008507ED"/>
    <w:rsid w:val="00850938"/>
    <w:rsid w:val="00850AA8"/>
    <w:rsid w:val="00850DD0"/>
    <w:rsid w:val="0085145C"/>
    <w:rsid w:val="0085146F"/>
    <w:rsid w:val="008514C5"/>
    <w:rsid w:val="008514F6"/>
    <w:rsid w:val="00851659"/>
    <w:rsid w:val="008516F0"/>
    <w:rsid w:val="00851714"/>
    <w:rsid w:val="00851796"/>
    <w:rsid w:val="0085189B"/>
    <w:rsid w:val="008519DC"/>
    <w:rsid w:val="00851A2C"/>
    <w:rsid w:val="00851ABA"/>
    <w:rsid w:val="00851B4B"/>
    <w:rsid w:val="00851B55"/>
    <w:rsid w:val="00851C72"/>
    <w:rsid w:val="00851CA0"/>
    <w:rsid w:val="00851CE1"/>
    <w:rsid w:val="00851F64"/>
    <w:rsid w:val="008520AA"/>
    <w:rsid w:val="0085223D"/>
    <w:rsid w:val="00852389"/>
    <w:rsid w:val="00852414"/>
    <w:rsid w:val="00852464"/>
    <w:rsid w:val="008524AF"/>
    <w:rsid w:val="008524BC"/>
    <w:rsid w:val="0085257A"/>
    <w:rsid w:val="0085290C"/>
    <w:rsid w:val="00852954"/>
    <w:rsid w:val="00852AD4"/>
    <w:rsid w:val="00852B3D"/>
    <w:rsid w:val="00852C9F"/>
    <w:rsid w:val="00852D7C"/>
    <w:rsid w:val="00852DD2"/>
    <w:rsid w:val="00852F58"/>
    <w:rsid w:val="00852FE6"/>
    <w:rsid w:val="00853060"/>
    <w:rsid w:val="008530D9"/>
    <w:rsid w:val="00853132"/>
    <w:rsid w:val="00853145"/>
    <w:rsid w:val="00853207"/>
    <w:rsid w:val="0085326D"/>
    <w:rsid w:val="00853370"/>
    <w:rsid w:val="00853419"/>
    <w:rsid w:val="00853440"/>
    <w:rsid w:val="00853592"/>
    <w:rsid w:val="00853593"/>
    <w:rsid w:val="00853822"/>
    <w:rsid w:val="00853824"/>
    <w:rsid w:val="008538A7"/>
    <w:rsid w:val="00853904"/>
    <w:rsid w:val="008539BE"/>
    <w:rsid w:val="00853A01"/>
    <w:rsid w:val="00853A18"/>
    <w:rsid w:val="00853A56"/>
    <w:rsid w:val="00853B11"/>
    <w:rsid w:val="00853BA4"/>
    <w:rsid w:val="00853BAA"/>
    <w:rsid w:val="00853D18"/>
    <w:rsid w:val="00853D30"/>
    <w:rsid w:val="00853D59"/>
    <w:rsid w:val="00853E1D"/>
    <w:rsid w:val="00853EB3"/>
    <w:rsid w:val="00854098"/>
    <w:rsid w:val="00854113"/>
    <w:rsid w:val="00854229"/>
    <w:rsid w:val="0085429F"/>
    <w:rsid w:val="008543AB"/>
    <w:rsid w:val="0085447B"/>
    <w:rsid w:val="008544DD"/>
    <w:rsid w:val="00854559"/>
    <w:rsid w:val="0085467A"/>
    <w:rsid w:val="0085467B"/>
    <w:rsid w:val="008546A7"/>
    <w:rsid w:val="008547E7"/>
    <w:rsid w:val="0085482B"/>
    <w:rsid w:val="0085489F"/>
    <w:rsid w:val="008548DF"/>
    <w:rsid w:val="00854934"/>
    <w:rsid w:val="00854B44"/>
    <w:rsid w:val="00854BB2"/>
    <w:rsid w:val="00854E93"/>
    <w:rsid w:val="00854EAF"/>
    <w:rsid w:val="00854EF4"/>
    <w:rsid w:val="00854F54"/>
    <w:rsid w:val="00854FCF"/>
    <w:rsid w:val="00854FD1"/>
    <w:rsid w:val="008550B3"/>
    <w:rsid w:val="008550EF"/>
    <w:rsid w:val="0085514F"/>
    <w:rsid w:val="008551DA"/>
    <w:rsid w:val="00855335"/>
    <w:rsid w:val="00855476"/>
    <w:rsid w:val="00855528"/>
    <w:rsid w:val="008557CB"/>
    <w:rsid w:val="008559E9"/>
    <w:rsid w:val="00855A3E"/>
    <w:rsid w:val="00855A44"/>
    <w:rsid w:val="00855C1E"/>
    <w:rsid w:val="00855C9D"/>
    <w:rsid w:val="00855CBD"/>
    <w:rsid w:val="00855CD4"/>
    <w:rsid w:val="00855D65"/>
    <w:rsid w:val="00855E58"/>
    <w:rsid w:val="00855F22"/>
    <w:rsid w:val="00855F7B"/>
    <w:rsid w:val="0085605A"/>
    <w:rsid w:val="00856198"/>
    <w:rsid w:val="00856208"/>
    <w:rsid w:val="0085631F"/>
    <w:rsid w:val="00856349"/>
    <w:rsid w:val="0085659C"/>
    <w:rsid w:val="00856798"/>
    <w:rsid w:val="00856804"/>
    <w:rsid w:val="00856A26"/>
    <w:rsid w:val="00856D8E"/>
    <w:rsid w:val="00856E2E"/>
    <w:rsid w:val="00856EEB"/>
    <w:rsid w:val="00856EFF"/>
    <w:rsid w:val="00856F70"/>
    <w:rsid w:val="00857082"/>
    <w:rsid w:val="0085711E"/>
    <w:rsid w:val="0085716A"/>
    <w:rsid w:val="00857267"/>
    <w:rsid w:val="00857294"/>
    <w:rsid w:val="008572FC"/>
    <w:rsid w:val="00857314"/>
    <w:rsid w:val="0085755F"/>
    <w:rsid w:val="008575D2"/>
    <w:rsid w:val="00857719"/>
    <w:rsid w:val="00857852"/>
    <w:rsid w:val="00857857"/>
    <w:rsid w:val="00857860"/>
    <w:rsid w:val="00857957"/>
    <w:rsid w:val="00857969"/>
    <w:rsid w:val="00857A2A"/>
    <w:rsid w:val="00857C54"/>
    <w:rsid w:val="00857EEB"/>
    <w:rsid w:val="00857F76"/>
    <w:rsid w:val="0086008E"/>
    <w:rsid w:val="0086029D"/>
    <w:rsid w:val="008602FD"/>
    <w:rsid w:val="00860385"/>
    <w:rsid w:val="00860388"/>
    <w:rsid w:val="008603F0"/>
    <w:rsid w:val="0086046C"/>
    <w:rsid w:val="0086049E"/>
    <w:rsid w:val="0086063F"/>
    <w:rsid w:val="00860841"/>
    <w:rsid w:val="00860851"/>
    <w:rsid w:val="0086086B"/>
    <w:rsid w:val="008608B5"/>
    <w:rsid w:val="00860952"/>
    <w:rsid w:val="008609A3"/>
    <w:rsid w:val="00860A14"/>
    <w:rsid w:val="00860A75"/>
    <w:rsid w:val="00860A9D"/>
    <w:rsid w:val="00860BA0"/>
    <w:rsid w:val="00860D89"/>
    <w:rsid w:val="00860DB3"/>
    <w:rsid w:val="00860DEF"/>
    <w:rsid w:val="00860ED3"/>
    <w:rsid w:val="00860EF9"/>
    <w:rsid w:val="00860F5C"/>
    <w:rsid w:val="00860F8E"/>
    <w:rsid w:val="0086110D"/>
    <w:rsid w:val="008611A6"/>
    <w:rsid w:val="00861353"/>
    <w:rsid w:val="008613A1"/>
    <w:rsid w:val="008613ED"/>
    <w:rsid w:val="0086153B"/>
    <w:rsid w:val="008616F2"/>
    <w:rsid w:val="008617EF"/>
    <w:rsid w:val="008617FE"/>
    <w:rsid w:val="00861861"/>
    <w:rsid w:val="008618D2"/>
    <w:rsid w:val="00861985"/>
    <w:rsid w:val="00861A2B"/>
    <w:rsid w:val="00861A3D"/>
    <w:rsid w:val="00861AB4"/>
    <w:rsid w:val="00861B26"/>
    <w:rsid w:val="00861BBD"/>
    <w:rsid w:val="00861C10"/>
    <w:rsid w:val="00861C9D"/>
    <w:rsid w:val="00861D39"/>
    <w:rsid w:val="00861DDD"/>
    <w:rsid w:val="0086205C"/>
    <w:rsid w:val="00862067"/>
    <w:rsid w:val="008620F3"/>
    <w:rsid w:val="00862389"/>
    <w:rsid w:val="0086264C"/>
    <w:rsid w:val="008626AC"/>
    <w:rsid w:val="0086281D"/>
    <w:rsid w:val="0086287F"/>
    <w:rsid w:val="0086291F"/>
    <w:rsid w:val="00862933"/>
    <w:rsid w:val="00862941"/>
    <w:rsid w:val="00862B53"/>
    <w:rsid w:val="00862B85"/>
    <w:rsid w:val="00862D5B"/>
    <w:rsid w:val="00862DFF"/>
    <w:rsid w:val="0086316B"/>
    <w:rsid w:val="008631D4"/>
    <w:rsid w:val="008631E6"/>
    <w:rsid w:val="0086324B"/>
    <w:rsid w:val="0086328D"/>
    <w:rsid w:val="008633BB"/>
    <w:rsid w:val="00863527"/>
    <w:rsid w:val="008635FE"/>
    <w:rsid w:val="00863670"/>
    <w:rsid w:val="00863682"/>
    <w:rsid w:val="008636B6"/>
    <w:rsid w:val="008636B7"/>
    <w:rsid w:val="008636C4"/>
    <w:rsid w:val="008636E8"/>
    <w:rsid w:val="0086378F"/>
    <w:rsid w:val="008637DE"/>
    <w:rsid w:val="00863879"/>
    <w:rsid w:val="00863916"/>
    <w:rsid w:val="0086398D"/>
    <w:rsid w:val="008639B8"/>
    <w:rsid w:val="00863A93"/>
    <w:rsid w:val="00863AB5"/>
    <w:rsid w:val="00863AD7"/>
    <w:rsid w:val="00863ADB"/>
    <w:rsid w:val="00863B52"/>
    <w:rsid w:val="00863C64"/>
    <w:rsid w:val="00863D8B"/>
    <w:rsid w:val="00863EB1"/>
    <w:rsid w:val="00863EE9"/>
    <w:rsid w:val="00863EF3"/>
    <w:rsid w:val="00864017"/>
    <w:rsid w:val="00864026"/>
    <w:rsid w:val="00864053"/>
    <w:rsid w:val="008641A9"/>
    <w:rsid w:val="00864229"/>
    <w:rsid w:val="00864340"/>
    <w:rsid w:val="008643E5"/>
    <w:rsid w:val="008644D0"/>
    <w:rsid w:val="00864614"/>
    <w:rsid w:val="00864698"/>
    <w:rsid w:val="008646EF"/>
    <w:rsid w:val="0086487C"/>
    <w:rsid w:val="008648A7"/>
    <w:rsid w:val="00864952"/>
    <w:rsid w:val="00864A97"/>
    <w:rsid w:val="00864AFA"/>
    <w:rsid w:val="00864B61"/>
    <w:rsid w:val="00864D1F"/>
    <w:rsid w:val="00864DE1"/>
    <w:rsid w:val="00864E9F"/>
    <w:rsid w:val="00864EB8"/>
    <w:rsid w:val="00865017"/>
    <w:rsid w:val="00865020"/>
    <w:rsid w:val="0086510E"/>
    <w:rsid w:val="008651D0"/>
    <w:rsid w:val="00865243"/>
    <w:rsid w:val="00865461"/>
    <w:rsid w:val="008655B9"/>
    <w:rsid w:val="008655D1"/>
    <w:rsid w:val="008656D8"/>
    <w:rsid w:val="008658F8"/>
    <w:rsid w:val="00865924"/>
    <w:rsid w:val="008659BB"/>
    <w:rsid w:val="00865A7C"/>
    <w:rsid w:val="00865AE5"/>
    <w:rsid w:val="00865B63"/>
    <w:rsid w:val="00865B6D"/>
    <w:rsid w:val="00865BAC"/>
    <w:rsid w:val="00865BD1"/>
    <w:rsid w:val="00865BDB"/>
    <w:rsid w:val="00865D7E"/>
    <w:rsid w:val="00865E78"/>
    <w:rsid w:val="00865E79"/>
    <w:rsid w:val="00865EC2"/>
    <w:rsid w:val="00866243"/>
    <w:rsid w:val="00866294"/>
    <w:rsid w:val="008664C5"/>
    <w:rsid w:val="008664D7"/>
    <w:rsid w:val="00866522"/>
    <w:rsid w:val="008667F7"/>
    <w:rsid w:val="00866805"/>
    <w:rsid w:val="00866895"/>
    <w:rsid w:val="008668A2"/>
    <w:rsid w:val="00866A0A"/>
    <w:rsid w:val="00866C07"/>
    <w:rsid w:val="00866C44"/>
    <w:rsid w:val="00866C65"/>
    <w:rsid w:val="00866CA5"/>
    <w:rsid w:val="00866D77"/>
    <w:rsid w:val="00866E11"/>
    <w:rsid w:val="00866FBD"/>
    <w:rsid w:val="00867080"/>
    <w:rsid w:val="008670B3"/>
    <w:rsid w:val="0086724F"/>
    <w:rsid w:val="0086726B"/>
    <w:rsid w:val="00867583"/>
    <w:rsid w:val="00867634"/>
    <w:rsid w:val="00867746"/>
    <w:rsid w:val="00867800"/>
    <w:rsid w:val="00867806"/>
    <w:rsid w:val="008678AC"/>
    <w:rsid w:val="00867930"/>
    <w:rsid w:val="008679F6"/>
    <w:rsid w:val="00867CC4"/>
    <w:rsid w:val="00867DE1"/>
    <w:rsid w:val="00867E51"/>
    <w:rsid w:val="00867E6C"/>
    <w:rsid w:val="00867EF4"/>
    <w:rsid w:val="00870265"/>
    <w:rsid w:val="0087029D"/>
    <w:rsid w:val="00870812"/>
    <w:rsid w:val="008708E9"/>
    <w:rsid w:val="008708EB"/>
    <w:rsid w:val="00870A53"/>
    <w:rsid w:val="00870ADB"/>
    <w:rsid w:val="00870B26"/>
    <w:rsid w:val="00870B7F"/>
    <w:rsid w:val="00870C72"/>
    <w:rsid w:val="00870E30"/>
    <w:rsid w:val="00870EE4"/>
    <w:rsid w:val="00871027"/>
    <w:rsid w:val="0087103D"/>
    <w:rsid w:val="008710B7"/>
    <w:rsid w:val="00871173"/>
    <w:rsid w:val="008711EF"/>
    <w:rsid w:val="00871239"/>
    <w:rsid w:val="008712B0"/>
    <w:rsid w:val="008712D9"/>
    <w:rsid w:val="00871325"/>
    <w:rsid w:val="0087142F"/>
    <w:rsid w:val="00871729"/>
    <w:rsid w:val="0087179A"/>
    <w:rsid w:val="0087188B"/>
    <w:rsid w:val="00871890"/>
    <w:rsid w:val="008719BB"/>
    <w:rsid w:val="008719EB"/>
    <w:rsid w:val="00871A00"/>
    <w:rsid w:val="00871A16"/>
    <w:rsid w:val="00871B75"/>
    <w:rsid w:val="00871C88"/>
    <w:rsid w:val="00871C99"/>
    <w:rsid w:val="00871D80"/>
    <w:rsid w:val="00871E39"/>
    <w:rsid w:val="00871E68"/>
    <w:rsid w:val="00871EB1"/>
    <w:rsid w:val="00871FDD"/>
    <w:rsid w:val="00872161"/>
    <w:rsid w:val="008722E6"/>
    <w:rsid w:val="00872405"/>
    <w:rsid w:val="00872456"/>
    <w:rsid w:val="00872463"/>
    <w:rsid w:val="008724A4"/>
    <w:rsid w:val="008724E8"/>
    <w:rsid w:val="00872513"/>
    <w:rsid w:val="00872536"/>
    <w:rsid w:val="008725D9"/>
    <w:rsid w:val="00872667"/>
    <w:rsid w:val="008729C8"/>
    <w:rsid w:val="00872A77"/>
    <w:rsid w:val="00872B4F"/>
    <w:rsid w:val="00872C01"/>
    <w:rsid w:val="00872C03"/>
    <w:rsid w:val="00872CF0"/>
    <w:rsid w:val="00872DC0"/>
    <w:rsid w:val="00872EDF"/>
    <w:rsid w:val="00872EE4"/>
    <w:rsid w:val="00872F48"/>
    <w:rsid w:val="0087310C"/>
    <w:rsid w:val="00873177"/>
    <w:rsid w:val="00873871"/>
    <w:rsid w:val="00873886"/>
    <w:rsid w:val="008738FB"/>
    <w:rsid w:val="00873ABC"/>
    <w:rsid w:val="00873BEB"/>
    <w:rsid w:val="00873CE7"/>
    <w:rsid w:val="00873CF5"/>
    <w:rsid w:val="00873E27"/>
    <w:rsid w:val="00873E55"/>
    <w:rsid w:val="00873E7E"/>
    <w:rsid w:val="00873E83"/>
    <w:rsid w:val="00874019"/>
    <w:rsid w:val="00874020"/>
    <w:rsid w:val="00874043"/>
    <w:rsid w:val="008740A1"/>
    <w:rsid w:val="00874160"/>
    <w:rsid w:val="00874187"/>
    <w:rsid w:val="008741B6"/>
    <w:rsid w:val="00874256"/>
    <w:rsid w:val="0087452E"/>
    <w:rsid w:val="00874663"/>
    <w:rsid w:val="008746AA"/>
    <w:rsid w:val="0087489B"/>
    <w:rsid w:val="008748BF"/>
    <w:rsid w:val="0087494E"/>
    <w:rsid w:val="008749E3"/>
    <w:rsid w:val="00874A11"/>
    <w:rsid w:val="00874CD0"/>
    <w:rsid w:val="00874CD5"/>
    <w:rsid w:val="00874E7A"/>
    <w:rsid w:val="00874EFA"/>
    <w:rsid w:val="00874F3D"/>
    <w:rsid w:val="00874F4E"/>
    <w:rsid w:val="00874F87"/>
    <w:rsid w:val="0087510C"/>
    <w:rsid w:val="00875117"/>
    <w:rsid w:val="00875189"/>
    <w:rsid w:val="0087522D"/>
    <w:rsid w:val="00875280"/>
    <w:rsid w:val="00875511"/>
    <w:rsid w:val="00875512"/>
    <w:rsid w:val="008757AE"/>
    <w:rsid w:val="00875869"/>
    <w:rsid w:val="008758A8"/>
    <w:rsid w:val="00875BC9"/>
    <w:rsid w:val="00875C31"/>
    <w:rsid w:val="00875C7A"/>
    <w:rsid w:val="00875CDD"/>
    <w:rsid w:val="00875CF3"/>
    <w:rsid w:val="00875CF5"/>
    <w:rsid w:val="00875E36"/>
    <w:rsid w:val="00875E86"/>
    <w:rsid w:val="00875F19"/>
    <w:rsid w:val="00875F1D"/>
    <w:rsid w:val="00876037"/>
    <w:rsid w:val="0087638D"/>
    <w:rsid w:val="00876431"/>
    <w:rsid w:val="008764A8"/>
    <w:rsid w:val="008764DD"/>
    <w:rsid w:val="0087656F"/>
    <w:rsid w:val="0087660A"/>
    <w:rsid w:val="008766E9"/>
    <w:rsid w:val="008766F5"/>
    <w:rsid w:val="0087681C"/>
    <w:rsid w:val="0087696B"/>
    <w:rsid w:val="00876A91"/>
    <w:rsid w:val="00876DF4"/>
    <w:rsid w:val="00876F0F"/>
    <w:rsid w:val="00876FE5"/>
    <w:rsid w:val="00877006"/>
    <w:rsid w:val="0087737F"/>
    <w:rsid w:val="0087741D"/>
    <w:rsid w:val="00877506"/>
    <w:rsid w:val="00877728"/>
    <w:rsid w:val="00877783"/>
    <w:rsid w:val="00877857"/>
    <w:rsid w:val="00877AB4"/>
    <w:rsid w:val="00877AF0"/>
    <w:rsid w:val="00877B69"/>
    <w:rsid w:val="00877D4F"/>
    <w:rsid w:val="00877D65"/>
    <w:rsid w:val="00877DE6"/>
    <w:rsid w:val="00877E8D"/>
    <w:rsid w:val="00877EF5"/>
    <w:rsid w:val="00877FA8"/>
    <w:rsid w:val="00880005"/>
    <w:rsid w:val="0088004F"/>
    <w:rsid w:val="008802D4"/>
    <w:rsid w:val="0088033A"/>
    <w:rsid w:val="00880399"/>
    <w:rsid w:val="008803BB"/>
    <w:rsid w:val="0088065D"/>
    <w:rsid w:val="00880669"/>
    <w:rsid w:val="0088069D"/>
    <w:rsid w:val="008807E5"/>
    <w:rsid w:val="0088081B"/>
    <w:rsid w:val="008808C0"/>
    <w:rsid w:val="00880A05"/>
    <w:rsid w:val="00880A21"/>
    <w:rsid w:val="00880AD0"/>
    <w:rsid w:val="00880AF0"/>
    <w:rsid w:val="00880B72"/>
    <w:rsid w:val="00880C7F"/>
    <w:rsid w:val="00880CCD"/>
    <w:rsid w:val="00880D6D"/>
    <w:rsid w:val="00880D83"/>
    <w:rsid w:val="00880E1A"/>
    <w:rsid w:val="00880E41"/>
    <w:rsid w:val="00880F4B"/>
    <w:rsid w:val="00881009"/>
    <w:rsid w:val="008810AE"/>
    <w:rsid w:val="008810FC"/>
    <w:rsid w:val="00881111"/>
    <w:rsid w:val="00881198"/>
    <w:rsid w:val="00881244"/>
    <w:rsid w:val="008813C9"/>
    <w:rsid w:val="0088140F"/>
    <w:rsid w:val="00881480"/>
    <w:rsid w:val="008817CA"/>
    <w:rsid w:val="008818AB"/>
    <w:rsid w:val="008818C2"/>
    <w:rsid w:val="00881986"/>
    <w:rsid w:val="00881AB2"/>
    <w:rsid w:val="00881BD8"/>
    <w:rsid w:val="00881BEB"/>
    <w:rsid w:val="00881CCA"/>
    <w:rsid w:val="00881D76"/>
    <w:rsid w:val="00881D8E"/>
    <w:rsid w:val="00881DA5"/>
    <w:rsid w:val="00881E74"/>
    <w:rsid w:val="00881F5B"/>
    <w:rsid w:val="00881FA5"/>
    <w:rsid w:val="00881FB5"/>
    <w:rsid w:val="00882014"/>
    <w:rsid w:val="00882088"/>
    <w:rsid w:val="008820B0"/>
    <w:rsid w:val="00882157"/>
    <w:rsid w:val="00882167"/>
    <w:rsid w:val="0088220C"/>
    <w:rsid w:val="00882270"/>
    <w:rsid w:val="008823F3"/>
    <w:rsid w:val="00882571"/>
    <w:rsid w:val="008826B2"/>
    <w:rsid w:val="00882794"/>
    <w:rsid w:val="00882844"/>
    <w:rsid w:val="00882928"/>
    <w:rsid w:val="008829DB"/>
    <w:rsid w:val="00882A29"/>
    <w:rsid w:val="00882B78"/>
    <w:rsid w:val="00882BB7"/>
    <w:rsid w:val="00882BBA"/>
    <w:rsid w:val="00882BF2"/>
    <w:rsid w:val="00882DA0"/>
    <w:rsid w:val="00882FCF"/>
    <w:rsid w:val="00883039"/>
    <w:rsid w:val="00883158"/>
    <w:rsid w:val="008831A4"/>
    <w:rsid w:val="008833C6"/>
    <w:rsid w:val="00883495"/>
    <w:rsid w:val="0088352A"/>
    <w:rsid w:val="00883578"/>
    <w:rsid w:val="00883579"/>
    <w:rsid w:val="008836FD"/>
    <w:rsid w:val="00883713"/>
    <w:rsid w:val="00883826"/>
    <w:rsid w:val="00883864"/>
    <w:rsid w:val="0088399A"/>
    <w:rsid w:val="00883A87"/>
    <w:rsid w:val="00883AD7"/>
    <w:rsid w:val="00883B64"/>
    <w:rsid w:val="00883C4D"/>
    <w:rsid w:val="00883C65"/>
    <w:rsid w:val="00883CC3"/>
    <w:rsid w:val="00883DC8"/>
    <w:rsid w:val="00883FDB"/>
    <w:rsid w:val="0088414F"/>
    <w:rsid w:val="008842D9"/>
    <w:rsid w:val="0088437A"/>
    <w:rsid w:val="00884395"/>
    <w:rsid w:val="00884412"/>
    <w:rsid w:val="00884427"/>
    <w:rsid w:val="00884580"/>
    <w:rsid w:val="008846A7"/>
    <w:rsid w:val="0088478E"/>
    <w:rsid w:val="008848F6"/>
    <w:rsid w:val="00884AC1"/>
    <w:rsid w:val="00884CED"/>
    <w:rsid w:val="00884D61"/>
    <w:rsid w:val="00884E3A"/>
    <w:rsid w:val="00884EEE"/>
    <w:rsid w:val="00884FAA"/>
    <w:rsid w:val="00884FB2"/>
    <w:rsid w:val="00884FB9"/>
    <w:rsid w:val="00884FBE"/>
    <w:rsid w:val="008850D1"/>
    <w:rsid w:val="008851C1"/>
    <w:rsid w:val="0088520C"/>
    <w:rsid w:val="0088528C"/>
    <w:rsid w:val="008852AA"/>
    <w:rsid w:val="0088544B"/>
    <w:rsid w:val="008854AB"/>
    <w:rsid w:val="008854ED"/>
    <w:rsid w:val="008855C8"/>
    <w:rsid w:val="008855D9"/>
    <w:rsid w:val="00885738"/>
    <w:rsid w:val="0088576E"/>
    <w:rsid w:val="00885784"/>
    <w:rsid w:val="00885792"/>
    <w:rsid w:val="0088581C"/>
    <w:rsid w:val="00885873"/>
    <w:rsid w:val="00885902"/>
    <w:rsid w:val="0088592D"/>
    <w:rsid w:val="008859A4"/>
    <w:rsid w:val="00885BF8"/>
    <w:rsid w:val="00885C2D"/>
    <w:rsid w:val="00885D34"/>
    <w:rsid w:val="00885D48"/>
    <w:rsid w:val="00885D6D"/>
    <w:rsid w:val="00885DCF"/>
    <w:rsid w:val="00885F9F"/>
    <w:rsid w:val="00886183"/>
    <w:rsid w:val="008861BA"/>
    <w:rsid w:val="0088623B"/>
    <w:rsid w:val="008862EC"/>
    <w:rsid w:val="008863E3"/>
    <w:rsid w:val="0088642C"/>
    <w:rsid w:val="008864A9"/>
    <w:rsid w:val="00886507"/>
    <w:rsid w:val="00886565"/>
    <w:rsid w:val="008866D2"/>
    <w:rsid w:val="00886741"/>
    <w:rsid w:val="0088677D"/>
    <w:rsid w:val="008868E0"/>
    <w:rsid w:val="0088696D"/>
    <w:rsid w:val="00886ABC"/>
    <w:rsid w:val="00886C24"/>
    <w:rsid w:val="00886E11"/>
    <w:rsid w:val="00886E60"/>
    <w:rsid w:val="00887097"/>
    <w:rsid w:val="00887176"/>
    <w:rsid w:val="008871EF"/>
    <w:rsid w:val="00887223"/>
    <w:rsid w:val="00887468"/>
    <w:rsid w:val="0088748A"/>
    <w:rsid w:val="00887521"/>
    <w:rsid w:val="0088762C"/>
    <w:rsid w:val="00887636"/>
    <w:rsid w:val="00887754"/>
    <w:rsid w:val="008877F7"/>
    <w:rsid w:val="00887844"/>
    <w:rsid w:val="00887845"/>
    <w:rsid w:val="008878EA"/>
    <w:rsid w:val="00887928"/>
    <w:rsid w:val="00887939"/>
    <w:rsid w:val="00887954"/>
    <w:rsid w:val="00887961"/>
    <w:rsid w:val="008879A6"/>
    <w:rsid w:val="00887AE7"/>
    <w:rsid w:val="00887B1E"/>
    <w:rsid w:val="00887D03"/>
    <w:rsid w:val="00887D1D"/>
    <w:rsid w:val="00887D3C"/>
    <w:rsid w:val="00887DB3"/>
    <w:rsid w:val="00887E45"/>
    <w:rsid w:val="00890035"/>
    <w:rsid w:val="00890287"/>
    <w:rsid w:val="008904E4"/>
    <w:rsid w:val="008907FE"/>
    <w:rsid w:val="008908A9"/>
    <w:rsid w:val="0089097C"/>
    <w:rsid w:val="008909C4"/>
    <w:rsid w:val="00890AB7"/>
    <w:rsid w:val="00890B1E"/>
    <w:rsid w:val="00890B89"/>
    <w:rsid w:val="00890D8F"/>
    <w:rsid w:val="00890EEC"/>
    <w:rsid w:val="00890F14"/>
    <w:rsid w:val="0089103F"/>
    <w:rsid w:val="00891065"/>
    <w:rsid w:val="008910DE"/>
    <w:rsid w:val="008911FF"/>
    <w:rsid w:val="0089124C"/>
    <w:rsid w:val="008912DB"/>
    <w:rsid w:val="00891300"/>
    <w:rsid w:val="008913D6"/>
    <w:rsid w:val="008914D2"/>
    <w:rsid w:val="0089165B"/>
    <w:rsid w:val="0089170A"/>
    <w:rsid w:val="00891765"/>
    <w:rsid w:val="00891854"/>
    <w:rsid w:val="008919C9"/>
    <w:rsid w:val="00891A6C"/>
    <w:rsid w:val="00891A8D"/>
    <w:rsid w:val="00891ACA"/>
    <w:rsid w:val="00891C03"/>
    <w:rsid w:val="00891CBF"/>
    <w:rsid w:val="00891D34"/>
    <w:rsid w:val="00891D35"/>
    <w:rsid w:val="00891D58"/>
    <w:rsid w:val="00891E98"/>
    <w:rsid w:val="00891EAA"/>
    <w:rsid w:val="00892106"/>
    <w:rsid w:val="00892180"/>
    <w:rsid w:val="00892403"/>
    <w:rsid w:val="00892458"/>
    <w:rsid w:val="00892603"/>
    <w:rsid w:val="00892837"/>
    <w:rsid w:val="0089292E"/>
    <w:rsid w:val="0089292F"/>
    <w:rsid w:val="00892970"/>
    <w:rsid w:val="00892ACF"/>
    <w:rsid w:val="00892B8B"/>
    <w:rsid w:val="00892C55"/>
    <w:rsid w:val="00892C65"/>
    <w:rsid w:val="00892C8F"/>
    <w:rsid w:val="00892CC1"/>
    <w:rsid w:val="00892D1F"/>
    <w:rsid w:val="00892E7F"/>
    <w:rsid w:val="0089304B"/>
    <w:rsid w:val="008930E5"/>
    <w:rsid w:val="0089311C"/>
    <w:rsid w:val="00893165"/>
    <w:rsid w:val="00893335"/>
    <w:rsid w:val="00893407"/>
    <w:rsid w:val="00893478"/>
    <w:rsid w:val="0089354F"/>
    <w:rsid w:val="008936C2"/>
    <w:rsid w:val="008936DD"/>
    <w:rsid w:val="008936E6"/>
    <w:rsid w:val="00893712"/>
    <w:rsid w:val="0089386D"/>
    <w:rsid w:val="00893956"/>
    <w:rsid w:val="008939DD"/>
    <w:rsid w:val="008939E5"/>
    <w:rsid w:val="00893A5F"/>
    <w:rsid w:val="00893AD4"/>
    <w:rsid w:val="00893B85"/>
    <w:rsid w:val="00893C0A"/>
    <w:rsid w:val="00893C3A"/>
    <w:rsid w:val="00893E50"/>
    <w:rsid w:val="00893EBC"/>
    <w:rsid w:val="00893EEE"/>
    <w:rsid w:val="00893EF4"/>
    <w:rsid w:val="00893F68"/>
    <w:rsid w:val="008940AA"/>
    <w:rsid w:val="008940FE"/>
    <w:rsid w:val="00894137"/>
    <w:rsid w:val="0089425B"/>
    <w:rsid w:val="00894261"/>
    <w:rsid w:val="008942E2"/>
    <w:rsid w:val="008942EB"/>
    <w:rsid w:val="00894354"/>
    <w:rsid w:val="008943EC"/>
    <w:rsid w:val="008943F0"/>
    <w:rsid w:val="00894423"/>
    <w:rsid w:val="008944BC"/>
    <w:rsid w:val="00894501"/>
    <w:rsid w:val="0089464B"/>
    <w:rsid w:val="00894665"/>
    <w:rsid w:val="008947D5"/>
    <w:rsid w:val="0089491A"/>
    <w:rsid w:val="00894A28"/>
    <w:rsid w:val="00894AB0"/>
    <w:rsid w:val="00894ADE"/>
    <w:rsid w:val="00894B27"/>
    <w:rsid w:val="00894B6B"/>
    <w:rsid w:val="00894D43"/>
    <w:rsid w:val="00894D9A"/>
    <w:rsid w:val="00894EA2"/>
    <w:rsid w:val="00895037"/>
    <w:rsid w:val="0089503C"/>
    <w:rsid w:val="00895055"/>
    <w:rsid w:val="008950D7"/>
    <w:rsid w:val="00895126"/>
    <w:rsid w:val="0089512A"/>
    <w:rsid w:val="00895278"/>
    <w:rsid w:val="008952A8"/>
    <w:rsid w:val="008953A2"/>
    <w:rsid w:val="00895438"/>
    <w:rsid w:val="0089562D"/>
    <w:rsid w:val="0089564C"/>
    <w:rsid w:val="0089571B"/>
    <w:rsid w:val="0089577C"/>
    <w:rsid w:val="00895A9D"/>
    <w:rsid w:val="00895ACE"/>
    <w:rsid w:val="00895B46"/>
    <w:rsid w:val="00895DD4"/>
    <w:rsid w:val="0089600E"/>
    <w:rsid w:val="00896084"/>
    <w:rsid w:val="008960B8"/>
    <w:rsid w:val="0089615B"/>
    <w:rsid w:val="00896298"/>
    <w:rsid w:val="008962CE"/>
    <w:rsid w:val="008965A7"/>
    <w:rsid w:val="00896613"/>
    <w:rsid w:val="00896648"/>
    <w:rsid w:val="0089664B"/>
    <w:rsid w:val="0089670A"/>
    <w:rsid w:val="0089671A"/>
    <w:rsid w:val="00896792"/>
    <w:rsid w:val="00896794"/>
    <w:rsid w:val="008967AD"/>
    <w:rsid w:val="0089684A"/>
    <w:rsid w:val="008968BD"/>
    <w:rsid w:val="008969FB"/>
    <w:rsid w:val="00896AC4"/>
    <w:rsid w:val="00896C4A"/>
    <w:rsid w:val="00896DAB"/>
    <w:rsid w:val="00896DDA"/>
    <w:rsid w:val="00896E79"/>
    <w:rsid w:val="00896EFB"/>
    <w:rsid w:val="00896F30"/>
    <w:rsid w:val="00896FF2"/>
    <w:rsid w:val="00897195"/>
    <w:rsid w:val="008971C9"/>
    <w:rsid w:val="00897353"/>
    <w:rsid w:val="008973ED"/>
    <w:rsid w:val="008974C4"/>
    <w:rsid w:val="008974E8"/>
    <w:rsid w:val="00897534"/>
    <w:rsid w:val="0089759C"/>
    <w:rsid w:val="00897637"/>
    <w:rsid w:val="00897781"/>
    <w:rsid w:val="008977AB"/>
    <w:rsid w:val="008977BA"/>
    <w:rsid w:val="00897A26"/>
    <w:rsid w:val="00897A2E"/>
    <w:rsid w:val="00897B0F"/>
    <w:rsid w:val="00897B12"/>
    <w:rsid w:val="00897B8F"/>
    <w:rsid w:val="00897BBD"/>
    <w:rsid w:val="00897BFE"/>
    <w:rsid w:val="00897C93"/>
    <w:rsid w:val="00897D5A"/>
    <w:rsid w:val="00897DDD"/>
    <w:rsid w:val="00897E3D"/>
    <w:rsid w:val="00897F45"/>
    <w:rsid w:val="00897FDD"/>
    <w:rsid w:val="008A00E7"/>
    <w:rsid w:val="008A01DF"/>
    <w:rsid w:val="008A023E"/>
    <w:rsid w:val="008A02AA"/>
    <w:rsid w:val="008A04B2"/>
    <w:rsid w:val="008A05B3"/>
    <w:rsid w:val="008A05EE"/>
    <w:rsid w:val="008A06B4"/>
    <w:rsid w:val="008A071C"/>
    <w:rsid w:val="008A074E"/>
    <w:rsid w:val="008A07A1"/>
    <w:rsid w:val="008A07B0"/>
    <w:rsid w:val="008A0A55"/>
    <w:rsid w:val="008A0B00"/>
    <w:rsid w:val="008A0B5C"/>
    <w:rsid w:val="008A0BD2"/>
    <w:rsid w:val="008A0BF1"/>
    <w:rsid w:val="008A0C4F"/>
    <w:rsid w:val="008A0D1C"/>
    <w:rsid w:val="008A0DBE"/>
    <w:rsid w:val="008A0DC5"/>
    <w:rsid w:val="008A0E04"/>
    <w:rsid w:val="008A0EE3"/>
    <w:rsid w:val="008A0F32"/>
    <w:rsid w:val="008A0F5B"/>
    <w:rsid w:val="008A10A2"/>
    <w:rsid w:val="008A11A8"/>
    <w:rsid w:val="008A11B8"/>
    <w:rsid w:val="008A121C"/>
    <w:rsid w:val="008A132F"/>
    <w:rsid w:val="008A1440"/>
    <w:rsid w:val="008A14FC"/>
    <w:rsid w:val="008A15EF"/>
    <w:rsid w:val="008A163D"/>
    <w:rsid w:val="008A16F4"/>
    <w:rsid w:val="008A197F"/>
    <w:rsid w:val="008A1A23"/>
    <w:rsid w:val="008A1B26"/>
    <w:rsid w:val="008A1C3A"/>
    <w:rsid w:val="008A1CF4"/>
    <w:rsid w:val="008A1EE8"/>
    <w:rsid w:val="008A1EF5"/>
    <w:rsid w:val="008A1F15"/>
    <w:rsid w:val="008A1FB2"/>
    <w:rsid w:val="008A1FC5"/>
    <w:rsid w:val="008A20C3"/>
    <w:rsid w:val="008A2118"/>
    <w:rsid w:val="008A21CA"/>
    <w:rsid w:val="008A2296"/>
    <w:rsid w:val="008A23D6"/>
    <w:rsid w:val="008A2432"/>
    <w:rsid w:val="008A245C"/>
    <w:rsid w:val="008A2483"/>
    <w:rsid w:val="008A255B"/>
    <w:rsid w:val="008A25BE"/>
    <w:rsid w:val="008A2617"/>
    <w:rsid w:val="008A2696"/>
    <w:rsid w:val="008A2749"/>
    <w:rsid w:val="008A27B5"/>
    <w:rsid w:val="008A2806"/>
    <w:rsid w:val="008A2886"/>
    <w:rsid w:val="008A28DA"/>
    <w:rsid w:val="008A2985"/>
    <w:rsid w:val="008A2A6F"/>
    <w:rsid w:val="008A2B2A"/>
    <w:rsid w:val="008A2B2E"/>
    <w:rsid w:val="008A2BA3"/>
    <w:rsid w:val="008A2C54"/>
    <w:rsid w:val="008A2C7F"/>
    <w:rsid w:val="008A2CC2"/>
    <w:rsid w:val="008A2CF5"/>
    <w:rsid w:val="008A2E85"/>
    <w:rsid w:val="008A2EEF"/>
    <w:rsid w:val="008A2F9E"/>
    <w:rsid w:val="008A3100"/>
    <w:rsid w:val="008A319D"/>
    <w:rsid w:val="008A3348"/>
    <w:rsid w:val="008A33E9"/>
    <w:rsid w:val="008A33EF"/>
    <w:rsid w:val="008A346E"/>
    <w:rsid w:val="008A34FA"/>
    <w:rsid w:val="008A3528"/>
    <w:rsid w:val="008A370E"/>
    <w:rsid w:val="008A380D"/>
    <w:rsid w:val="008A3A0E"/>
    <w:rsid w:val="008A3A8C"/>
    <w:rsid w:val="008A3C28"/>
    <w:rsid w:val="008A3C32"/>
    <w:rsid w:val="008A3E8F"/>
    <w:rsid w:val="008A3F34"/>
    <w:rsid w:val="008A4148"/>
    <w:rsid w:val="008A416C"/>
    <w:rsid w:val="008A416D"/>
    <w:rsid w:val="008A4306"/>
    <w:rsid w:val="008A438A"/>
    <w:rsid w:val="008A4472"/>
    <w:rsid w:val="008A447B"/>
    <w:rsid w:val="008A44DF"/>
    <w:rsid w:val="008A45BC"/>
    <w:rsid w:val="008A4604"/>
    <w:rsid w:val="008A464C"/>
    <w:rsid w:val="008A46EC"/>
    <w:rsid w:val="008A47C1"/>
    <w:rsid w:val="008A494C"/>
    <w:rsid w:val="008A4B90"/>
    <w:rsid w:val="008A4C94"/>
    <w:rsid w:val="008A4CAC"/>
    <w:rsid w:val="008A4D85"/>
    <w:rsid w:val="008A4EFC"/>
    <w:rsid w:val="008A4F20"/>
    <w:rsid w:val="008A4F7A"/>
    <w:rsid w:val="008A4F87"/>
    <w:rsid w:val="008A5014"/>
    <w:rsid w:val="008A503D"/>
    <w:rsid w:val="008A5051"/>
    <w:rsid w:val="008A506B"/>
    <w:rsid w:val="008A513F"/>
    <w:rsid w:val="008A5175"/>
    <w:rsid w:val="008A5216"/>
    <w:rsid w:val="008A532A"/>
    <w:rsid w:val="008A53B4"/>
    <w:rsid w:val="008A565E"/>
    <w:rsid w:val="008A58C8"/>
    <w:rsid w:val="008A593C"/>
    <w:rsid w:val="008A5984"/>
    <w:rsid w:val="008A5AA7"/>
    <w:rsid w:val="008A5ACE"/>
    <w:rsid w:val="008A5B5F"/>
    <w:rsid w:val="008A5B90"/>
    <w:rsid w:val="008A5BBD"/>
    <w:rsid w:val="008A5C04"/>
    <w:rsid w:val="008A5DCB"/>
    <w:rsid w:val="008A5EC5"/>
    <w:rsid w:val="008A5F26"/>
    <w:rsid w:val="008A60C5"/>
    <w:rsid w:val="008A61B6"/>
    <w:rsid w:val="008A62F0"/>
    <w:rsid w:val="008A643A"/>
    <w:rsid w:val="008A64EB"/>
    <w:rsid w:val="008A657E"/>
    <w:rsid w:val="008A663C"/>
    <w:rsid w:val="008A6647"/>
    <w:rsid w:val="008A672A"/>
    <w:rsid w:val="008A676E"/>
    <w:rsid w:val="008A6871"/>
    <w:rsid w:val="008A688B"/>
    <w:rsid w:val="008A6A24"/>
    <w:rsid w:val="008A6B2C"/>
    <w:rsid w:val="008A6B4B"/>
    <w:rsid w:val="008A6D24"/>
    <w:rsid w:val="008A6E1B"/>
    <w:rsid w:val="008A6E5E"/>
    <w:rsid w:val="008A6E70"/>
    <w:rsid w:val="008A6F7F"/>
    <w:rsid w:val="008A7096"/>
    <w:rsid w:val="008A71E0"/>
    <w:rsid w:val="008A7212"/>
    <w:rsid w:val="008A72D8"/>
    <w:rsid w:val="008A7348"/>
    <w:rsid w:val="008A75BB"/>
    <w:rsid w:val="008A765E"/>
    <w:rsid w:val="008A7866"/>
    <w:rsid w:val="008A7881"/>
    <w:rsid w:val="008A794A"/>
    <w:rsid w:val="008A79C2"/>
    <w:rsid w:val="008A7ADB"/>
    <w:rsid w:val="008A7BB9"/>
    <w:rsid w:val="008A7C3A"/>
    <w:rsid w:val="008A7CEB"/>
    <w:rsid w:val="008A7DD2"/>
    <w:rsid w:val="008A7F5F"/>
    <w:rsid w:val="008A7F78"/>
    <w:rsid w:val="008B00D3"/>
    <w:rsid w:val="008B017B"/>
    <w:rsid w:val="008B01FA"/>
    <w:rsid w:val="008B0246"/>
    <w:rsid w:val="008B0302"/>
    <w:rsid w:val="008B034C"/>
    <w:rsid w:val="008B060D"/>
    <w:rsid w:val="008B070E"/>
    <w:rsid w:val="008B072E"/>
    <w:rsid w:val="008B0731"/>
    <w:rsid w:val="008B07BA"/>
    <w:rsid w:val="008B0826"/>
    <w:rsid w:val="008B0959"/>
    <w:rsid w:val="008B0965"/>
    <w:rsid w:val="008B09FB"/>
    <w:rsid w:val="008B0A49"/>
    <w:rsid w:val="008B0AFF"/>
    <w:rsid w:val="008B0B19"/>
    <w:rsid w:val="008B0C07"/>
    <w:rsid w:val="008B0CE5"/>
    <w:rsid w:val="008B0DEC"/>
    <w:rsid w:val="008B0ED9"/>
    <w:rsid w:val="008B0F4F"/>
    <w:rsid w:val="008B1065"/>
    <w:rsid w:val="008B1076"/>
    <w:rsid w:val="008B1092"/>
    <w:rsid w:val="008B10F1"/>
    <w:rsid w:val="008B1236"/>
    <w:rsid w:val="008B12E1"/>
    <w:rsid w:val="008B1348"/>
    <w:rsid w:val="008B13F2"/>
    <w:rsid w:val="008B1486"/>
    <w:rsid w:val="008B1578"/>
    <w:rsid w:val="008B1588"/>
    <w:rsid w:val="008B16A3"/>
    <w:rsid w:val="008B16EF"/>
    <w:rsid w:val="008B17B2"/>
    <w:rsid w:val="008B17B3"/>
    <w:rsid w:val="008B180D"/>
    <w:rsid w:val="008B1826"/>
    <w:rsid w:val="008B1857"/>
    <w:rsid w:val="008B19DE"/>
    <w:rsid w:val="008B1A28"/>
    <w:rsid w:val="008B1A4B"/>
    <w:rsid w:val="008B1A8A"/>
    <w:rsid w:val="008B1AA2"/>
    <w:rsid w:val="008B1ABC"/>
    <w:rsid w:val="008B1ADC"/>
    <w:rsid w:val="008B1AFD"/>
    <w:rsid w:val="008B1B62"/>
    <w:rsid w:val="008B1BA6"/>
    <w:rsid w:val="008B1BC6"/>
    <w:rsid w:val="008B1C25"/>
    <w:rsid w:val="008B1C49"/>
    <w:rsid w:val="008B1EE7"/>
    <w:rsid w:val="008B1F36"/>
    <w:rsid w:val="008B1F65"/>
    <w:rsid w:val="008B1F8A"/>
    <w:rsid w:val="008B209A"/>
    <w:rsid w:val="008B20CB"/>
    <w:rsid w:val="008B20DF"/>
    <w:rsid w:val="008B216B"/>
    <w:rsid w:val="008B218F"/>
    <w:rsid w:val="008B2205"/>
    <w:rsid w:val="008B2226"/>
    <w:rsid w:val="008B229B"/>
    <w:rsid w:val="008B22F7"/>
    <w:rsid w:val="008B23E7"/>
    <w:rsid w:val="008B240A"/>
    <w:rsid w:val="008B24CC"/>
    <w:rsid w:val="008B2789"/>
    <w:rsid w:val="008B279A"/>
    <w:rsid w:val="008B27EB"/>
    <w:rsid w:val="008B2946"/>
    <w:rsid w:val="008B2ADE"/>
    <w:rsid w:val="008B2B5E"/>
    <w:rsid w:val="008B2B94"/>
    <w:rsid w:val="008B2CE3"/>
    <w:rsid w:val="008B2D74"/>
    <w:rsid w:val="008B2E1F"/>
    <w:rsid w:val="008B3117"/>
    <w:rsid w:val="008B32F7"/>
    <w:rsid w:val="008B331C"/>
    <w:rsid w:val="008B3320"/>
    <w:rsid w:val="008B363D"/>
    <w:rsid w:val="008B36A0"/>
    <w:rsid w:val="008B3816"/>
    <w:rsid w:val="008B384A"/>
    <w:rsid w:val="008B3888"/>
    <w:rsid w:val="008B38A0"/>
    <w:rsid w:val="008B38FD"/>
    <w:rsid w:val="008B3980"/>
    <w:rsid w:val="008B3CF9"/>
    <w:rsid w:val="008B3D41"/>
    <w:rsid w:val="008B3D46"/>
    <w:rsid w:val="008B3D9B"/>
    <w:rsid w:val="008B3DC0"/>
    <w:rsid w:val="008B3E77"/>
    <w:rsid w:val="008B4088"/>
    <w:rsid w:val="008B4265"/>
    <w:rsid w:val="008B436E"/>
    <w:rsid w:val="008B43CD"/>
    <w:rsid w:val="008B449C"/>
    <w:rsid w:val="008B453E"/>
    <w:rsid w:val="008B45E3"/>
    <w:rsid w:val="008B4636"/>
    <w:rsid w:val="008B46A9"/>
    <w:rsid w:val="008B477F"/>
    <w:rsid w:val="008B482F"/>
    <w:rsid w:val="008B4872"/>
    <w:rsid w:val="008B4886"/>
    <w:rsid w:val="008B4897"/>
    <w:rsid w:val="008B48DA"/>
    <w:rsid w:val="008B49A9"/>
    <w:rsid w:val="008B49B9"/>
    <w:rsid w:val="008B4A5E"/>
    <w:rsid w:val="008B4BBC"/>
    <w:rsid w:val="008B4E96"/>
    <w:rsid w:val="008B4EB9"/>
    <w:rsid w:val="008B4F84"/>
    <w:rsid w:val="008B50D9"/>
    <w:rsid w:val="008B519C"/>
    <w:rsid w:val="008B52AD"/>
    <w:rsid w:val="008B52F7"/>
    <w:rsid w:val="008B5477"/>
    <w:rsid w:val="008B5504"/>
    <w:rsid w:val="008B5599"/>
    <w:rsid w:val="008B55E4"/>
    <w:rsid w:val="008B5805"/>
    <w:rsid w:val="008B594D"/>
    <w:rsid w:val="008B5B10"/>
    <w:rsid w:val="008B5B63"/>
    <w:rsid w:val="008B5C47"/>
    <w:rsid w:val="008B5C54"/>
    <w:rsid w:val="008B5C68"/>
    <w:rsid w:val="008B5C98"/>
    <w:rsid w:val="008B5FA7"/>
    <w:rsid w:val="008B5FEF"/>
    <w:rsid w:val="008B6011"/>
    <w:rsid w:val="008B6089"/>
    <w:rsid w:val="008B60A3"/>
    <w:rsid w:val="008B628D"/>
    <w:rsid w:val="008B62FA"/>
    <w:rsid w:val="008B63E0"/>
    <w:rsid w:val="008B63E3"/>
    <w:rsid w:val="008B63FA"/>
    <w:rsid w:val="008B64DA"/>
    <w:rsid w:val="008B65E3"/>
    <w:rsid w:val="008B660D"/>
    <w:rsid w:val="008B6824"/>
    <w:rsid w:val="008B6AEA"/>
    <w:rsid w:val="008B6BAB"/>
    <w:rsid w:val="008B6BF9"/>
    <w:rsid w:val="008B6CA4"/>
    <w:rsid w:val="008B6CC7"/>
    <w:rsid w:val="008B6D59"/>
    <w:rsid w:val="008B6DB0"/>
    <w:rsid w:val="008B6DDC"/>
    <w:rsid w:val="008B6DF0"/>
    <w:rsid w:val="008B6E35"/>
    <w:rsid w:val="008B6EFF"/>
    <w:rsid w:val="008B6F57"/>
    <w:rsid w:val="008B7019"/>
    <w:rsid w:val="008B707B"/>
    <w:rsid w:val="008B70B1"/>
    <w:rsid w:val="008B7141"/>
    <w:rsid w:val="008B726A"/>
    <w:rsid w:val="008B7278"/>
    <w:rsid w:val="008B72B2"/>
    <w:rsid w:val="008B7313"/>
    <w:rsid w:val="008B7408"/>
    <w:rsid w:val="008B745D"/>
    <w:rsid w:val="008B75CD"/>
    <w:rsid w:val="008B760F"/>
    <w:rsid w:val="008B7632"/>
    <w:rsid w:val="008B77C4"/>
    <w:rsid w:val="008B7959"/>
    <w:rsid w:val="008B795D"/>
    <w:rsid w:val="008B79E8"/>
    <w:rsid w:val="008B7A17"/>
    <w:rsid w:val="008B7A8D"/>
    <w:rsid w:val="008B7AAB"/>
    <w:rsid w:val="008B7BD1"/>
    <w:rsid w:val="008B7C3B"/>
    <w:rsid w:val="008B7C7F"/>
    <w:rsid w:val="008B7E4A"/>
    <w:rsid w:val="008B7E8B"/>
    <w:rsid w:val="008B7FAF"/>
    <w:rsid w:val="008B7FBA"/>
    <w:rsid w:val="008B7FD1"/>
    <w:rsid w:val="008B7FEA"/>
    <w:rsid w:val="008C0044"/>
    <w:rsid w:val="008C0065"/>
    <w:rsid w:val="008C0156"/>
    <w:rsid w:val="008C030A"/>
    <w:rsid w:val="008C0405"/>
    <w:rsid w:val="008C053C"/>
    <w:rsid w:val="008C084D"/>
    <w:rsid w:val="008C08E7"/>
    <w:rsid w:val="008C09C3"/>
    <w:rsid w:val="008C0A0F"/>
    <w:rsid w:val="008C0A2C"/>
    <w:rsid w:val="008C0ACB"/>
    <w:rsid w:val="008C0B8A"/>
    <w:rsid w:val="008C0D5D"/>
    <w:rsid w:val="008C0DC7"/>
    <w:rsid w:val="008C0E60"/>
    <w:rsid w:val="008C0E7A"/>
    <w:rsid w:val="008C0F57"/>
    <w:rsid w:val="008C0F83"/>
    <w:rsid w:val="008C0FD1"/>
    <w:rsid w:val="008C1235"/>
    <w:rsid w:val="008C1284"/>
    <w:rsid w:val="008C134A"/>
    <w:rsid w:val="008C141F"/>
    <w:rsid w:val="008C148C"/>
    <w:rsid w:val="008C149E"/>
    <w:rsid w:val="008C152E"/>
    <w:rsid w:val="008C156A"/>
    <w:rsid w:val="008C1572"/>
    <w:rsid w:val="008C15C5"/>
    <w:rsid w:val="008C1690"/>
    <w:rsid w:val="008C16A8"/>
    <w:rsid w:val="008C16DE"/>
    <w:rsid w:val="008C16E9"/>
    <w:rsid w:val="008C176E"/>
    <w:rsid w:val="008C17C9"/>
    <w:rsid w:val="008C18B0"/>
    <w:rsid w:val="008C1972"/>
    <w:rsid w:val="008C19A5"/>
    <w:rsid w:val="008C19E1"/>
    <w:rsid w:val="008C1A84"/>
    <w:rsid w:val="008C1ABD"/>
    <w:rsid w:val="008C1ACD"/>
    <w:rsid w:val="008C1C88"/>
    <w:rsid w:val="008C1CCD"/>
    <w:rsid w:val="008C1CD8"/>
    <w:rsid w:val="008C1D16"/>
    <w:rsid w:val="008C1E47"/>
    <w:rsid w:val="008C1EC3"/>
    <w:rsid w:val="008C1F30"/>
    <w:rsid w:val="008C1F52"/>
    <w:rsid w:val="008C1F5C"/>
    <w:rsid w:val="008C212E"/>
    <w:rsid w:val="008C2160"/>
    <w:rsid w:val="008C21DD"/>
    <w:rsid w:val="008C22FF"/>
    <w:rsid w:val="008C23B2"/>
    <w:rsid w:val="008C23D9"/>
    <w:rsid w:val="008C245F"/>
    <w:rsid w:val="008C25B9"/>
    <w:rsid w:val="008C27E2"/>
    <w:rsid w:val="008C287E"/>
    <w:rsid w:val="008C289A"/>
    <w:rsid w:val="008C2A1A"/>
    <w:rsid w:val="008C2A6D"/>
    <w:rsid w:val="008C2B35"/>
    <w:rsid w:val="008C2BD0"/>
    <w:rsid w:val="008C2E0F"/>
    <w:rsid w:val="008C2FA2"/>
    <w:rsid w:val="008C2FCD"/>
    <w:rsid w:val="008C3015"/>
    <w:rsid w:val="008C30CE"/>
    <w:rsid w:val="008C30F1"/>
    <w:rsid w:val="008C31E5"/>
    <w:rsid w:val="008C3222"/>
    <w:rsid w:val="008C3337"/>
    <w:rsid w:val="008C33F8"/>
    <w:rsid w:val="008C3429"/>
    <w:rsid w:val="008C36E6"/>
    <w:rsid w:val="008C3707"/>
    <w:rsid w:val="008C3935"/>
    <w:rsid w:val="008C3A5D"/>
    <w:rsid w:val="008C3D0D"/>
    <w:rsid w:val="008C3D1B"/>
    <w:rsid w:val="008C3E13"/>
    <w:rsid w:val="008C3EC9"/>
    <w:rsid w:val="008C3F40"/>
    <w:rsid w:val="008C3F60"/>
    <w:rsid w:val="008C3F88"/>
    <w:rsid w:val="008C4093"/>
    <w:rsid w:val="008C424C"/>
    <w:rsid w:val="008C430E"/>
    <w:rsid w:val="008C4351"/>
    <w:rsid w:val="008C441B"/>
    <w:rsid w:val="008C441F"/>
    <w:rsid w:val="008C4606"/>
    <w:rsid w:val="008C46F8"/>
    <w:rsid w:val="008C4711"/>
    <w:rsid w:val="008C4748"/>
    <w:rsid w:val="008C475C"/>
    <w:rsid w:val="008C479A"/>
    <w:rsid w:val="008C47CB"/>
    <w:rsid w:val="008C4828"/>
    <w:rsid w:val="008C48D0"/>
    <w:rsid w:val="008C4927"/>
    <w:rsid w:val="008C4A69"/>
    <w:rsid w:val="008C4C99"/>
    <w:rsid w:val="008C4DEF"/>
    <w:rsid w:val="008C4DF4"/>
    <w:rsid w:val="008C4F08"/>
    <w:rsid w:val="008C4F67"/>
    <w:rsid w:val="008C4FA4"/>
    <w:rsid w:val="008C50E9"/>
    <w:rsid w:val="008C5167"/>
    <w:rsid w:val="008C516A"/>
    <w:rsid w:val="008C517E"/>
    <w:rsid w:val="008C51DC"/>
    <w:rsid w:val="008C53AF"/>
    <w:rsid w:val="008C54B9"/>
    <w:rsid w:val="008C5506"/>
    <w:rsid w:val="008C5593"/>
    <w:rsid w:val="008C5637"/>
    <w:rsid w:val="008C565E"/>
    <w:rsid w:val="008C56E0"/>
    <w:rsid w:val="008C57D0"/>
    <w:rsid w:val="008C581F"/>
    <w:rsid w:val="008C586B"/>
    <w:rsid w:val="008C588C"/>
    <w:rsid w:val="008C5911"/>
    <w:rsid w:val="008C5938"/>
    <w:rsid w:val="008C5983"/>
    <w:rsid w:val="008C5A3C"/>
    <w:rsid w:val="008C5A4F"/>
    <w:rsid w:val="008C5AD9"/>
    <w:rsid w:val="008C5C43"/>
    <w:rsid w:val="008C5C81"/>
    <w:rsid w:val="008C5CE9"/>
    <w:rsid w:val="008C5CFB"/>
    <w:rsid w:val="008C5D0D"/>
    <w:rsid w:val="008C5D64"/>
    <w:rsid w:val="008C5D9D"/>
    <w:rsid w:val="008C5ED2"/>
    <w:rsid w:val="008C5F70"/>
    <w:rsid w:val="008C5F83"/>
    <w:rsid w:val="008C5FFF"/>
    <w:rsid w:val="008C6002"/>
    <w:rsid w:val="008C615B"/>
    <w:rsid w:val="008C6171"/>
    <w:rsid w:val="008C61E0"/>
    <w:rsid w:val="008C626E"/>
    <w:rsid w:val="008C6310"/>
    <w:rsid w:val="008C63A6"/>
    <w:rsid w:val="008C6432"/>
    <w:rsid w:val="008C6660"/>
    <w:rsid w:val="008C66D8"/>
    <w:rsid w:val="008C673E"/>
    <w:rsid w:val="008C67AF"/>
    <w:rsid w:val="008C6862"/>
    <w:rsid w:val="008C6868"/>
    <w:rsid w:val="008C6872"/>
    <w:rsid w:val="008C68C9"/>
    <w:rsid w:val="008C69DB"/>
    <w:rsid w:val="008C6A19"/>
    <w:rsid w:val="008C6AE8"/>
    <w:rsid w:val="008C6BA8"/>
    <w:rsid w:val="008C6C52"/>
    <w:rsid w:val="008C6C6A"/>
    <w:rsid w:val="008C6C94"/>
    <w:rsid w:val="008C6CCD"/>
    <w:rsid w:val="008C6D12"/>
    <w:rsid w:val="008C6DA5"/>
    <w:rsid w:val="008C6DE9"/>
    <w:rsid w:val="008C6E56"/>
    <w:rsid w:val="008C6E57"/>
    <w:rsid w:val="008C6E62"/>
    <w:rsid w:val="008C6E7A"/>
    <w:rsid w:val="008C6EDF"/>
    <w:rsid w:val="008C6F2E"/>
    <w:rsid w:val="008C6FE3"/>
    <w:rsid w:val="008C70CD"/>
    <w:rsid w:val="008C712A"/>
    <w:rsid w:val="008C7139"/>
    <w:rsid w:val="008C7152"/>
    <w:rsid w:val="008C718C"/>
    <w:rsid w:val="008C71C9"/>
    <w:rsid w:val="008C720F"/>
    <w:rsid w:val="008C7348"/>
    <w:rsid w:val="008C739E"/>
    <w:rsid w:val="008C7414"/>
    <w:rsid w:val="008C76EE"/>
    <w:rsid w:val="008C777E"/>
    <w:rsid w:val="008C77C3"/>
    <w:rsid w:val="008C77E3"/>
    <w:rsid w:val="008C78D0"/>
    <w:rsid w:val="008C792E"/>
    <w:rsid w:val="008C7A01"/>
    <w:rsid w:val="008C7A1C"/>
    <w:rsid w:val="008C7A66"/>
    <w:rsid w:val="008C7AF3"/>
    <w:rsid w:val="008C7B7B"/>
    <w:rsid w:val="008C7B9D"/>
    <w:rsid w:val="008C7C22"/>
    <w:rsid w:val="008C7D53"/>
    <w:rsid w:val="008C7DE0"/>
    <w:rsid w:val="008C7EE6"/>
    <w:rsid w:val="008D022D"/>
    <w:rsid w:val="008D031F"/>
    <w:rsid w:val="008D0381"/>
    <w:rsid w:val="008D04C6"/>
    <w:rsid w:val="008D0531"/>
    <w:rsid w:val="008D057A"/>
    <w:rsid w:val="008D05BE"/>
    <w:rsid w:val="008D061F"/>
    <w:rsid w:val="008D0A2C"/>
    <w:rsid w:val="008D0D3E"/>
    <w:rsid w:val="008D0E44"/>
    <w:rsid w:val="008D0E61"/>
    <w:rsid w:val="008D0EFC"/>
    <w:rsid w:val="008D0FE1"/>
    <w:rsid w:val="008D1139"/>
    <w:rsid w:val="008D1161"/>
    <w:rsid w:val="008D11FB"/>
    <w:rsid w:val="008D12A9"/>
    <w:rsid w:val="008D13C7"/>
    <w:rsid w:val="008D13DA"/>
    <w:rsid w:val="008D1639"/>
    <w:rsid w:val="008D167B"/>
    <w:rsid w:val="008D16B0"/>
    <w:rsid w:val="008D177F"/>
    <w:rsid w:val="008D17F1"/>
    <w:rsid w:val="008D1950"/>
    <w:rsid w:val="008D19AE"/>
    <w:rsid w:val="008D1A63"/>
    <w:rsid w:val="008D1BDC"/>
    <w:rsid w:val="008D1BEC"/>
    <w:rsid w:val="008D1C0A"/>
    <w:rsid w:val="008D1C0C"/>
    <w:rsid w:val="008D1DD2"/>
    <w:rsid w:val="008D203E"/>
    <w:rsid w:val="008D20A2"/>
    <w:rsid w:val="008D211B"/>
    <w:rsid w:val="008D2124"/>
    <w:rsid w:val="008D2376"/>
    <w:rsid w:val="008D2412"/>
    <w:rsid w:val="008D2512"/>
    <w:rsid w:val="008D256B"/>
    <w:rsid w:val="008D25AC"/>
    <w:rsid w:val="008D267B"/>
    <w:rsid w:val="008D26CE"/>
    <w:rsid w:val="008D2724"/>
    <w:rsid w:val="008D2857"/>
    <w:rsid w:val="008D2883"/>
    <w:rsid w:val="008D28F7"/>
    <w:rsid w:val="008D2919"/>
    <w:rsid w:val="008D29C8"/>
    <w:rsid w:val="008D2A2B"/>
    <w:rsid w:val="008D2B21"/>
    <w:rsid w:val="008D2B7D"/>
    <w:rsid w:val="008D2DBC"/>
    <w:rsid w:val="008D2EE4"/>
    <w:rsid w:val="008D2F14"/>
    <w:rsid w:val="008D2F73"/>
    <w:rsid w:val="008D307E"/>
    <w:rsid w:val="008D3128"/>
    <w:rsid w:val="008D317F"/>
    <w:rsid w:val="008D32E2"/>
    <w:rsid w:val="008D330D"/>
    <w:rsid w:val="008D33BA"/>
    <w:rsid w:val="008D3527"/>
    <w:rsid w:val="008D352F"/>
    <w:rsid w:val="008D3548"/>
    <w:rsid w:val="008D354F"/>
    <w:rsid w:val="008D3704"/>
    <w:rsid w:val="008D37B9"/>
    <w:rsid w:val="008D37D1"/>
    <w:rsid w:val="008D3945"/>
    <w:rsid w:val="008D3AD7"/>
    <w:rsid w:val="008D3B59"/>
    <w:rsid w:val="008D3B93"/>
    <w:rsid w:val="008D3BE3"/>
    <w:rsid w:val="008D3D7E"/>
    <w:rsid w:val="008D3DFD"/>
    <w:rsid w:val="008D3E30"/>
    <w:rsid w:val="008D4008"/>
    <w:rsid w:val="008D4045"/>
    <w:rsid w:val="008D42A6"/>
    <w:rsid w:val="008D4300"/>
    <w:rsid w:val="008D4358"/>
    <w:rsid w:val="008D456D"/>
    <w:rsid w:val="008D45EF"/>
    <w:rsid w:val="008D4643"/>
    <w:rsid w:val="008D46FE"/>
    <w:rsid w:val="008D470A"/>
    <w:rsid w:val="008D4716"/>
    <w:rsid w:val="008D472D"/>
    <w:rsid w:val="008D487A"/>
    <w:rsid w:val="008D4894"/>
    <w:rsid w:val="008D4A76"/>
    <w:rsid w:val="008D4B02"/>
    <w:rsid w:val="008D4C43"/>
    <w:rsid w:val="008D4CE6"/>
    <w:rsid w:val="008D4D59"/>
    <w:rsid w:val="008D4D96"/>
    <w:rsid w:val="008D4E32"/>
    <w:rsid w:val="008D4E44"/>
    <w:rsid w:val="008D51FD"/>
    <w:rsid w:val="008D528F"/>
    <w:rsid w:val="008D52DB"/>
    <w:rsid w:val="008D52DE"/>
    <w:rsid w:val="008D54CF"/>
    <w:rsid w:val="008D5534"/>
    <w:rsid w:val="008D55AC"/>
    <w:rsid w:val="008D56EC"/>
    <w:rsid w:val="008D56F2"/>
    <w:rsid w:val="008D592A"/>
    <w:rsid w:val="008D5937"/>
    <w:rsid w:val="008D59F2"/>
    <w:rsid w:val="008D5AA4"/>
    <w:rsid w:val="008D5ABC"/>
    <w:rsid w:val="008D5AD6"/>
    <w:rsid w:val="008D5B54"/>
    <w:rsid w:val="008D5BDC"/>
    <w:rsid w:val="008D5C91"/>
    <w:rsid w:val="008D5CD0"/>
    <w:rsid w:val="008D6029"/>
    <w:rsid w:val="008D613B"/>
    <w:rsid w:val="008D6140"/>
    <w:rsid w:val="008D615D"/>
    <w:rsid w:val="008D6178"/>
    <w:rsid w:val="008D619B"/>
    <w:rsid w:val="008D625B"/>
    <w:rsid w:val="008D6286"/>
    <w:rsid w:val="008D62D1"/>
    <w:rsid w:val="008D6334"/>
    <w:rsid w:val="008D63B3"/>
    <w:rsid w:val="008D6429"/>
    <w:rsid w:val="008D660C"/>
    <w:rsid w:val="008D6670"/>
    <w:rsid w:val="008D6A03"/>
    <w:rsid w:val="008D6C57"/>
    <w:rsid w:val="008D6C7B"/>
    <w:rsid w:val="008D6C9A"/>
    <w:rsid w:val="008D6D68"/>
    <w:rsid w:val="008D6D8C"/>
    <w:rsid w:val="008D6E63"/>
    <w:rsid w:val="008D6E94"/>
    <w:rsid w:val="008D6FCE"/>
    <w:rsid w:val="008D7119"/>
    <w:rsid w:val="008D71B8"/>
    <w:rsid w:val="008D71E2"/>
    <w:rsid w:val="008D73D7"/>
    <w:rsid w:val="008D74DA"/>
    <w:rsid w:val="008D7561"/>
    <w:rsid w:val="008D7658"/>
    <w:rsid w:val="008D7699"/>
    <w:rsid w:val="008D76B3"/>
    <w:rsid w:val="008D7720"/>
    <w:rsid w:val="008D7748"/>
    <w:rsid w:val="008D7834"/>
    <w:rsid w:val="008D7855"/>
    <w:rsid w:val="008D7983"/>
    <w:rsid w:val="008D7B36"/>
    <w:rsid w:val="008D7B3E"/>
    <w:rsid w:val="008D7B52"/>
    <w:rsid w:val="008D7BAB"/>
    <w:rsid w:val="008D7C55"/>
    <w:rsid w:val="008D7E8A"/>
    <w:rsid w:val="008D7F3E"/>
    <w:rsid w:val="008D7F74"/>
    <w:rsid w:val="008D7FA1"/>
    <w:rsid w:val="008E00D4"/>
    <w:rsid w:val="008E00F4"/>
    <w:rsid w:val="008E012C"/>
    <w:rsid w:val="008E0195"/>
    <w:rsid w:val="008E02BC"/>
    <w:rsid w:val="008E0363"/>
    <w:rsid w:val="008E060A"/>
    <w:rsid w:val="008E0652"/>
    <w:rsid w:val="008E06DA"/>
    <w:rsid w:val="008E070F"/>
    <w:rsid w:val="008E0716"/>
    <w:rsid w:val="008E0811"/>
    <w:rsid w:val="008E0831"/>
    <w:rsid w:val="008E0A82"/>
    <w:rsid w:val="008E0B07"/>
    <w:rsid w:val="008E0B2E"/>
    <w:rsid w:val="008E0B91"/>
    <w:rsid w:val="008E0B92"/>
    <w:rsid w:val="008E0C6C"/>
    <w:rsid w:val="008E0C9D"/>
    <w:rsid w:val="008E0D9C"/>
    <w:rsid w:val="008E0EA6"/>
    <w:rsid w:val="008E0F7B"/>
    <w:rsid w:val="008E0FB8"/>
    <w:rsid w:val="008E0FFB"/>
    <w:rsid w:val="008E1090"/>
    <w:rsid w:val="008E13C1"/>
    <w:rsid w:val="008E148E"/>
    <w:rsid w:val="008E1599"/>
    <w:rsid w:val="008E165C"/>
    <w:rsid w:val="008E16E9"/>
    <w:rsid w:val="008E1700"/>
    <w:rsid w:val="008E184D"/>
    <w:rsid w:val="008E186E"/>
    <w:rsid w:val="008E1894"/>
    <w:rsid w:val="008E197D"/>
    <w:rsid w:val="008E19A6"/>
    <w:rsid w:val="008E19DD"/>
    <w:rsid w:val="008E19F1"/>
    <w:rsid w:val="008E1BB2"/>
    <w:rsid w:val="008E1D39"/>
    <w:rsid w:val="008E1D3F"/>
    <w:rsid w:val="008E1D7A"/>
    <w:rsid w:val="008E1DA0"/>
    <w:rsid w:val="008E1EAC"/>
    <w:rsid w:val="008E1EBD"/>
    <w:rsid w:val="008E1F8C"/>
    <w:rsid w:val="008E2033"/>
    <w:rsid w:val="008E2272"/>
    <w:rsid w:val="008E22D5"/>
    <w:rsid w:val="008E2377"/>
    <w:rsid w:val="008E23A3"/>
    <w:rsid w:val="008E23EB"/>
    <w:rsid w:val="008E252F"/>
    <w:rsid w:val="008E2628"/>
    <w:rsid w:val="008E2664"/>
    <w:rsid w:val="008E2735"/>
    <w:rsid w:val="008E276B"/>
    <w:rsid w:val="008E282D"/>
    <w:rsid w:val="008E286E"/>
    <w:rsid w:val="008E2B9B"/>
    <w:rsid w:val="008E2BFB"/>
    <w:rsid w:val="008E2DBC"/>
    <w:rsid w:val="008E2DC9"/>
    <w:rsid w:val="008E307D"/>
    <w:rsid w:val="008E30A0"/>
    <w:rsid w:val="008E3150"/>
    <w:rsid w:val="008E3293"/>
    <w:rsid w:val="008E338C"/>
    <w:rsid w:val="008E346E"/>
    <w:rsid w:val="008E3547"/>
    <w:rsid w:val="008E3557"/>
    <w:rsid w:val="008E35CE"/>
    <w:rsid w:val="008E36E5"/>
    <w:rsid w:val="008E37B6"/>
    <w:rsid w:val="008E3829"/>
    <w:rsid w:val="008E38B3"/>
    <w:rsid w:val="008E39A4"/>
    <w:rsid w:val="008E39B6"/>
    <w:rsid w:val="008E39CF"/>
    <w:rsid w:val="008E39DD"/>
    <w:rsid w:val="008E3A6A"/>
    <w:rsid w:val="008E3C10"/>
    <w:rsid w:val="008E3CE2"/>
    <w:rsid w:val="008E3EA0"/>
    <w:rsid w:val="008E3EB3"/>
    <w:rsid w:val="008E4147"/>
    <w:rsid w:val="008E4176"/>
    <w:rsid w:val="008E419D"/>
    <w:rsid w:val="008E41E0"/>
    <w:rsid w:val="008E425C"/>
    <w:rsid w:val="008E42A8"/>
    <w:rsid w:val="008E4449"/>
    <w:rsid w:val="008E44F9"/>
    <w:rsid w:val="008E4553"/>
    <w:rsid w:val="008E456E"/>
    <w:rsid w:val="008E4783"/>
    <w:rsid w:val="008E4804"/>
    <w:rsid w:val="008E4878"/>
    <w:rsid w:val="008E4971"/>
    <w:rsid w:val="008E4A38"/>
    <w:rsid w:val="008E4A39"/>
    <w:rsid w:val="008E4ABD"/>
    <w:rsid w:val="008E4B30"/>
    <w:rsid w:val="008E4CB7"/>
    <w:rsid w:val="008E4FC9"/>
    <w:rsid w:val="008E4FDE"/>
    <w:rsid w:val="008E4FF5"/>
    <w:rsid w:val="008E50D4"/>
    <w:rsid w:val="008E5180"/>
    <w:rsid w:val="008E5598"/>
    <w:rsid w:val="008E5702"/>
    <w:rsid w:val="008E57B8"/>
    <w:rsid w:val="008E5837"/>
    <w:rsid w:val="008E5850"/>
    <w:rsid w:val="008E596E"/>
    <w:rsid w:val="008E5B1D"/>
    <w:rsid w:val="008E5B50"/>
    <w:rsid w:val="008E5BCB"/>
    <w:rsid w:val="008E5D55"/>
    <w:rsid w:val="008E5D9B"/>
    <w:rsid w:val="008E5E60"/>
    <w:rsid w:val="008E5EFD"/>
    <w:rsid w:val="008E5F6C"/>
    <w:rsid w:val="008E6071"/>
    <w:rsid w:val="008E619D"/>
    <w:rsid w:val="008E623F"/>
    <w:rsid w:val="008E6268"/>
    <w:rsid w:val="008E6323"/>
    <w:rsid w:val="008E64D5"/>
    <w:rsid w:val="008E64EC"/>
    <w:rsid w:val="008E6555"/>
    <w:rsid w:val="008E65F2"/>
    <w:rsid w:val="008E664B"/>
    <w:rsid w:val="008E6768"/>
    <w:rsid w:val="008E67B0"/>
    <w:rsid w:val="008E6901"/>
    <w:rsid w:val="008E694D"/>
    <w:rsid w:val="008E69FA"/>
    <w:rsid w:val="008E6A74"/>
    <w:rsid w:val="008E6ABA"/>
    <w:rsid w:val="008E6AE7"/>
    <w:rsid w:val="008E6C0E"/>
    <w:rsid w:val="008E6C4B"/>
    <w:rsid w:val="008E6D16"/>
    <w:rsid w:val="008E6E61"/>
    <w:rsid w:val="008E6F60"/>
    <w:rsid w:val="008E7236"/>
    <w:rsid w:val="008E73C1"/>
    <w:rsid w:val="008E744A"/>
    <w:rsid w:val="008E7498"/>
    <w:rsid w:val="008E74BE"/>
    <w:rsid w:val="008E75CC"/>
    <w:rsid w:val="008E7735"/>
    <w:rsid w:val="008E77C6"/>
    <w:rsid w:val="008E7890"/>
    <w:rsid w:val="008E7892"/>
    <w:rsid w:val="008E78DE"/>
    <w:rsid w:val="008E7926"/>
    <w:rsid w:val="008E7941"/>
    <w:rsid w:val="008E7B1F"/>
    <w:rsid w:val="008E7BA5"/>
    <w:rsid w:val="008E7C81"/>
    <w:rsid w:val="008E7CE7"/>
    <w:rsid w:val="008E7DCD"/>
    <w:rsid w:val="008E7E8E"/>
    <w:rsid w:val="008E7F99"/>
    <w:rsid w:val="008F0022"/>
    <w:rsid w:val="008F0054"/>
    <w:rsid w:val="008F00D8"/>
    <w:rsid w:val="008F018B"/>
    <w:rsid w:val="008F01E1"/>
    <w:rsid w:val="008F0369"/>
    <w:rsid w:val="008F0487"/>
    <w:rsid w:val="008F054B"/>
    <w:rsid w:val="008F0554"/>
    <w:rsid w:val="008F05A8"/>
    <w:rsid w:val="008F0684"/>
    <w:rsid w:val="008F06DE"/>
    <w:rsid w:val="008F06E3"/>
    <w:rsid w:val="008F06EE"/>
    <w:rsid w:val="008F07C0"/>
    <w:rsid w:val="008F07C5"/>
    <w:rsid w:val="008F0897"/>
    <w:rsid w:val="008F091A"/>
    <w:rsid w:val="008F0920"/>
    <w:rsid w:val="008F099A"/>
    <w:rsid w:val="008F0A27"/>
    <w:rsid w:val="008F0A30"/>
    <w:rsid w:val="008F0AA6"/>
    <w:rsid w:val="008F0B8C"/>
    <w:rsid w:val="008F0D5A"/>
    <w:rsid w:val="008F0DEE"/>
    <w:rsid w:val="008F0E43"/>
    <w:rsid w:val="008F0E92"/>
    <w:rsid w:val="008F0F10"/>
    <w:rsid w:val="008F0F9B"/>
    <w:rsid w:val="008F106A"/>
    <w:rsid w:val="008F1119"/>
    <w:rsid w:val="008F11D9"/>
    <w:rsid w:val="008F1393"/>
    <w:rsid w:val="008F172D"/>
    <w:rsid w:val="008F1778"/>
    <w:rsid w:val="008F1792"/>
    <w:rsid w:val="008F19EA"/>
    <w:rsid w:val="008F1A67"/>
    <w:rsid w:val="008F1AB7"/>
    <w:rsid w:val="008F1ABA"/>
    <w:rsid w:val="008F1AED"/>
    <w:rsid w:val="008F1C24"/>
    <w:rsid w:val="008F1D35"/>
    <w:rsid w:val="008F1EA0"/>
    <w:rsid w:val="008F1EA7"/>
    <w:rsid w:val="008F1EFB"/>
    <w:rsid w:val="008F1F11"/>
    <w:rsid w:val="008F20A3"/>
    <w:rsid w:val="008F20D0"/>
    <w:rsid w:val="008F21AA"/>
    <w:rsid w:val="008F21E7"/>
    <w:rsid w:val="008F22B9"/>
    <w:rsid w:val="008F243E"/>
    <w:rsid w:val="008F2488"/>
    <w:rsid w:val="008F255A"/>
    <w:rsid w:val="008F26C5"/>
    <w:rsid w:val="008F286A"/>
    <w:rsid w:val="008F28D5"/>
    <w:rsid w:val="008F28DD"/>
    <w:rsid w:val="008F28EF"/>
    <w:rsid w:val="008F29B5"/>
    <w:rsid w:val="008F2ABD"/>
    <w:rsid w:val="008F2AED"/>
    <w:rsid w:val="008F2B43"/>
    <w:rsid w:val="008F2C3A"/>
    <w:rsid w:val="008F2C93"/>
    <w:rsid w:val="008F2CD7"/>
    <w:rsid w:val="008F2E47"/>
    <w:rsid w:val="008F2EB9"/>
    <w:rsid w:val="008F2F2D"/>
    <w:rsid w:val="008F311D"/>
    <w:rsid w:val="008F3237"/>
    <w:rsid w:val="008F3369"/>
    <w:rsid w:val="008F3510"/>
    <w:rsid w:val="008F3724"/>
    <w:rsid w:val="008F37A6"/>
    <w:rsid w:val="008F384B"/>
    <w:rsid w:val="008F387F"/>
    <w:rsid w:val="008F38B6"/>
    <w:rsid w:val="008F3958"/>
    <w:rsid w:val="008F3ABD"/>
    <w:rsid w:val="008F3C3D"/>
    <w:rsid w:val="008F3CDC"/>
    <w:rsid w:val="008F3E2D"/>
    <w:rsid w:val="008F3EDB"/>
    <w:rsid w:val="008F3F0B"/>
    <w:rsid w:val="008F40EE"/>
    <w:rsid w:val="008F416D"/>
    <w:rsid w:val="008F4202"/>
    <w:rsid w:val="008F42CF"/>
    <w:rsid w:val="008F42E4"/>
    <w:rsid w:val="008F4323"/>
    <w:rsid w:val="008F4379"/>
    <w:rsid w:val="008F43AE"/>
    <w:rsid w:val="008F4410"/>
    <w:rsid w:val="008F4514"/>
    <w:rsid w:val="008F49F8"/>
    <w:rsid w:val="008F4B47"/>
    <w:rsid w:val="008F4C55"/>
    <w:rsid w:val="008F4D82"/>
    <w:rsid w:val="008F4D9B"/>
    <w:rsid w:val="008F4E1A"/>
    <w:rsid w:val="008F4FC2"/>
    <w:rsid w:val="008F506C"/>
    <w:rsid w:val="008F509C"/>
    <w:rsid w:val="008F51BE"/>
    <w:rsid w:val="008F537D"/>
    <w:rsid w:val="008F53DF"/>
    <w:rsid w:val="008F54A7"/>
    <w:rsid w:val="008F54C0"/>
    <w:rsid w:val="008F550E"/>
    <w:rsid w:val="008F5589"/>
    <w:rsid w:val="008F55C1"/>
    <w:rsid w:val="008F564C"/>
    <w:rsid w:val="008F5766"/>
    <w:rsid w:val="008F57C4"/>
    <w:rsid w:val="008F586C"/>
    <w:rsid w:val="008F58AC"/>
    <w:rsid w:val="008F596F"/>
    <w:rsid w:val="008F5ADB"/>
    <w:rsid w:val="008F5B16"/>
    <w:rsid w:val="008F5BCF"/>
    <w:rsid w:val="008F5CA4"/>
    <w:rsid w:val="008F5D05"/>
    <w:rsid w:val="008F5E18"/>
    <w:rsid w:val="008F5E90"/>
    <w:rsid w:val="008F5EF2"/>
    <w:rsid w:val="008F608D"/>
    <w:rsid w:val="008F6112"/>
    <w:rsid w:val="008F6216"/>
    <w:rsid w:val="008F6314"/>
    <w:rsid w:val="008F6421"/>
    <w:rsid w:val="008F6534"/>
    <w:rsid w:val="008F65FA"/>
    <w:rsid w:val="008F67B5"/>
    <w:rsid w:val="008F67B9"/>
    <w:rsid w:val="008F67EC"/>
    <w:rsid w:val="008F684B"/>
    <w:rsid w:val="008F6AEC"/>
    <w:rsid w:val="008F6BE0"/>
    <w:rsid w:val="008F6C74"/>
    <w:rsid w:val="008F6CFD"/>
    <w:rsid w:val="008F6D33"/>
    <w:rsid w:val="008F6D57"/>
    <w:rsid w:val="008F6E6F"/>
    <w:rsid w:val="008F6ED5"/>
    <w:rsid w:val="008F6EE7"/>
    <w:rsid w:val="008F6FB1"/>
    <w:rsid w:val="008F709A"/>
    <w:rsid w:val="008F70E1"/>
    <w:rsid w:val="008F713B"/>
    <w:rsid w:val="008F71C0"/>
    <w:rsid w:val="008F7322"/>
    <w:rsid w:val="008F732F"/>
    <w:rsid w:val="008F73EE"/>
    <w:rsid w:val="008F74D2"/>
    <w:rsid w:val="008F7528"/>
    <w:rsid w:val="008F755D"/>
    <w:rsid w:val="008F75B3"/>
    <w:rsid w:val="008F75F7"/>
    <w:rsid w:val="008F76D2"/>
    <w:rsid w:val="008F76E2"/>
    <w:rsid w:val="008F76F3"/>
    <w:rsid w:val="008F7836"/>
    <w:rsid w:val="008F78D7"/>
    <w:rsid w:val="008F7938"/>
    <w:rsid w:val="008F797F"/>
    <w:rsid w:val="008F79CD"/>
    <w:rsid w:val="008F79ED"/>
    <w:rsid w:val="008F7B13"/>
    <w:rsid w:val="008F7CCF"/>
    <w:rsid w:val="008F7CFE"/>
    <w:rsid w:val="008F7DB6"/>
    <w:rsid w:val="008F7E20"/>
    <w:rsid w:val="008F7E7E"/>
    <w:rsid w:val="008F7E8F"/>
    <w:rsid w:val="008F7F0E"/>
    <w:rsid w:val="00900026"/>
    <w:rsid w:val="00900125"/>
    <w:rsid w:val="00900231"/>
    <w:rsid w:val="0090023F"/>
    <w:rsid w:val="00900288"/>
    <w:rsid w:val="009002D8"/>
    <w:rsid w:val="0090036E"/>
    <w:rsid w:val="009003A2"/>
    <w:rsid w:val="00900410"/>
    <w:rsid w:val="00900479"/>
    <w:rsid w:val="009004B9"/>
    <w:rsid w:val="009004CB"/>
    <w:rsid w:val="009004DC"/>
    <w:rsid w:val="0090072C"/>
    <w:rsid w:val="0090074F"/>
    <w:rsid w:val="009007D9"/>
    <w:rsid w:val="0090083B"/>
    <w:rsid w:val="009008F5"/>
    <w:rsid w:val="009009F6"/>
    <w:rsid w:val="00900A68"/>
    <w:rsid w:val="00900B55"/>
    <w:rsid w:val="00900E01"/>
    <w:rsid w:val="00900E37"/>
    <w:rsid w:val="00900F73"/>
    <w:rsid w:val="00900F9D"/>
    <w:rsid w:val="0090122B"/>
    <w:rsid w:val="00901381"/>
    <w:rsid w:val="00901395"/>
    <w:rsid w:val="0090139E"/>
    <w:rsid w:val="009013AD"/>
    <w:rsid w:val="0090149C"/>
    <w:rsid w:val="0090156D"/>
    <w:rsid w:val="009015A9"/>
    <w:rsid w:val="009015B7"/>
    <w:rsid w:val="009015C7"/>
    <w:rsid w:val="0090164A"/>
    <w:rsid w:val="0090164D"/>
    <w:rsid w:val="0090188B"/>
    <w:rsid w:val="00901A47"/>
    <w:rsid w:val="00901A91"/>
    <w:rsid w:val="00901B8E"/>
    <w:rsid w:val="00901CA1"/>
    <w:rsid w:val="00901CC9"/>
    <w:rsid w:val="00901D42"/>
    <w:rsid w:val="00901EA0"/>
    <w:rsid w:val="00901EA2"/>
    <w:rsid w:val="00901EE5"/>
    <w:rsid w:val="00902010"/>
    <w:rsid w:val="0090205C"/>
    <w:rsid w:val="00902070"/>
    <w:rsid w:val="009020B6"/>
    <w:rsid w:val="009020DB"/>
    <w:rsid w:val="009020E1"/>
    <w:rsid w:val="00902113"/>
    <w:rsid w:val="0090214C"/>
    <w:rsid w:val="00902272"/>
    <w:rsid w:val="0090231E"/>
    <w:rsid w:val="009025DD"/>
    <w:rsid w:val="0090267B"/>
    <w:rsid w:val="009026DB"/>
    <w:rsid w:val="0090275A"/>
    <w:rsid w:val="0090276A"/>
    <w:rsid w:val="00902834"/>
    <w:rsid w:val="009028DE"/>
    <w:rsid w:val="009028F5"/>
    <w:rsid w:val="0090293C"/>
    <w:rsid w:val="00902A72"/>
    <w:rsid w:val="00902B08"/>
    <w:rsid w:val="00902B9E"/>
    <w:rsid w:val="00902CE1"/>
    <w:rsid w:val="00902E55"/>
    <w:rsid w:val="00902F3C"/>
    <w:rsid w:val="00903022"/>
    <w:rsid w:val="0090318F"/>
    <w:rsid w:val="009031AB"/>
    <w:rsid w:val="009031E7"/>
    <w:rsid w:val="0090324C"/>
    <w:rsid w:val="00903358"/>
    <w:rsid w:val="009033B3"/>
    <w:rsid w:val="009033DE"/>
    <w:rsid w:val="00903603"/>
    <w:rsid w:val="009036D0"/>
    <w:rsid w:val="00903770"/>
    <w:rsid w:val="009037BB"/>
    <w:rsid w:val="009038BB"/>
    <w:rsid w:val="009038FE"/>
    <w:rsid w:val="00903A85"/>
    <w:rsid w:val="00903ADA"/>
    <w:rsid w:val="00903B81"/>
    <w:rsid w:val="00903BF9"/>
    <w:rsid w:val="00903C48"/>
    <w:rsid w:val="00903C7F"/>
    <w:rsid w:val="00903D7C"/>
    <w:rsid w:val="00903EFB"/>
    <w:rsid w:val="00903F24"/>
    <w:rsid w:val="0090402C"/>
    <w:rsid w:val="00904030"/>
    <w:rsid w:val="00904064"/>
    <w:rsid w:val="0090416C"/>
    <w:rsid w:val="009043EF"/>
    <w:rsid w:val="0090440E"/>
    <w:rsid w:val="009046A9"/>
    <w:rsid w:val="0090473A"/>
    <w:rsid w:val="009048CD"/>
    <w:rsid w:val="00904A73"/>
    <w:rsid w:val="00904BD4"/>
    <w:rsid w:val="00904C01"/>
    <w:rsid w:val="00904CAD"/>
    <w:rsid w:val="00904CEE"/>
    <w:rsid w:val="00904D97"/>
    <w:rsid w:val="00904EF1"/>
    <w:rsid w:val="009051A9"/>
    <w:rsid w:val="009051C5"/>
    <w:rsid w:val="009051D5"/>
    <w:rsid w:val="00905343"/>
    <w:rsid w:val="009053E6"/>
    <w:rsid w:val="0090546E"/>
    <w:rsid w:val="009054E2"/>
    <w:rsid w:val="0090571E"/>
    <w:rsid w:val="009057BE"/>
    <w:rsid w:val="00905877"/>
    <w:rsid w:val="00905972"/>
    <w:rsid w:val="00905AF7"/>
    <w:rsid w:val="00905B8B"/>
    <w:rsid w:val="00905C95"/>
    <w:rsid w:val="00905D56"/>
    <w:rsid w:val="00905DAD"/>
    <w:rsid w:val="00905DEB"/>
    <w:rsid w:val="00905E24"/>
    <w:rsid w:val="009060CB"/>
    <w:rsid w:val="009061F0"/>
    <w:rsid w:val="009064E0"/>
    <w:rsid w:val="009064FF"/>
    <w:rsid w:val="00906506"/>
    <w:rsid w:val="00906659"/>
    <w:rsid w:val="0090665F"/>
    <w:rsid w:val="009069D8"/>
    <w:rsid w:val="00906A48"/>
    <w:rsid w:val="00906E76"/>
    <w:rsid w:val="00906EB1"/>
    <w:rsid w:val="00906F14"/>
    <w:rsid w:val="00907034"/>
    <w:rsid w:val="009070CB"/>
    <w:rsid w:val="00907186"/>
    <w:rsid w:val="00907220"/>
    <w:rsid w:val="00907263"/>
    <w:rsid w:val="00907550"/>
    <w:rsid w:val="0090765C"/>
    <w:rsid w:val="00907687"/>
    <w:rsid w:val="00907792"/>
    <w:rsid w:val="009077D7"/>
    <w:rsid w:val="00907829"/>
    <w:rsid w:val="00907A49"/>
    <w:rsid w:val="00907AC1"/>
    <w:rsid w:val="00907AE9"/>
    <w:rsid w:val="00907B50"/>
    <w:rsid w:val="00907C00"/>
    <w:rsid w:val="00907C38"/>
    <w:rsid w:val="00907C3E"/>
    <w:rsid w:val="00907C6C"/>
    <w:rsid w:val="00907CAD"/>
    <w:rsid w:val="00907FD9"/>
    <w:rsid w:val="00910073"/>
    <w:rsid w:val="009100BB"/>
    <w:rsid w:val="0091014C"/>
    <w:rsid w:val="00910156"/>
    <w:rsid w:val="0091017F"/>
    <w:rsid w:val="009101FC"/>
    <w:rsid w:val="00910398"/>
    <w:rsid w:val="009103DC"/>
    <w:rsid w:val="009104DC"/>
    <w:rsid w:val="00910642"/>
    <w:rsid w:val="0091065A"/>
    <w:rsid w:val="009106E6"/>
    <w:rsid w:val="0091083D"/>
    <w:rsid w:val="0091089C"/>
    <w:rsid w:val="009108A6"/>
    <w:rsid w:val="009108ED"/>
    <w:rsid w:val="00910A53"/>
    <w:rsid w:val="00910C5F"/>
    <w:rsid w:val="00910CBD"/>
    <w:rsid w:val="00910D18"/>
    <w:rsid w:val="00910DB1"/>
    <w:rsid w:val="00910DFA"/>
    <w:rsid w:val="00910EB9"/>
    <w:rsid w:val="00910EFE"/>
    <w:rsid w:val="00910FBE"/>
    <w:rsid w:val="0091109C"/>
    <w:rsid w:val="009111FD"/>
    <w:rsid w:val="009112EA"/>
    <w:rsid w:val="00911381"/>
    <w:rsid w:val="00911690"/>
    <w:rsid w:val="0091169F"/>
    <w:rsid w:val="0091171F"/>
    <w:rsid w:val="009117ED"/>
    <w:rsid w:val="00911859"/>
    <w:rsid w:val="00911907"/>
    <w:rsid w:val="00911990"/>
    <w:rsid w:val="009119CC"/>
    <w:rsid w:val="009119E0"/>
    <w:rsid w:val="009119E5"/>
    <w:rsid w:val="00911B24"/>
    <w:rsid w:val="00911B63"/>
    <w:rsid w:val="00911B82"/>
    <w:rsid w:val="00911C2F"/>
    <w:rsid w:val="00911C38"/>
    <w:rsid w:val="00911C6F"/>
    <w:rsid w:val="00911CF9"/>
    <w:rsid w:val="00911D11"/>
    <w:rsid w:val="00911E2A"/>
    <w:rsid w:val="00911EC3"/>
    <w:rsid w:val="00912046"/>
    <w:rsid w:val="00912069"/>
    <w:rsid w:val="009123E3"/>
    <w:rsid w:val="0091243D"/>
    <w:rsid w:val="0091254D"/>
    <w:rsid w:val="009125F8"/>
    <w:rsid w:val="00912657"/>
    <w:rsid w:val="009127B4"/>
    <w:rsid w:val="009128D5"/>
    <w:rsid w:val="009128EF"/>
    <w:rsid w:val="0091292C"/>
    <w:rsid w:val="0091294D"/>
    <w:rsid w:val="0091296B"/>
    <w:rsid w:val="00912C03"/>
    <w:rsid w:val="00912CE5"/>
    <w:rsid w:val="00912DC2"/>
    <w:rsid w:val="00912E2A"/>
    <w:rsid w:val="00912FF3"/>
    <w:rsid w:val="009130C3"/>
    <w:rsid w:val="0091312C"/>
    <w:rsid w:val="009132EB"/>
    <w:rsid w:val="00913433"/>
    <w:rsid w:val="00913530"/>
    <w:rsid w:val="00913601"/>
    <w:rsid w:val="00913662"/>
    <w:rsid w:val="00913760"/>
    <w:rsid w:val="00913836"/>
    <w:rsid w:val="00913840"/>
    <w:rsid w:val="00913852"/>
    <w:rsid w:val="00913886"/>
    <w:rsid w:val="00913904"/>
    <w:rsid w:val="00913D4D"/>
    <w:rsid w:val="00913D87"/>
    <w:rsid w:val="00913DBD"/>
    <w:rsid w:val="00913EB9"/>
    <w:rsid w:val="0091400C"/>
    <w:rsid w:val="00914010"/>
    <w:rsid w:val="00914037"/>
    <w:rsid w:val="00914243"/>
    <w:rsid w:val="00914273"/>
    <w:rsid w:val="0091428D"/>
    <w:rsid w:val="009142FC"/>
    <w:rsid w:val="0091438E"/>
    <w:rsid w:val="00914395"/>
    <w:rsid w:val="0091445F"/>
    <w:rsid w:val="009145BC"/>
    <w:rsid w:val="009145DB"/>
    <w:rsid w:val="00914666"/>
    <w:rsid w:val="00914697"/>
    <w:rsid w:val="009146B7"/>
    <w:rsid w:val="0091485E"/>
    <w:rsid w:val="00914883"/>
    <w:rsid w:val="0091492A"/>
    <w:rsid w:val="009149B8"/>
    <w:rsid w:val="009149C1"/>
    <w:rsid w:val="00914AD9"/>
    <w:rsid w:val="00914B76"/>
    <w:rsid w:val="00914C64"/>
    <w:rsid w:val="00914CFB"/>
    <w:rsid w:val="00914D38"/>
    <w:rsid w:val="00914E3D"/>
    <w:rsid w:val="00914EEC"/>
    <w:rsid w:val="00914F22"/>
    <w:rsid w:val="00914FAA"/>
    <w:rsid w:val="0091501A"/>
    <w:rsid w:val="009150CE"/>
    <w:rsid w:val="009150F9"/>
    <w:rsid w:val="0091513E"/>
    <w:rsid w:val="0091525A"/>
    <w:rsid w:val="00915332"/>
    <w:rsid w:val="00915362"/>
    <w:rsid w:val="00915462"/>
    <w:rsid w:val="009154CB"/>
    <w:rsid w:val="00915532"/>
    <w:rsid w:val="00915598"/>
    <w:rsid w:val="0091560D"/>
    <w:rsid w:val="00915856"/>
    <w:rsid w:val="0091586E"/>
    <w:rsid w:val="00915953"/>
    <w:rsid w:val="009159A3"/>
    <w:rsid w:val="00915A38"/>
    <w:rsid w:val="00915B99"/>
    <w:rsid w:val="00915C85"/>
    <w:rsid w:val="00915DDE"/>
    <w:rsid w:val="00915E14"/>
    <w:rsid w:val="00915E2A"/>
    <w:rsid w:val="00915E55"/>
    <w:rsid w:val="00915F3B"/>
    <w:rsid w:val="00915FA6"/>
    <w:rsid w:val="009161C9"/>
    <w:rsid w:val="0091643E"/>
    <w:rsid w:val="00916511"/>
    <w:rsid w:val="00916568"/>
    <w:rsid w:val="009166C8"/>
    <w:rsid w:val="0091687C"/>
    <w:rsid w:val="0091689F"/>
    <w:rsid w:val="009168C5"/>
    <w:rsid w:val="00916A0C"/>
    <w:rsid w:val="00916A27"/>
    <w:rsid w:val="00916A73"/>
    <w:rsid w:val="00916BD8"/>
    <w:rsid w:val="00916C48"/>
    <w:rsid w:val="00916CDE"/>
    <w:rsid w:val="00916D0F"/>
    <w:rsid w:val="00916EA4"/>
    <w:rsid w:val="00916EBF"/>
    <w:rsid w:val="00916EC7"/>
    <w:rsid w:val="00916F24"/>
    <w:rsid w:val="00916F37"/>
    <w:rsid w:val="0091705D"/>
    <w:rsid w:val="0091710D"/>
    <w:rsid w:val="0091714A"/>
    <w:rsid w:val="00917215"/>
    <w:rsid w:val="00917354"/>
    <w:rsid w:val="009173AA"/>
    <w:rsid w:val="009174C0"/>
    <w:rsid w:val="00917635"/>
    <w:rsid w:val="0091769E"/>
    <w:rsid w:val="009176E2"/>
    <w:rsid w:val="009177D6"/>
    <w:rsid w:val="00917841"/>
    <w:rsid w:val="0091784A"/>
    <w:rsid w:val="00917880"/>
    <w:rsid w:val="00917ABF"/>
    <w:rsid w:val="00917B04"/>
    <w:rsid w:val="00917B18"/>
    <w:rsid w:val="00917B26"/>
    <w:rsid w:val="00917C1A"/>
    <w:rsid w:val="00917DEF"/>
    <w:rsid w:val="00917EC6"/>
    <w:rsid w:val="00920031"/>
    <w:rsid w:val="00920104"/>
    <w:rsid w:val="00920169"/>
    <w:rsid w:val="00920177"/>
    <w:rsid w:val="009201F3"/>
    <w:rsid w:val="009201FD"/>
    <w:rsid w:val="00920206"/>
    <w:rsid w:val="00920248"/>
    <w:rsid w:val="009203B8"/>
    <w:rsid w:val="0092041C"/>
    <w:rsid w:val="0092045D"/>
    <w:rsid w:val="0092048D"/>
    <w:rsid w:val="009204CF"/>
    <w:rsid w:val="009206C3"/>
    <w:rsid w:val="0092080D"/>
    <w:rsid w:val="009208E9"/>
    <w:rsid w:val="00920942"/>
    <w:rsid w:val="00920A13"/>
    <w:rsid w:val="00920B49"/>
    <w:rsid w:val="00920B73"/>
    <w:rsid w:val="00920C2B"/>
    <w:rsid w:val="00920E0E"/>
    <w:rsid w:val="00920E25"/>
    <w:rsid w:val="00920EDC"/>
    <w:rsid w:val="00920F77"/>
    <w:rsid w:val="00920FF6"/>
    <w:rsid w:val="0092112B"/>
    <w:rsid w:val="0092121C"/>
    <w:rsid w:val="00921458"/>
    <w:rsid w:val="0092155D"/>
    <w:rsid w:val="0092160A"/>
    <w:rsid w:val="009216B1"/>
    <w:rsid w:val="00921715"/>
    <w:rsid w:val="00921746"/>
    <w:rsid w:val="009217C3"/>
    <w:rsid w:val="00921845"/>
    <w:rsid w:val="00921912"/>
    <w:rsid w:val="0092192E"/>
    <w:rsid w:val="0092193D"/>
    <w:rsid w:val="00921AEC"/>
    <w:rsid w:val="00921BDC"/>
    <w:rsid w:val="00921CD3"/>
    <w:rsid w:val="00921DF5"/>
    <w:rsid w:val="00921E84"/>
    <w:rsid w:val="00921F7D"/>
    <w:rsid w:val="00921F7F"/>
    <w:rsid w:val="00921FDB"/>
    <w:rsid w:val="0092203C"/>
    <w:rsid w:val="0092209C"/>
    <w:rsid w:val="009221BD"/>
    <w:rsid w:val="00922270"/>
    <w:rsid w:val="00922307"/>
    <w:rsid w:val="00922445"/>
    <w:rsid w:val="009224D9"/>
    <w:rsid w:val="0092253A"/>
    <w:rsid w:val="009225BD"/>
    <w:rsid w:val="009225DE"/>
    <w:rsid w:val="0092268A"/>
    <w:rsid w:val="00922696"/>
    <w:rsid w:val="0092273F"/>
    <w:rsid w:val="0092284A"/>
    <w:rsid w:val="009228D6"/>
    <w:rsid w:val="00922915"/>
    <w:rsid w:val="00922945"/>
    <w:rsid w:val="009229C6"/>
    <w:rsid w:val="00922A49"/>
    <w:rsid w:val="00922AF2"/>
    <w:rsid w:val="00922FC4"/>
    <w:rsid w:val="009232AA"/>
    <w:rsid w:val="00923328"/>
    <w:rsid w:val="0092345C"/>
    <w:rsid w:val="0092353A"/>
    <w:rsid w:val="00923552"/>
    <w:rsid w:val="009235B7"/>
    <w:rsid w:val="009236F4"/>
    <w:rsid w:val="00923830"/>
    <w:rsid w:val="009238EF"/>
    <w:rsid w:val="00923934"/>
    <w:rsid w:val="00923A0D"/>
    <w:rsid w:val="00923A71"/>
    <w:rsid w:val="00923B02"/>
    <w:rsid w:val="00923B77"/>
    <w:rsid w:val="00923B7B"/>
    <w:rsid w:val="00923CC9"/>
    <w:rsid w:val="00923E0D"/>
    <w:rsid w:val="00923E83"/>
    <w:rsid w:val="00923EEA"/>
    <w:rsid w:val="00923F01"/>
    <w:rsid w:val="00923F5E"/>
    <w:rsid w:val="00923F60"/>
    <w:rsid w:val="00923F81"/>
    <w:rsid w:val="00923F93"/>
    <w:rsid w:val="00923FAB"/>
    <w:rsid w:val="00924101"/>
    <w:rsid w:val="00924141"/>
    <w:rsid w:val="009241BD"/>
    <w:rsid w:val="009241E0"/>
    <w:rsid w:val="0092420F"/>
    <w:rsid w:val="0092439A"/>
    <w:rsid w:val="0092439F"/>
    <w:rsid w:val="0092450C"/>
    <w:rsid w:val="00924535"/>
    <w:rsid w:val="009245F4"/>
    <w:rsid w:val="00924609"/>
    <w:rsid w:val="0092461F"/>
    <w:rsid w:val="0092466E"/>
    <w:rsid w:val="00924810"/>
    <w:rsid w:val="00924871"/>
    <w:rsid w:val="009248E5"/>
    <w:rsid w:val="00924A02"/>
    <w:rsid w:val="00924BA9"/>
    <w:rsid w:val="00924BFC"/>
    <w:rsid w:val="00924C0A"/>
    <w:rsid w:val="00924E38"/>
    <w:rsid w:val="00924F89"/>
    <w:rsid w:val="00925007"/>
    <w:rsid w:val="00925030"/>
    <w:rsid w:val="00925033"/>
    <w:rsid w:val="00925060"/>
    <w:rsid w:val="0092520A"/>
    <w:rsid w:val="00925212"/>
    <w:rsid w:val="00925406"/>
    <w:rsid w:val="00925493"/>
    <w:rsid w:val="00925588"/>
    <w:rsid w:val="009255CE"/>
    <w:rsid w:val="00925674"/>
    <w:rsid w:val="00925689"/>
    <w:rsid w:val="009256EA"/>
    <w:rsid w:val="00925765"/>
    <w:rsid w:val="009257FA"/>
    <w:rsid w:val="009258F1"/>
    <w:rsid w:val="0092593B"/>
    <w:rsid w:val="00925B09"/>
    <w:rsid w:val="00925B89"/>
    <w:rsid w:val="00925D40"/>
    <w:rsid w:val="00925F41"/>
    <w:rsid w:val="00925FB8"/>
    <w:rsid w:val="00926016"/>
    <w:rsid w:val="00926176"/>
    <w:rsid w:val="009262BD"/>
    <w:rsid w:val="0092635C"/>
    <w:rsid w:val="00926485"/>
    <w:rsid w:val="0092650A"/>
    <w:rsid w:val="009265DB"/>
    <w:rsid w:val="00926626"/>
    <w:rsid w:val="0092669D"/>
    <w:rsid w:val="009268F8"/>
    <w:rsid w:val="00926A25"/>
    <w:rsid w:val="00926C57"/>
    <w:rsid w:val="00926D90"/>
    <w:rsid w:val="00926E59"/>
    <w:rsid w:val="00926F44"/>
    <w:rsid w:val="00926FEB"/>
    <w:rsid w:val="00927124"/>
    <w:rsid w:val="00927184"/>
    <w:rsid w:val="009271F3"/>
    <w:rsid w:val="0092730A"/>
    <w:rsid w:val="00927429"/>
    <w:rsid w:val="0092744D"/>
    <w:rsid w:val="00927510"/>
    <w:rsid w:val="0092762C"/>
    <w:rsid w:val="00927699"/>
    <w:rsid w:val="009276EA"/>
    <w:rsid w:val="0092776E"/>
    <w:rsid w:val="0092779E"/>
    <w:rsid w:val="00927859"/>
    <w:rsid w:val="009278B7"/>
    <w:rsid w:val="0093002C"/>
    <w:rsid w:val="00930050"/>
    <w:rsid w:val="00930082"/>
    <w:rsid w:val="00930193"/>
    <w:rsid w:val="00930195"/>
    <w:rsid w:val="00930345"/>
    <w:rsid w:val="00930475"/>
    <w:rsid w:val="0093058C"/>
    <w:rsid w:val="0093065D"/>
    <w:rsid w:val="00930745"/>
    <w:rsid w:val="00930788"/>
    <w:rsid w:val="009307AD"/>
    <w:rsid w:val="00930800"/>
    <w:rsid w:val="00930864"/>
    <w:rsid w:val="0093086F"/>
    <w:rsid w:val="009308C6"/>
    <w:rsid w:val="00930964"/>
    <w:rsid w:val="00930997"/>
    <w:rsid w:val="009309B5"/>
    <w:rsid w:val="00930A55"/>
    <w:rsid w:val="00930AF3"/>
    <w:rsid w:val="00930C18"/>
    <w:rsid w:val="00930C4B"/>
    <w:rsid w:val="00930D18"/>
    <w:rsid w:val="00930D36"/>
    <w:rsid w:val="00930F2D"/>
    <w:rsid w:val="00931095"/>
    <w:rsid w:val="00931126"/>
    <w:rsid w:val="009311CD"/>
    <w:rsid w:val="009311DD"/>
    <w:rsid w:val="00931237"/>
    <w:rsid w:val="00931412"/>
    <w:rsid w:val="00931435"/>
    <w:rsid w:val="009314B3"/>
    <w:rsid w:val="00931595"/>
    <w:rsid w:val="009315D9"/>
    <w:rsid w:val="00931670"/>
    <w:rsid w:val="009316BC"/>
    <w:rsid w:val="0093172C"/>
    <w:rsid w:val="00931749"/>
    <w:rsid w:val="009317A8"/>
    <w:rsid w:val="009317EA"/>
    <w:rsid w:val="009319CB"/>
    <w:rsid w:val="00931A6B"/>
    <w:rsid w:val="00931AAE"/>
    <w:rsid w:val="00931B5F"/>
    <w:rsid w:val="00931B8C"/>
    <w:rsid w:val="00931C82"/>
    <w:rsid w:val="00931DC4"/>
    <w:rsid w:val="00931DFC"/>
    <w:rsid w:val="00931E41"/>
    <w:rsid w:val="00931FD1"/>
    <w:rsid w:val="0093202D"/>
    <w:rsid w:val="009320BA"/>
    <w:rsid w:val="00932119"/>
    <w:rsid w:val="0093212F"/>
    <w:rsid w:val="009321FE"/>
    <w:rsid w:val="0093228F"/>
    <w:rsid w:val="00932365"/>
    <w:rsid w:val="0093236E"/>
    <w:rsid w:val="009323FA"/>
    <w:rsid w:val="00932425"/>
    <w:rsid w:val="009324A8"/>
    <w:rsid w:val="009324AC"/>
    <w:rsid w:val="00932907"/>
    <w:rsid w:val="0093296F"/>
    <w:rsid w:val="00932B34"/>
    <w:rsid w:val="00932BA6"/>
    <w:rsid w:val="00932E30"/>
    <w:rsid w:val="00932E4B"/>
    <w:rsid w:val="00932EA1"/>
    <w:rsid w:val="0093307A"/>
    <w:rsid w:val="009330F2"/>
    <w:rsid w:val="00933191"/>
    <w:rsid w:val="009332A9"/>
    <w:rsid w:val="009332AE"/>
    <w:rsid w:val="009333C2"/>
    <w:rsid w:val="009333DB"/>
    <w:rsid w:val="0093346E"/>
    <w:rsid w:val="009334B1"/>
    <w:rsid w:val="0093362E"/>
    <w:rsid w:val="009337F2"/>
    <w:rsid w:val="0093385E"/>
    <w:rsid w:val="009339FE"/>
    <w:rsid w:val="00933AFC"/>
    <w:rsid w:val="00933B9E"/>
    <w:rsid w:val="00933BB9"/>
    <w:rsid w:val="00933C3C"/>
    <w:rsid w:val="00933CF4"/>
    <w:rsid w:val="00933CFD"/>
    <w:rsid w:val="00933D6F"/>
    <w:rsid w:val="00933D9B"/>
    <w:rsid w:val="00933E53"/>
    <w:rsid w:val="0093405C"/>
    <w:rsid w:val="0093417E"/>
    <w:rsid w:val="009342EC"/>
    <w:rsid w:val="009342FC"/>
    <w:rsid w:val="00934451"/>
    <w:rsid w:val="0093449C"/>
    <w:rsid w:val="009346AC"/>
    <w:rsid w:val="009347C7"/>
    <w:rsid w:val="009347FA"/>
    <w:rsid w:val="00934839"/>
    <w:rsid w:val="00934A3C"/>
    <w:rsid w:val="00934ADC"/>
    <w:rsid w:val="00934CAF"/>
    <w:rsid w:val="00934D2A"/>
    <w:rsid w:val="00934DD8"/>
    <w:rsid w:val="00934E70"/>
    <w:rsid w:val="00935075"/>
    <w:rsid w:val="009351CA"/>
    <w:rsid w:val="0093528B"/>
    <w:rsid w:val="009352E3"/>
    <w:rsid w:val="00935535"/>
    <w:rsid w:val="00935541"/>
    <w:rsid w:val="0093566D"/>
    <w:rsid w:val="009356EB"/>
    <w:rsid w:val="00935848"/>
    <w:rsid w:val="00935849"/>
    <w:rsid w:val="00935944"/>
    <w:rsid w:val="00935A97"/>
    <w:rsid w:val="00935AC4"/>
    <w:rsid w:val="00935AD8"/>
    <w:rsid w:val="00935B41"/>
    <w:rsid w:val="00935B74"/>
    <w:rsid w:val="00935DFC"/>
    <w:rsid w:val="00935EA3"/>
    <w:rsid w:val="00935ECA"/>
    <w:rsid w:val="00935F54"/>
    <w:rsid w:val="00935FE7"/>
    <w:rsid w:val="00936078"/>
    <w:rsid w:val="009360A8"/>
    <w:rsid w:val="009362AD"/>
    <w:rsid w:val="0093634D"/>
    <w:rsid w:val="0093637C"/>
    <w:rsid w:val="0093642D"/>
    <w:rsid w:val="0093647F"/>
    <w:rsid w:val="00936561"/>
    <w:rsid w:val="00936586"/>
    <w:rsid w:val="009365AE"/>
    <w:rsid w:val="00936628"/>
    <w:rsid w:val="009366A0"/>
    <w:rsid w:val="00936711"/>
    <w:rsid w:val="0093673C"/>
    <w:rsid w:val="00936803"/>
    <w:rsid w:val="00936B05"/>
    <w:rsid w:val="00936BCD"/>
    <w:rsid w:val="00936BD5"/>
    <w:rsid w:val="00936BDB"/>
    <w:rsid w:val="00936BDC"/>
    <w:rsid w:val="00936C08"/>
    <w:rsid w:val="00936DCF"/>
    <w:rsid w:val="00936ECE"/>
    <w:rsid w:val="00936F78"/>
    <w:rsid w:val="00936F94"/>
    <w:rsid w:val="00936FC8"/>
    <w:rsid w:val="00936FEF"/>
    <w:rsid w:val="009370E2"/>
    <w:rsid w:val="009371AB"/>
    <w:rsid w:val="009371B4"/>
    <w:rsid w:val="0093720C"/>
    <w:rsid w:val="00937278"/>
    <w:rsid w:val="0093733B"/>
    <w:rsid w:val="00937342"/>
    <w:rsid w:val="00937529"/>
    <w:rsid w:val="00937578"/>
    <w:rsid w:val="009375CA"/>
    <w:rsid w:val="00937632"/>
    <w:rsid w:val="009376DD"/>
    <w:rsid w:val="009377E1"/>
    <w:rsid w:val="0093786E"/>
    <w:rsid w:val="009378D3"/>
    <w:rsid w:val="0093791E"/>
    <w:rsid w:val="00937A71"/>
    <w:rsid w:val="00937AD2"/>
    <w:rsid w:val="00937B33"/>
    <w:rsid w:val="00937B54"/>
    <w:rsid w:val="00937BAF"/>
    <w:rsid w:val="00937CD7"/>
    <w:rsid w:val="00937D07"/>
    <w:rsid w:val="00937E1D"/>
    <w:rsid w:val="0094000D"/>
    <w:rsid w:val="0094002F"/>
    <w:rsid w:val="0094004E"/>
    <w:rsid w:val="0094007C"/>
    <w:rsid w:val="009400F2"/>
    <w:rsid w:val="00940181"/>
    <w:rsid w:val="00940295"/>
    <w:rsid w:val="0094037F"/>
    <w:rsid w:val="009404C7"/>
    <w:rsid w:val="009405C4"/>
    <w:rsid w:val="00940752"/>
    <w:rsid w:val="00940801"/>
    <w:rsid w:val="00940834"/>
    <w:rsid w:val="00940921"/>
    <w:rsid w:val="0094099A"/>
    <w:rsid w:val="00940B34"/>
    <w:rsid w:val="00940B45"/>
    <w:rsid w:val="00940C07"/>
    <w:rsid w:val="00940C87"/>
    <w:rsid w:val="00940CD2"/>
    <w:rsid w:val="00940F34"/>
    <w:rsid w:val="00940F53"/>
    <w:rsid w:val="00940F69"/>
    <w:rsid w:val="00941318"/>
    <w:rsid w:val="00941373"/>
    <w:rsid w:val="009415B6"/>
    <w:rsid w:val="00941627"/>
    <w:rsid w:val="00941674"/>
    <w:rsid w:val="00941746"/>
    <w:rsid w:val="0094175D"/>
    <w:rsid w:val="009418A5"/>
    <w:rsid w:val="009419DD"/>
    <w:rsid w:val="00941A35"/>
    <w:rsid w:val="00941AAE"/>
    <w:rsid w:val="00941BD4"/>
    <w:rsid w:val="00941BF5"/>
    <w:rsid w:val="00941D41"/>
    <w:rsid w:val="00941EC8"/>
    <w:rsid w:val="00941F72"/>
    <w:rsid w:val="00941F8B"/>
    <w:rsid w:val="00942041"/>
    <w:rsid w:val="0094217F"/>
    <w:rsid w:val="0094227D"/>
    <w:rsid w:val="00942299"/>
    <w:rsid w:val="00942448"/>
    <w:rsid w:val="009424BA"/>
    <w:rsid w:val="00942503"/>
    <w:rsid w:val="0094256A"/>
    <w:rsid w:val="0094256F"/>
    <w:rsid w:val="00942578"/>
    <w:rsid w:val="009426C9"/>
    <w:rsid w:val="00942748"/>
    <w:rsid w:val="00942800"/>
    <w:rsid w:val="00942829"/>
    <w:rsid w:val="00942914"/>
    <w:rsid w:val="00942934"/>
    <w:rsid w:val="00942A00"/>
    <w:rsid w:val="00942A74"/>
    <w:rsid w:val="00942AD5"/>
    <w:rsid w:val="00942B1A"/>
    <w:rsid w:val="00942B27"/>
    <w:rsid w:val="00942B2F"/>
    <w:rsid w:val="00942BF8"/>
    <w:rsid w:val="00942D56"/>
    <w:rsid w:val="00942E60"/>
    <w:rsid w:val="00942F64"/>
    <w:rsid w:val="00942F91"/>
    <w:rsid w:val="00943012"/>
    <w:rsid w:val="009430F2"/>
    <w:rsid w:val="00943161"/>
    <w:rsid w:val="009431E4"/>
    <w:rsid w:val="00943209"/>
    <w:rsid w:val="00943215"/>
    <w:rsid w:val="00943228"/>
    <w:rsid w:val="00943246"/>
    <w:rsid w:val="00943277"/>
    <w:rsid w:val="00943281"/>
    <w:rsid w:val="009432DA"/>
    <w:rsid w:val="0094336C"/>
    <w:rsid w:val="00943508"/>
    <w:rsid w:val="009435D0"/>
    <w:rsid w:val="009436CD"/>
    <w:rsid w:val="009436F6"/>
    <w:rsid w:val="00943874"/>
    <w:rsid w:val="00943979"/>
    <w:rsid w:val="00943A15"/>
    <w:rsid w:val="00943A1B"/>
    <w:rsid w:val="00943C4F"/>
    <w:rsid w:val="00943D48"/>
    <w:rsid w:val="00943DDA"/>
    <w:rsid w:val="00943EDF"/>
    <w:rsid w:val="00943F11"/>
    <w:rsid w:val="00943F16"/>
    <w:rsid w:val="00944096"/>
    <w:rsid w:val="00944135"/>
    <w:rsid w:val="00944138"/>
    <w:rsid w:val="00944218"/>
    <w:rsid w:val="0094422C"/>
    <w:rsid w:val="00944259"/>
    <w:rsid w:val="0094426C"/>
    <w:rsid w:val="009442CE"/>
    <w:rsid w:val="00944387"/>
    <w:rsid w:val="00944617"/>
    <w:rsid w:val="00944703"/>
    <w:rsid w:val="00944732"/>
    <w:rsid w:val="0094479A"/>
    <w:rsid w:val="009447CE"/>
    <w:rsid w:val="0094484B"/>
    <w:rsid w:val="009448AB"/>
    <w:rsid w:val="009448EB"/>
    <w:rsid w:val="009449B4"/>
    <w:rsid w:val="009449BA"/>
    <w:rsid w:val="00944A12"/>
    <w:rsid w:val="00944A98"/>
    <w:rsid w:val="00944B1B"/>
    <w:rsid w:val="00944BC5"/>
    <w:rsid w:val="00944BE6"/>
    <w:rsid w:val="00944D87"/>
    <w:rsid w:val="00944E9C"/>
    <w:rsid w:val="00944FC6"/>
    <w:rsid w:val="00945042"/>
    <w:rsid w:val="00945060"/>
    <w:rsid w:val="00945172"/>
    <w:rsid w:val="00945179"/>
    <w:rsid w:val="00945221"/>
    <w:rsid w:val="00945224"/>
    <w:rsid w:val="00945357"/>
    <w:rsid w:val="0094539C"/>
    <w:rsid w:val="00945559"/>
    <w:rsid w:val="0094559A"/>
    <w:rsid w:val="00945615"/>
    <w:rsid w:val="00945701"/>
    <w:rsid w:val="009458BE"/>
    <w:rsid w:val="009459B5"/>
    <w:rsid w:val="00945B35"/>
    <w:rsid w:val="00945BB1"/>
    <w:rsid w:val="00945E15"/>
    <w:rsid w:val="00945EBB"/>
    <w:rsid w:val="00945F9E"/>
    <w:rsid w:val="00945FCB"/>
    <w:rsid w:val="009461FF"/>
    <w:rsid w:val="0094627B"/>
    <w:rsid w:val="009463C6"/>
    <w:rsid w:val="009464B1"/>
    <w:rsid w:val="009464BB"/>
    <w:rsid w:val="009464F7"/>
    <w:rsid w:val="009464F9"/>
    <w:rsid w:val="0094656B"/>
    <w:rsid w:val="009465D1"/>
    <w:rsid w:val="0094666E"/>
    <w:rsid w:val="0094676F"/>
    <w:rsid w:val="009467C5"/>
    <w:rsid w:val="00946809"/>
    <w:rsid w:val="00946846"/>
    <w:rsid w:val="00946870"/>
    <w:rsid w:val="009468DF"/>
    <w:rsid w:val="0094696D"/>
    <w:rsid w:val="009469E7"/>
    <w:rsid w:val="00946A09"/>
    <w:rsid w:val="00946A2A"/>
    <w:rsid w:val="00946A37"/>
    <w:rsid w:val="00946ADF"/>
    <w:rsid w:val="00946AFE"/>
    <w:rsid w:val="00946B37"/>
    <w:rsid w:val="00946D6E"/>
    <w:rsid w:val="00946E0D"/>
    <w:rsid w:val="00946FEC"/>
    <w:rsid w:val="00947000"/>
    <w:rsid w:val="009471F4"/>
    <w:rsid w:val="009471FC"/>
    <w:rsid w:val="00947514"/>
    <w:rsid w:val="00947552"/>
    <w:rsid w:val="0094760A"/>
    <w:rsid w:val="00947776"/>
    <w:rsid w:val="00947779"/>
    <w:rsid w:val="00947792"/>
    <w:rsid w:val="009477F3"/>
    <w:rsid w:val="0094786D"/>
    <w:rsid w:val="009478C9"/>
    <w:rsid w:val="00947AA2"/>
    <w:rsid w:val="00947AE7"/>
    <w:rsid w:val="00947CAA"/>
    <w:rsid w:val="00947D93"/>
    <w:rsid w:val="00947DC4"/>
    <w:rsid w:val="00947DD3"/>
    <w:rsid w:val="00947E3D"/>
    <w:rsid w:val="00947ED2"/>
    <w:rsid w:val="00947FB0"/>
    <w:rsid w:val="00950126"/>
    <w:rsid w:val="009501A1"/>
    <w:rsid w:val="009501B0"/>
    <w:rsid w:val="009502C3"/>
    <w:rsid w:val="00950404"/>
    <w:rsid w:val="00950490"/>
    <w:rsid w:val="00950764"/>
    <w:rsid w:val="009507D4"/>
    <w:rsid w:val="0095082F"/>
    <w:rsid w:val="00950979"/>
    <w:rsid w:val="00950A4F"/>
    <w:rsid w:val="00950C08"/>
    <w:rsid w:val="00950CDE"/>
    <w:rsid w:val="00950D76"/>
    <w:rsid w:val="00950DAE"/>
    <w:rsid w:val="00950E17"/>
    <w:rsid w:val="00950E5B"/>
    <w:rsid w:val="00950E5D"/>
    <w:rsid w:val="00950EE1"/>
    <w:rsid w:val="00950F17"/>
    <w:rsid w:val="00950F86"/>
    <w:rsid w:val="00950FEE"/>
    <w:rsid w:val="00951004"/>
    <w:rsid w:val="00951083"/>
    <w:rsid w:val="009510AF"/>
    <w:rsid w:val="0095122B"/>
    <w:rsid w:val="00951289"/>
    <w:rsid w:val="00951299"/>
    <w:rsid w:val="009512AD"/>
    <w:rsid w:val="0095131B"/>
    <w:rsid w:val="0095144E"/>
    <w:rsid w:val="00951528"/>
    <w:rsid w:val="009515D7"/>
    <w:rsid w:val="009516AA"/>
    <w:rsid w:val="0095187B"/>
    <w:rsid w:val="00951983"/>
    <w:rsid w:val="00951A22"/>
    <w:rsid w:val="00951A60"/>
    <w:rsid w:val="00951C1C"/>
    <w:rsid w:val="00951E3D"/>
    <w:rsid w:val="00951FC1"/>
    <w:rsid w:val="0095203B"/>
    <w:rsid w:val="00952249"/>
    <w:rsid w:val="00952466"/>
    <w:rsid w:val="0095267E"/>
    <w:rsid w:val="009526FB"/>
    <w:rsid w:val="00952719"/>
    <w:rsid w:val="009527DC"/>
    <w:rsid w:val="00952887"/>
    <w:rsid w:val="0095298A"/>
    <w:rsid w:val="0095298B"/>
    <w:rsid w:val="009529E6"/>
    <w:rsid w:val="00952A12"/>
    <w:rsid w:val="00952BC6"/>
    <w:rsid w:val="00952C03"/>
    <w:rsid w:val="00952C74"/>
    <w:rsid w:val="00952CA1"/>
    <w:rsid w:val="00952CD2"/>
    <w:rsid w:val="00952D90"/>
    <w:rsid w:val="00952EDD"/>
    <w:rsid w:val="00952F01"/>
    <w:rsid w:val="0095312D"/>
    <w:rsid w:val="00953226"/>
    <w:rsid w:val="009533A5"/>
    <w:rsid w:val="00953531"/>
    <w:rsid w:val="009537C8"/>
    <w:rsid w:val="00953CE7"/>
    <w:rsid w:val="00953CED"/>
    <w:rsid w:val="00953D47"/>
    <w:rsid w:val="00953DAA"/>
    <w:rsid w:val="00953DF8"/>
    <w:rsid w:val="00953E43"/>
    <w:rsid w:val="00953EDD"/>
    <w:rsid w:val="00953FDD"/>
    <w:rsid w:val="00954010"/>
    <w:rsid w:val="00954389"/>
    <w:rsid w:val="009543BB"/>
    <w:rsid w:val="009545D8"/>
    <w:rsid w:val="00954618"/>
    <w:rsid w:val="00954992"/>
    <w:rsid w:val="00954A8A"/>
    <w:rsid w:val="00954B7C"/>
    <w:rsid w:val="00954D4F"/>
    <w:rsid w:val="00954E3D"/>
    <w:rsid w:val="00954E8A"/>
    <w:rsid w:val="00954EA7"/>
    <w:rsid w:val="00954EBF"/>
    <w:rsid w:val="00954F39"/>
    <w:rsid w:val="00955062"/>
    <w:rsid w:val="009551A5"/>
    <w:rsid w:val="009551CF"/>
    <w:rsid w:val="00955236"/>
    <w:rsid w:val="0095526C"/>
    <w:rsid w:val="009553DF"/>
    <w:rsid w:val="00955595"/>
    <w:rsid w:val="0095562D"/>
    <w:rsid w:val="009556AF"/>
    <w:rsid w:val="00955741"/>
    <w:rsid w:val="00955806"/>
    <w:rsid w:val="00955880"/>
    <w:rsid w:val="009558DF"/>
    <w:rsid w:val="00955CD4"/>
    <w:rsid w:val="00955D98"/>
    <w:rsid w:val="00955EB8"/>
    <w:rsid w:val="00955F0B"/>
    <w:rsid w:val="00955F30"/>
    <w:rsid w:val="00955F55"/>
    <w:rsid w:val="00956002"/>
    <w:rsid w:val="00956037"/>
    <w:rsid w:val="0095608A"/>
    <w:rsid w:val="009561FA"/>
    <w:rsid w:val="00956251"/>
    <w:rsid w:val="009563F8"/>
    <w:rsid w:val="00956414"/>
    <w:rsid w:val="00956509"/>
    <w:rsid w:val="0095651D"/>
    <w:rsid w:val="00956544"/>
    <w:rsid w:val="00956554"/>
    <w:rsid w:val="00956566"/>
    <w:rsid w:val="009565A6"/>
    <w:rsid w:val="009566B1"/>
    <w:rsid w:val="009567E3"/>
    <w:rsid w:val="00956817"/>
    <w:rsid w:val="0095693B"/>
    <w:rsid w:val="00956A07"/>
    <w:rsid w:val="00956A74"/>
    <w:rsid w:val="00956BE1"/>
    <w:rsid w:val="00956BFE"/>
    <w:rsid w:val="00956C39"/>
    <w:rsid w:val="00956D89"/>
    <w:rsid w:val="00956EF2"/>
    <w:rsid w:val="0095700A"/>
    <w:rsid w:val="009570B2"/>
    <w:rsid w:val="00957196"/>
    <w:rsid w:val="009571B6"/>
    <w:rsid w:val="00957390"/>
    <w:rsid w:val="009573ED"/>
    <w:rsid w:val="00957427"/>
    <w:rsid w:val="0095744B"/>
    <w:rsid w:val="00957475"/>
    <w:rsid w:val="0095782D"/>
    <w:rsid w:val="0095785C"/>
    <w:rsid w:val="0095789F"/>
    <w:rsid w:val="0095790C"/>
    <w:rsid w:val="00957A59"/>
    <w:rsid w:val="00957B8E"/>
    <w:rsid w:val="00957C2D"/>
    <w:rsid w:val="00957C37"/>
    <w:rsid w:val="00957C52"/>
    <w:rsid w:val="00957D63"/>
    <w:rsid w:val="00957DD8"/>
    <w:rsid w:val="00957EAE"/>
    <w:rsid w:val="00957F36"/>
    <w:rsid w:val="00957FFD"/>
    <w:rsid w:val="00960054"/>
    <w:rsid w:val="00960056"/>
    <w:rsid w:val="009601DD"/>
    <w:rsid w:val="009602DD"/>
    <w:rsid w:val="009607D0"/>
    <w:rsid w:val="00960801"/>
    <w:rsid w:val="00960912"/>
    <w:rsid w:val="0096092D"/>
    <w:rsid w:val="00960A35"/>
    <w:rsid w:val="00960B31"/>
    <w:rsid w:val="00960B3F"/>
    <w:rsid w:val="00960B46"/>
    <w:rsid w:val="00960C4E"/>
    <w:rsid w:val="00960D3C"/>
    <w:rsid w:val="00960F32"/>
    <w:rsid w:val="00960F41"/>
    <w:rsid w:val="00960F43"/>
    <w:rsid w:val="0096101F"/>
    <w:rsid w:val="00961594"/>
    <w:rsid w:val="009615CB"/>
    <w:rsid w:val="00961613"/>
    <w:rsid w:val="0096164D"/>
    <w:rsid w:val="00961666"/>
    <w:rsid w:val="009616EA"/>
    <w:rsid w:val="00961805"/>
    <w:rsid w:val="00961868"/>
    <w:rsid w:val="00961896"/>
    <w:rsid w:val="009619BD"/>
    <w:rsid w:val="00961AD7"/>
    <w:rsid w:val="00961B6E"/>
    <w:rsid w:val="00961C86"/>
    <w:rsid w:val="00961CBE"/>
    <w:rsid w:val="00961D6C"/>
    <w:rsid w:val="00961E78"/>
    <w:rsid w:val="00961E7B"/>
    <w:rsid w:val="00961F64"/>
    <w:rsid w:val="00961F88"/>
    <w:rsid w:val="009620DE"/>
    <w:rsid w:val="0096210D"/>
    <w:rsid w:val="00962265"/>
    <w:rsid w:val="00962407"/>
    <w:rsid w:val="00962528"/>
    <w:rsid w:val="00962571"/>
    <w:rsid w:val="00962602"/>
    <w:rsid w:val="0096261C"/>
    <w:rsid w:val="0096265C"/>
    <w:rsid w:val="009626C5"/>
    <w:rsid w:val="009626EE"/>
    <w:rsid w:val="00962873"/>
    <w:rsid w:val="00962A14"/>
    <w:rsid w:val="00962B55"/>
    <w:rsid w:val="00962CEF"/>
    <w:rsid w:val="00962D11"/>
    <w:rsid w:val="00962D4C"/>
    <w:rsid w:val="00963094"/>
    <w:rsid w:val="00963118"/>
    <w:rsid w:val="00963182"/>
    <w:rsid w:val="009631D8"/>
    <w:rsid w:val="00963309"/>
    <w:rsid w:val="009633CA"/>
    <w:rsid w:val="0096354B"/>
    <w:rsid w:val="009635A5"/>
    <w:rsid w:val="009635C2"/>
    <w:rsid w:val="0096361F"/>
    <w:rsid w:val="00963684"/>
    <w:rsid w:val="0096373A"/>
    <w:rsid w:val="00963778"/>
    <w:rsid w:val="0096378A"/>
    <w:rsid w:val="0096393C"/>
    <w:rsid w:val="00963A29"/>
    <w:rsid w:val="00963BCE"/>
    <w:rsid w:val="00963CBF"/>
    <w:rsid w:val="00963D33"/>
    <w:rsid w:val="00963DB3"/>
    <w:rsid w:val="00963DE4"/>
    <w:rsid w:val="00963E22"/>
    <w:rsid w:val="00963ED4"/>
    <w:rsid w:val="00963FAF"/>
    <w:rsid w:val="0096400E"/>
    <w:rsid w:val="0096402F"/>
    <w:rsid w:val="009640CA"/>
    <w:rsid w:val="009640D0"/>
    <w:rsid w:val="009640E8"/>
    <w:rsid w:val="009641FF"/>
    <w:rsid w:val="00964287"/>
    <w:rsid w:val="00964291"/>
    <w:rsid w:val="009642CC"/>
    <w:rsid w:val="0096435C"/>
    <w:rsid w:val="0096436F"/>
    <w:rsid w:val="00964420"/>
    <w:rsid w:val="009645AE"/>
    <w:rsid w:val="009645B0"/>
    <w:rsid w:val="00964703"/>
    <w:rsid w:val="00964714"/>
    <w:rsid w:val="00964748"/>
    <w:rsid w:val="009647EF"/>
    <w:rsid w:val="009648B3"/>
    <w:rsid w:val="009648EE"/>
    <w:rsid w:val="00964A79"/>
    <w:rsid w:val="00964BD8"/>
    <w:rsid w:val="00964D3F"/>
    <w:rsid w:val="00964DD1"/>
    <w:rsid w:val="00964E90"/>
    <w:rsid w:val="00964EEF"/>
    <w:rsid w:val="0096506A"/>
    <w:rsid w:val="009650C8"/>
    <w:rsid w:val="009651F7"/>
    <w:rsid w:val="0096521D"/>
    <w:rsid w:val="009653BF"/>
    <w:rsid w:val="009653CD"/>
    <w:rsid w:val="009656E5"/>
    <w:rsid w:val="0096574F"/>
    <w:rsid w:val="009657AD"/>
    <w:rsid w:val="009657DA"/>
    <w:rsid w:val="0096586E"/>
    <w:rsid w:val="009659CA"/>
    <w:rsid w:val="00965B02"/>
    <w:rsid w:val="00965CD4"/>
    <w:rsid w:val="00965CF9"/>
    <w:rsid w:val="00965E76"/>
    <w:rsid w:val="00965E88"/>
    <w:rsid w:val="00965F66"/>
    <w:rsid w:val="00965F79"/>
    <w:rsid w:val="00966023"/>
    <w:rsid w:val="00966063"/>
    <w:rsid w:val="00966066"/>
    <w:rsid w:val="00966150"/>
    <w:rsid w:val="00966175"/>
    <w:rsid w:val="0096617F"/>
    <w:rsid w:val="009662BA"/>
    <w:rsid w:val="00966369"/>
    <w:rsid w:val="009663B5"/>
    <w:rsid w:val="009665B3"/>
    <w:rsid w:val="0096667F"/>
    <w:rsid w:val="00966824"/>
    <w:rsid w:val="00966998"/>
    <w:rsid w:val="00966A7B"/>
    <w:rsid w:val="00966AAA"/>
    <w:rsid w:val="00966AD4"/>
    <w:rsid w:val="00966AE0"/>
    <w:rsid w:val="00966AF8"/>
    <w:rsid w:val="00966BB8"/>
    <w:rsid w:val="00966CAF"/>
    <w:rsid w:val="00966CC6"/>
    <w:rsid w:val="00966D77"/>
    <w:rsid w:val="00966D87"/>
    <w:rsid w:val="00966DD1"/>
    <w:rsid w:val="00966E0B"/>
    <w:rsid w:val="00966E2A"/>
    <w:rsid w:val="00966E58"/>
    <w:rsid w:val="00966EA5"/>
    <w:rsid w:val="00966ED0"/>
    <w:rsid w:val="00966F0F"/>
    <w:rsid w:val="00967087"/>
    <w:rsid w:val="00967089"/>
    <w:rsid w:val="00967220"/>
    <w:rsid w:val="009673A3"/>
    <w:rsid w:val="0096747D"/>
    <w:rsid w:val="009675C3"/>
    <w:rsid w:val="009676AF"/>
    <w:rsid w:val="009676F5"/>
    <w:rsid w:val="0096770B"/>
    <w:rsid w:val="00967747"/>
    <w:rsid w:val="00967748"/>
    <w:rsid w:val="0096784F"/>
    <w:rsid w:val="009678B5"/>
    <w:rsid w:val="0096794B"/>
    <w:rsid w:val="009679C3"/>
    <w:rsid w:val="00967A57"/>
    <w:rsid w:val="00967B14"/>
    <w:rsid w:val="00967B3B"/>
    <w:rsid w:val="00967B6C"/>
    <w:rsid w:val="00967F9C"/>
    <w:rsid w:val="009701A9"/>
    <w:rsid w:val="009701B9"/>
    <w:rsid w:val="009703BC"/>
    <w:rsid w:val="009704B6"/>
    <w:rsid w:val="0097067F"/>
    <w:rsid w:val="009706F5"/>
    <w:rsid w:val="0097072B"/>
    <w:rsid w:val="0097075A"/>
    <w:rsid w:val="009707AC"/>
    <w:rsid w:val="00970833"/>
    <w:rsid w:val="00970997"/>
    <w:rsid w:val="00970BB7"/>
    <w:rsid w:val="00970D01"/>
    <w:rsid w:val="00970D5E"/>
    <w:rsid w:val="00970DDB"/>
    <w:rsid w:val="00970F9C"/>
    <w:rsid w:val="009710BB"/>
    <w:rsid w:val="009710D9"/>
    <w:rsid w:val="009711F0"/>
    <w:rsid w:val="00971215"/>
    <w:rsid w:val="00971381"/>
    <w:rsid w:val="00971469"/>
    <w:rsid w:val="0097155C"/>
    <w:rsid w:val="0097168B"/>
    <w:rsid w:val="00971753"/>
    <w:rsid w:val="00971862"/>
    <w:rsid w:val="00971929"/>
    <w:rsid w:val="00971AA0"/>
    <w:rsid w:val="00971B25"/>
    <w:rsid w:val="00971B44"/>
    <w:rsid w:val="00971C66"/>
    <w:rsid w:val="00971D3C"/>
    <w:rsid w:val="00971EBF"/>
    <w:rsid w:val="00971F0A"/>
    <w:rsid w:val="00971FC8"/>
    <w:rsid w:val="009721F6"/>
    <w:rsid w:val="00972238"/>
    <w:rsid w:val="00972271"/>
    <w:rsid w:val="0097236A"/>
    <w:rsid w:val="0097245D"/>
    <w:rsid w:val="00972540"/>
    <w:rsid w:val="00972560"/>
    <w:rsid w:val="009725B9"/>
    <w:rsid w:val="0097273A"/>
    <w:rsid w:val="00972807"/>
    <w:rsid w:val="00972899"/>
    <w:rsid w:val="009728DF"/>
    <w:rsid w:val="00972BB7"/>
    <w:rsid w:val="00972C42"/>
    <w:rsid w:val="00972D46"/>
    <w:rsid w:val="00972D5F"/>
    <w:rsid w:val="00972E20"/>
    <w:rsid w:val="00972EEB"/>
    <w:rsid w:val="00972FBF"/>
    <w:rsid w:val="009730EF"/>
    <w:rsid w:val="00973258"/>
    <w:rsid w:val="00973288"/>
    <w:rsid w:val="0097337A"/>
    <w:rsid w:val="0097340E"/>
    <w:rsid w:val="00973427"/>
    <w:rsid w:val="0097348D"/>
    <w:rsid w:val="009734B0"/>
    <w:rsid w:val="0097356C"/>
    <w:rsid w:val="00973648"/>
    <w:rsid w:val="00973693"/>
    <w:rsid w:val="00973766"/>
    <w:rsid w:val="0097376F"/>
    <w:rsid w:val="0097377D"/>
    <w:rsid w:val="00973876"/>
    <w:rsid w:val="009738B9"/>
    <w:rsid w:val="00973927"/>
    <w:rsid w:val="0097392B"/>
    <w:rsid w:val="00973AAD"/>
    <w:rsid w:val="00973B58"/>
    <w:rsid w:val="00973C50"/>
    <w:rsid w:val="00973E9A"/>
    <w:rsid w:val="00973F55"/>
    <w:rsid w:val="00973F5E"/>
    <w:rsid w:val="009741A3"/>
    <w:rsid w:val="0097422E"/>
    <w:rsid w:val="00974447"/>
    <w:rsid w:val="00974549"/>
    <w:rsid w:val="00974589"/>
    <w:rsid w:val="00974698"/>
    <w:rsid w:val="009748CD"/>
    <w:rsid w:val="00974980"/>
    <w:rsid w:val="009749FF"/>
    <w:rsid w:val="00974A9D"/>
    <w:rsid w:val="00974AA0"/>
    <w:rsid w:val="00974AFC"/>
    <w:rsid w:val="00974B3A"/>
    <w:rsid w:val="00974C58"/>
    <w:rsid w:val="00974D45"/>
    <w:rsid w:val="00974DBC"/>
    <w:rsid w:val="00974DFA"/>
    <w:rsid w:val="00975025"/>
    <w:rsid w:val="00975285"/>
    <w:rsid w:val="009753A0"/>
    <w:rsid w:val="00975460"/>
    <w:rsid w:val="00975630"/>
    <w:rsid w:val="00975666"/>
    <w:rsid w:val="009756FC"/>
    <w:rsid w:val="009757D5"/>
    <w:rsid w:val="009758A1"/>
    <w:rsid w:val="009758CF"/>
    <w:rsid w:val="0097593C"/>
    <w:rsid w:val="0097598A"/>
    <w:rsid w:val="00975AF5"/>
    <w:rsid w:val="00975B25"/>
    <w:rsid w:val="00975D6D"/>
    <w:rsid w:val="00975DE4"/>
    <w:rsid w:val="00975DEF"/>
    <w:rsid w:val="00975EE1"/>
    <w:rsid w:val="00975EF9"/>
    <w:rsid w:val="00975F53"/>
    <w:rsid w:val="0097600D"/>
    <w:rsid w:val="0097619C"/>
    <w:rsid w:val="009761F8"/>
    <w:rsid w:val="0097646C"/>
    <w:rsid w:val="009764E3"/>
    <w:rsid w:val="009765C1"/>
    <w:rsid w:val="009765F2"/>
    <w:rsid w:val="00976607"/>
    <w:rsid w:val="00976625"/>
    <w:rsid w:val="00976663"/>
    <w:rsid w:val="00976750"/>
    <w:rsid w:val="00976906"/>
    <w:rsid w:val="00976919"/>
    <w:rsid w:val="009769F6"/>
    <w:rsid w:val="009769FC"/>
    <w:rsid w:val="00976A31"/>
    <w:rsid w:val="00976B72"/>
    <w:rsid w:val="00976B88"/>
    <w:rsid w:val="00976BD1"/>
    <w:rsid w:val="00976CDC"/>
    <w:rsid w:val="00976DAD"/>
    <w:rsid w:val="00976F07"/>
    <w:rsid w:val="00976F22"/>
    <w:rsid w:val="00976F4C"/>
    <w:rsid w:val="0097707C"/>
    <w:rsid w:val="009771E2"/>
    <w:rsid w:val="009774E5"/>
    <w:rsid w:val="00977597"/>
    <w:rsid w:val="0097771D"/>
    <w:rsid w:val="009777C7"/>
    <w:rsid w:val="00977906"/>
    <w:rsid w:val="00977943"/>
    <w:rsid w:val="00977A16"/>
    <w:rsid w:val="00977B4B"/>
    <w:rsid w:val="00977C2B"/>
    <w:rsid w:val="00977C49"/>
    <w:rsid w:val="00977C78"/>
    <w:rsid w:val="00977C94"/>
    <w:rsid w:val="00977CD6"/>
    <w:rsid w:val="00977D15"/>
    <w:rsid w:val="00980296"/>
    <w:rsid w:val="00980299"/>
    <w:rsid w:val="0098034F"/>
    <w:rsid w:val="009803FB"/>
    <w:rsid w:val="00980567"/>
    <w:rsid w:val="00980760"/>
    <w:rsid w:val="009807F1"/>
    <w:rsid w:val="00980849"/>
    <w:rsid w:val="00980974"/>
    <w:rsid w:val="00980C1D"/>
    <w:rsid w:val="00980C5B"/>
    <w:rsid w:val="00980CDD"/>
    <w:rsid w:val="00980D08"/>
    <w:rsid w:val="009810FE"/>
    <w:rsid w:val="0098118C"/>
    <w:rsid w:val="009811BE"/>
    <w:rsid w:val="009811CD"/>
    <w:rsid w:val="009812F3"/>
    <w:rsid w:val="00981359"/>
    <w:rsid w:val="009813C3"/>
    <w:rsid w:val="0098146D"/>
    <w:rsid w:val="009815BA"/>
    <w:rsid w:val="0098162C"/>
    <w:rsid w:val="0098165F"/>
    <w:rsid w:val="0098184C"/>
    <w:rsid w:val="00981904"/>
    <w:rsid w:val="00981A43"/>
    <w:rsid w:val="00981A48"/>
    <w:rsid w:val="00981ACC"/>
    <w:rsid w:val="00981BD7"/>
    <w:rsid w:val="00981C68"/>
    <w:rsid w:val="00981C70"/>
    <w:rsid w:val="00981CB0"/>
    <w:rsid w:val="00981DE2"/>
    <w:rsid w:val="00981EDB"/>
    <w:rsid w:val="00982046"/>
    <w:rsid w:val="0098205A"/>
    <w:rsid w:val="00982154"/>
    <w:rsid w:val="009822A0"/>
    <w:rsid w:val="009822C4"/>
    <w:rsid w:val="00982348"/>
    <w:rsid w:val="0098240B"/>
    <w:rsid w:val="00982437"/>
    <w:rsid w:val="00982556"/>
    <w:rsid w:val="009827C3"/>
    <w:rsid w:val="00982880"/>
    <w:rsid w:val="009829B0"/>
    <w:rsid w:val="009829DB"/>
    <w:rsid w:val="00982A3A"/>
    <w:rsid w:val="00982AEF"/>
    <w:rsid w:val="00982BCD"/>
    <w:rsid w:val="00982D43"/>
    <w:rsid w:val="00982DAE"/>
    <w:rsid w:val="00982FB2"/>
    <w:rsid w:val="00982FC2"/>
    <w:rsid w:val="00982FEB"/>
    <w:rsid w:val="009831AC"/>
    <w:rsid w:val="00983212"/>
    <w:rsid w:val="0098321A"/>
    <w:rsid w:val="0098323C"/>
    <w:rsid w:val="0098327F"/>
    <w:rsid w:val="009832B3"/>
    <w:rsid w:val="00983377"/>
    <w:rsid w:val="00983406"/>
    <w:rsid w:val="0098359A"/>
    <w:rsid w:val="009835DA"/>
    <w:rsid w:val="00983688"/>
    <w:rsid w:val="009836DA"/>
    <w:rsid w:val="009838FB"/>
    <w:rsid w:val="0098395A"/>
    <w:rsid w:val="00983A1B"/>
    <w:rsid w:val="00983B2E"/>
    <w:rsid w:val="00983B94"/>
    <w:rsid w:val="00983C93"/>
    <w:rsid w:val="00983CA6"/>
    <w:rsid w:val="00983CAA"/>
    <w:rsid w:val="00983D04"/>
    <w:rsid w:val="00983EB7"/>
    <w:rsid w:val="00983F5F"/>
    <w:rsid w:val="00983FC0"/>
    <w:rsid w:val="00983FCD"/>
    <w:rsid w:val="00984024"/>
    <w:rsid w:val="00984084"/>
    <w:rsid w:val="0098408F"/>
    <w:rsid w:val="0098411E"/>
    <w:rsid w:val="0098412E"/>
    <w:rsid w:val="009841A3"/>
    <w:rsid w:val="009841F7"/>
    <w:rsid w:val="00984257"/>
    <w:rsid w:val="009842DB"/>
    <w:rsid w:val="00984408"/>
    <w:rsid w:val="009844CB"/>
    <w:rsid w:val="009844D5"/>
    <w:rsid w:val="00984551"/>
    <w:rsid w:val="0098475D"/>
    <w:rsid w:val="00984928"/>
    <w:rsid w:val="00984AA1"/>
    <w:rsid w:val="00984BE6"/>
    <w:rsid w:val="00984D9E"/>
    <w:rsid w:val="00984DD0"/>
    <w:rsid w:val="00984E5C"/>
    <w:rsid w:val="00984EEE"/>
    <w:rsid w:val="00984F99"/>
    <w:rsid w:val="00984FA5"/>
    <w:rsid w:val="00984FCD"/>
    <w:rsid w:val="00985027"/>
    <w:rsid w:val="0098514C"/>
    <w:rsid w:val="00985181"/>
    <w:rsid w:val="00985348"/>
    <w:rsid w:val="00985357"/>
    <w:rsid w:val="00985453"/>
    <w:rsid w:val="009854E1"/>
    <w:rsid w:val="0098575B"/>
    <w:rsid w:val="00985875"/>
    <w:rsid w:val="00985947"/>
    <w:rsid w:val="00985984"/>
    <w:rsid w:val="00985A05"/>
    <w:rsid w:val="00985A11"/>
    <w:rsid w:val="00985A16"/>
    <w:rsid w:val="00985D63"/>
    <w:rsid w:val="00985DB3"/>
    <w:rsid w:val="00985DFC"/>
    <w:rsid w:val="00985E91"/>
    <w:rsid w:val="00985F05"/>
    <w:rsid w:val="00986030"/>
    <w:rsid w:val="00986059"/>
    <w:rsid w:val="009860C9"/>
    <w:rsid w:val="0098631A"/>
    <w:rsid w:val="0098632C"/>
    <w:rsid w:val="009863F4"/>
    <w:rsid w:val="0098645A"/>
    <w:rsid w:val="00986741"/>
    <w:rsid w:val="009867D7"/>
    <w:rsid w:val="0098681A"/>
    <w:rsid w:val="00986825"/>
    <w:rsid w:val="00986877"/>
    <w:rsid w:val="00986A3D"/>
    <w:rsid w:val="00986B19"/>
    <w:rsid w:val="00986BCA"/>
    <w:rsid w:val="00986D2C"/>
    <w:rsid w:val="00986DC0"/>
    <w:rsid w:val="00986DCA"/>
    <w:rsid w:val="00986ECE"/>
    <w:rsid w:val="00986FC7"/>
    <w:rsid w:val="00986FCD"/>
    <w:rsid w:val="00987115"/>
    <w:rsid w:val="009871CA"/>
    <w:rsid w:val="009872C1"/>
    <w:rsid w:val="009873F2"/>
    <w:rsid w:val="00987436"/>
    <w:rsid w:val="00987489"/>
    <w:rsid w:val="0098760E"/>
    <w:rsid w:val="0098765A"/>
    <w:rsid w:val="009876D8"/>
    <w:rsid w:val="00987700"/>
    <w:rsid w:val="00987701"/>
    <w:rsid w:val="00987738"/>
    <w:rsid w:val="009877AC"/>
    <w:rsid w:val="00987877"/>
    <w:rsid w:val="00987A15"/>
    <w:rsid w:val="00987A5F"/>
    <w:rsid w:val="00987C26"/>
    <w:rsid w:val="00987C32"/>
    <w:rsid w:val="00987C69"/>
    <w:rsid w:val="00987DAE"/>
    <w:rsid w:val="00987E23"/>
    <w:rsid w:val="00987E94"/>
    <w:rsid w:val="00990284"/>
    <w:rsid w:val="0099029F"/>
    <w:rsid w:val="009902A6"/>
    <w:rsid w:val="0099030D"/>
    <w:rsid w:val="009903FD"/>
    <w:rsid w:val="00990421"/>
    <w:rsid w:val="009904D3"/>
    <w:rsid w:val="00990504"/>
    <w:rsid w:val="00990514"/>
    <w:rsid w:val="009906BD"/>
    <w:rsid w:val="0099071C"/>
    <w:rsid w:val="0099072A"/>
    <w:rsid w:val="0099074B"/>
    <w:rsid w:val="00990761"/>
    <w:rsid w:val="009907D7"/>
    <w:rsid w:val="00990923"/>
    <w:rsid w:val="00990AD1"/>
    <w:rsid w:val="00990AFF"/>
    <w:rsid w:val="00990B2B"/>
    <w:rsid w:val="00990B39"/>
    <w:rsid w:val="00990B77"/>
    <w:rsid w:val="00990BC9"/>
    <w:rsid w:val="00990DD2"/>
    <w:rsid w:val="00990F68"/>
    <w:rsid w:val="00990FFF"/>
    <w:rsid w:val="009910BF"/>
    <w:rsid w:val="009912AD"/>
    <w:rsid w:val="00991343"/>
    <w:rsid w:val="00991462"/>
    <w:rsid w:val="009914B5"/>
    <w:rsid w:val="009914B7"/>
    <w:rsid w:val="0099151C"/>
    <w:rsid w:val="00991565"/>
    <w:rsid w:val="00991626"/>
    <w:rsid w:val="00991637"/>
    <w:rsid w:val="009916BB"/>
    <w:rsid w:val="00991723"/>
    <w:rsid w:val="009917E7"/>
    <w:rsid w:val="0099190A"/>
    <w:rsid w:val="00991AB2"/>
    <w:rsid w:val="00991B07"/>
    <w:rsid w:val="00991CAD"/>
    <w:rsid w:val="00991CC6"/>
    <w:rsid w:val="00991D01"/>
    <w:rsid w:val="00991EFC"/>
    <w:rsid w:val="00991F2C"/>
    <w:rsid w:val="00991F2D"/>
    <w:rsid w:val="00991F8C"/>
    <w:rsid w:val="00991F8F"/>
    <w:rsid w:val="00991FE0"/>
    <w:rsid w:val="00992042"/>
    <w:rsid w:val="00992211"/>
    <w:rsid w:val="009922DC"/>
    <w:rsid w:val="009923F7"/>
    <w:rsid w:val="0099240A"/>
    <w:rsid w:val="0099247E"/>
    <w:rsid w:val="00992497"/>
    <w:rsid w:val="00992689"/>
    <w:rsid w:val="0099287B"/>
    <w:rsid w:val="009929D9"/>
    <w:rsid w:val="009929F2"/>
    <w:rsid w:val="00992A24"/>
    <w:rsid w:val="00992A36"/>
    <w:rsid w:val="00992AA3"/>
    <w:rsid w:val="00992DCD"/>
    <w:rsid w:val="00992F07"/>
    <w:rsid w:val="009930F9"/>
    <w:rsid w:val="0099312E"/>
    <w:rsid w:val="009933B2"/>
    <w:rsid w:val="009933B3"/>
    <w:rsid w:val="0099347E"/>
    <w:rsid w:val="00993510"/>
    <w:rsid w:val="009935C9"/>
    <w:rsid w:val="009935CA"/>
    <w:rsid w:val="00993670"/>
    <w:rsid w:val="00993711"/>
    <w:rsid w:val="009937D7"/>
    <w:rsid w:val="00993811"/>
    <w:rsid w:val="0099383E"/>
    <w:rsid w:val="0099394F"/>
    <w:rsid w:val="00993A0E"/>
    <w:rsid w:val="00993B72"/>
    <w:rsid w:val="00993BCC"/>
    <w:rsid w:val="00993BF5"/>
    <w:rsid w:val="00993C51"/>
    <w:rsid w:val="00993C5D"/>
    <w:rsid w:val="00993ED5"/>
    <w:rsid w:val="00993F72"/>
    <w:rsid w:val="009940E3"/>
    <w:rsid w:val="009941EE"/>
    <w:rsid w:val="009941FF"/>
    <w:rsid w:val="009942AC"/>
    <w:rsid w:val="009942BE"/>
    <w:rsid w:val="009943B8"/>
    <w:rsid w:val="00994590"/>
    <w:rsid w:val="00994639"/>
    <w:rsid w:val="00994674"/>
    <w:rsid w:val="0099475C"/>
    <w:rsid w:val="0099477C"/>
    <w:rsid w:val="009948AE"/>
    <w:rsid w:val="0099490F"/>
    <w:rsid w:val="00994A8C"/>
    <w:rsid w:val="00994A8F"/>
    <w:rsid w:val="00994ADA"/>
    <w:rsid w:val="00994CDD"/>
    <w:rsid w:val="00994E4F"/>
    <w:rsid w:val="00994E8C"/>
    <w:rsid w:val="00995088"/>
    <w:rsid w:val="0099510F"/>
    <w:rsid w:val="009951D1"/>
    <w:rsid w:val="0099531E"/>
    <w:rsid w:val="0099537C"/>
    <w:rsid w:val="00995406"/>
    <w:rsid w:val="0099540D"/>
    <w:rsid w:val="00995435"/>
    <w:rsid w:val="009954A7"/>
    <w:rsid w:val="00995514"/>
    <w:rsid w:val="00995594"/>
    <w:rsid w:val="009956DE"/>
    <w:rsid w:val="00995790"/>
    <w:rsid w:val="009957B2"/>
    <w:rsid w:val="009957B7"/>
    <w:rsid w:val="009958BC"/>
    <w:rsid w:val="0099594F"/>
    <w:rsid w:val="00995973"/>
    <w:rsid w:val="00995A1C"/>
    <w:rsid w:val="00995B91"/>
    <w:rsid w:val="00995C3B"/>
    <w:rsid w:val="00995D5B"/>
    <w:rsid w:val="00995DA9"/>
    <w:rsid w:val="00995DEB"/>
    <w:rsid w:val="00995E9D"/>
    <w:rsid w:val="00995F9F"/>
    <w:rsid w:val="0099607B"/>
    <w:rsid w:val="009960CF"/>
    <w:rsid w:val="0099611A"/>
    <w:rsid w:val="009961DD"/>
    <w:rsid w:val="00996284"/>
    <w:rsid w:val="0099631C"/>
    <w:rsid w:val="0099633C"/>
    <w:rsid w:val="0099646F"/>
    <w:rsid w:val="009966F7"/>
    <w:rsid w:val="0099670D"/>
    <w:rsid w:val="009968A1"/>
    <w:rsid w:val="009968F3"/>
    <w:rsid w:val="00996AAA"/>
    <w:rsid w:val="00996B32"/>
    <w:rsid w:val="00996B34"/>
    <w:rsid w:val="00996C62"/>
    <w:rsid w:val="00996CDA"/>
    <w:rsid w:val="00996D75"/>
    <w:rsid w:val="00996EB3"/>
    <w:rsid w:val="00996F8E"/>
    <w:rsid w:val="0099705C"/>
    <w:rsid w:val="009970B9"/>
    <w:rsid w:val="00997256"/>
    <w:rsid w:val="009972A1"/>
    <w:rsid w:val="009973C1"/>
    <w:rsid w:val="009973C3"/>
    <w:rsid w:val="00997438"/>
    <w:rsid w:val="0099765F"/>
    <w:rsid w:val="009976B8"/>
    <w:rsid w:val="0099796F"/>
    <w:rsid w:val="009979ED"/>
    <w:rsid w:val="00997A2F"/>
    <w:rsid w:val="00997C5E"/>
    <w:rsid w:val="00997CA7"/>
    <w:rsid w:val="00997D74"/>
    <w:rsid w:val="00997DB8"/>
    <w:rsid w:val="00997EAC"/>
    <w:rsid w:val="00997F3E"/>
    <w:rsid w:val="009A0041"/>
    <w:rsid w:val="009A00A7"/>
    <w:rsid w:val="009A02CE"/>
    <w:rsid w:val="009A0327"/>
    <w:rsid w:val="009A0376"/>
    <w:rsid w:val="009A048C"/>
    <w:rsid w:val="009A05C9"/>
    <w:rsid w:val="009A07B7"/>
    <w:rsid w:val="009A09A3"/>
    <w:rsid w:val="009A0B10"/>
    <w:rsid w:val="009A0B43"/>
    <w:rsid w:val="009A0BD0"/>
    <w:rsid w:val="009A0D0A"/>
    <w:rsid w:val="009A0D48"/>
    <w:rsid w:val="009A0E18"/>
    <w:rsid w:val="009A0E46"/>
    <w:rsid w:val="009A0F9F"/>
    <w:rsid w:val="009A0FFD"/>
    <w:rsid w:val="009A1094"/>
    <w:rsid w:val="009A1135"/>
    <w:rsid w:val="009A12D5"/>
    <w:rsid w:val="009A12FC"/>
    <w:rsid w:val="009A1412"/>
    <w:rsid w:val="009A151B"/>
    <w:rsid w:val="009A1581"/>
    <w:rsid w:val="009A1602"/>
    <w:rsid w:val="009A162F"/>
    <w:rsid w:val="009A166C"/>
    <w:rsid w:val="009A169E"/>
    <w:rsid w:val="009A16B5"/>
    <w:rsid w:val="009A175A"/>
    <w:rsid w:val="009A17B3"/>
    <w:rsid w:val="009A17E0"/>
    <w:rsid w:val="009A18AE"/>
    <w:rsid w:val="009A191D"/>
    <w:rsid w:val="009A196B"/>
    <w:rsid w:val="009A1A4B"/>
    <w:rsid w:val="009A1B7D"/>
    <w:rsid w:val="009A1BCA"/>
    <w:rsid w:val="009A1C62"/>
    <w:rsid w:val="009A1E83"/>
    <w:rsid w:val="009A1EC1"/>
    <w:rsid w:val="009A1EF9"/>
    <w:rsid w:val="009A1F97"/>
    <w:rsid w:val="009A1FEC"/>
    <w:rsid w:val="009A205A"/>
    <w:rsid w:val="009A2205"/>
    <w:rsid w:val="009A2270"/>
    <w:rsid w:val="009A22A3"/>
    <w:rsid w:val="009A2317"/>
    <w:rsid w:val="009A2336"/>
    <w:rsid w:val="009A2379"/>
    <w:rsid w:val="009A2779"/>
    <w:rsid w:val="009A28D3"/>
    <w:rsid w:val="009A29A0"/>
    <w:rsid w:val="009A2C05"/>
    <w:rsid w:val="009A2C3D"/>
    <w:rsid w:val="009A2CE3"/>
    <w:rsid w:val="009A2E1C"/>
    <w:rsid w:val="009A2ED4"/>
    <w:rsid w:val="009A2F0E"/>
    <w:rsid w:val="009A2FDB"/>
    <w:rsid w:val="009A309E"/>
    <w:rsid w:val="009A316D"/>
    <w:rsid w:val="009A3173"/>
    <w:rsid w:val="009A31DA"/>
    <w:rsid w:val="009A3330"/>
    <w:rsid w:val="009A33EE"/>
    <w:rsid w:val="009A366F"/>
    <w:rsid w:val="009A36C3"/>
    <w:rsid w:val="009A36DC"/>
    <w:rsid w:val="009A3707"/>
    <w:rsid w:val="009A37C2"/>
    <w:rsid w:val="009A37C8"/>
    <w:rsid w:val="009A38FA"/>
    <w:rsid w:val="009A3903"/>
    <w:rsid w:val="009A390F"/>
    <w:rsid w:val="009A3932"/>
    <w:rsid w:val="009A3A39"/>
    <w:rsid w:val="009A3B94"/>
    <w:rsid w:val="009A3C3C"/>
    <w:rsid w:val="009A3CB9"/>
    <w:rsid w:val="009A3CE5"/>
    <w:rsid w:val="009A3DE8"/>
    <w:rsid w:val="009A3E84"/>
    <w:rsid w:val="009A3EB1"/>
    <w:rsid w:val="009A3F39"/>
    <w:rsid w:val="009A3F5B"/>
    <w:rsid w:val="009A4087"/>
    <w:rsid w:val="009A4158"/>
    <w:rsid w:val="009A4183"/>
    <w:rsid w:val="009A41BD"/>
    <w:rsid w:val="009A41DD"/>
    <w:rsid w:val="009A4251"/>
    <w:rsid w:val="009A4254"/>
    <w:rsid w:val="009A4477"/>
    <w:rsid w:val="009A46C0"/>
    <w:rsid w:val="009A4720"/>
    <w:rsid w:val="009A48A4"/>
    <w:rsid w:val="009A4929"/>
    <w:rsid w:val="009A4A35"/>
    <w:rsid w:val="009A4A63"/>
    <w:rsid w:val="009A4AF6"/>
    <w:rsid w:val="009A4C40"/>
    <w:rsid w:val="009A4F6D"/>
    <w:rsid w:val="009A50FB"/>
    <w:rsid w:val="009A529D"/>
    <w:rsid w:val="009A54D3"/>
    <w:rsid w:val="009A5520"/>
    <w:rsid w:val="009A5577"/>
    <w:rsid w:val="009A5654"/>
    <w:rsid w:val="009A571D"/>
    <w:rsid w:val="009A5797"/>
    <w:rsid w:val="009A5828"/>
    <w:rsid w:val="009A593C"/>
    <w:rsid w:val="009A59C1"/>
    <w:rsid w:val="009A5B00"/>
    <w:rsid w:val="009A5B09"/>
    <w:rsid w:val="009A5C75"/>
    <w:rsid w:val="009A5CDF"/>
    <w:rsid w:val="009A5D60"/>
    <w:rsid w:val="009A5E83"/>
    <w:rsid w:val="009A5FB9"/>
    <w:rsid w:val="009A600A"/>
    <w:rsid w:val="009A6039"/>
    <w:rsid w:val="009A60A3"/>
    <w:rsid w:val="009A610D"/>
    <w:rsid w:val="009A610F"/>
    <w:rsid w:val="009A6116"/>
    <w:rsid w:val="009A6247"/>
    <w:rsid w:val="009A6260"/>
    <w:rsid w:val="009A63AE"/>
    <w:rsid w:val="009A6443"/>
    <w:rsid w:val="009A6486"/>
    <w:rsid w:val="009A64C7"/>
    <w:rsid w:val="009A65A1"/>
    <w:rsid w:val="009A6633"/>
    <w:rsid w:val="009A674F"/>
    <w:rsid w:val="009A67BB"/>
    <w:rsid w:val="009A67D5"/>
    <w:rsid w:val="009A69EB"/>
    <w:rsid w:val="009A6A8E"/>
    <w:rsid w:val="009A6C3C"/>
    <w:rsid w:val="009A6C7B"/>
    <w:rsid w:val="009A6CA6"/>
    <w:rsid w:val="009A6CC7"/>
    <w:rsid w:val="009A6CD0"/>
    <w:rsid w:val="009A6DFA"/>
    <w:rsid w:val="009A6E77"/>
    <w:rsid w:val="009A6F02"/>
    <w:rsid w:val="009A6F33"/>
    <w:rsid w:val="009A7114"/>
    <w:rsid w:val="009A72C5"/>
    <w:rsid w:val="009A7393"/>
    <w:rsid w:val="009A73A4"/>
    <w:rsid w:val="009A75BA"/>
    <w:rsid w:val="009A7621"/>
    <w:rsid w:val="009A7653"/>
    <w:rsid w:val="009A7717"/>
    <w:rsid w:val="009A77D2"/>
    <w:rsid w:val="009A77F4"/>
    <w:rsid w:val="009A783E"/>
    <w:rsid w:val="009A7ACC"/>
    <w:rsid w:val="009A7B1F"/>
    <w:rsid w:val="009A7E6A"/>
    <w:rsid w:val="009A7F52"/>
    <w:rsid w:val="009A7F7F"/>
    <w:rsid w:val="009A7FDC"/>
    <w:rsid w:val="009ADDDC"/>
    <w:rsid w:val="009B001F"/>
    <w:rsid w:val="009B004B"/>
    <w:rsid w:val="009B0179"/>
    <w:rsid w:val="009B0319"/>
    <w:rsid w:val="009B03EB"/>
    <w:rsid w:val="009B0425"/>
    <w:rsid w:val="009B0469"/>
    <w:rsid w:val="009B055E"/>
    <w:rsid w:val="009B0651"/>
    <w:rsid w:val="009B067B"/>
    <w:rsid w:val="009B0688"/>
    <w:rsid w:val="009B07D0"/>
    <w:rsid w:val="009B0805"/>
    <w:rsid w:val="009B09E6"/>
    <w:rsid w:val="009B0B7B"/>
    <w:rsid w:val="009B0C07"/>
    <w:rsid w:val="009B0E21"/>
    <w:rsid w:val="009B0F8A"/>
    <w:rsid w:val="009B103A"/>
    <w:rsid w:val="009B1190"/>
    <w:rsid w:val="009B11E0"/>
    <w:rsid w:val="009B12D4"/>
    <w:rsid w:val="009B1301"/>
    <w:rsid w:val="009B1333"/>
    <w:rsid w:val="009B133C"/>
    <w:rsid w:val="009B1440"/>
    <w:rsid w:val="009B1493"/>
    <w:rsid w:val="009B14E8"/>
    <w:rsid w:val="009B1562"/>
    <w:rsid w:val="009B16E5"/>
    <w:rsid w:val="009B1735"/>
    <w:rsid w:val="009B1823"/>
    <w:rsid w:val="009B1856"/>
    <w:rsid w:val="009B199A"/>
    <w:rsid w:val="009B19CC"/>
    <w:rsid w:val="009B1A84"/>
    <w:rsid w:val="009B1AD0"/>
    <w:rsid w:val="009B1B76"/>
    <w:rsid w:val="009B1C44"/>
    <w:rsid w:val="009B1D33"/>
    <w:rsid w:val="009B1D7B"/>
    <w:rsid w:val="009B1DD3"/>
    <w:rsid w:val="009B1E74"/>
    <w:rsid w:val="009B1F44"/>
    <w:rsid w:val="009B1FFD"/>
    <w:rsid w:val="009B22FC"/>
    <w:rsid w:val="009B235C"/>
    <w:rsid w:val="009B237D"/>
    <w:rsid w:val="009B2492"/>
    <w:rsid w:val="009B25D1"/>
    <w:rsid w:val="009B27FD"/>
    <w:rsid w:val="009B28C8"/>
    <w:rsid w:val="009B29CA"/>
    <w:rsid w:val="009B2AD4"/>
    <w:rsid w:val="009B2B1E"/>
    <w:rsid w:val="009B2BB8"/>
    <w:rsid w:val="009B2BCB"/>
    <w:rsid w:val="009B2DA2"/>
    <w:rsid w:val="009B2DDF"/>
    <w:rsid w:val="009B2E28"/>
    <w:rsid w:val="009B2F59"/>
    <w:rsid w:val="009B2F8A"/>
    <w:rsid w:val="009B2FE9"/>
    <w:rsid w:val="009B3030"/>
    <w:rsid w:val="009B307E"/>
    <w:rsid w:val="009B31C1"/>
    <w:rsid w:val="009B32C0"/>
    <w:rsid w:val="009B32CA"/>
    <w:rsid w:val="009B32ED"/>
    <w:rsid w:val="009B3335"/>
    <w:rsid w:val="009B33E9"/>
    <w:rsid w:val="009B3440"/>
    <w:rsid w:val="009B3474"/>
    <w:rsid w:val="009B3480"/>
    <w:rsid w:val="009B34B9"/>
    <w:rsid w:val="009B352C"/>
    <w:rsid w:val="009B3926"/>
    <w:rsid w:val="009B3966"/>
    <w:rsid w:val="009B3B99"/>
    <w:rsid w:val="009B3D0B"/>
    <w:rsid w:val="009B3D1F"/>
    <w:rsid w:val="009B3EA8"/>
    <w:rsid w:val="009B3F1B"/>
    <w:rsid w:val="009B3F4B"/>
    <w:rsid w:val="009B3F52"/>
    <w:rsid w:val="009B40D4"/>
    <w:rsid w:val="009B410C"/>
    <w:rsid w:val="009B4124"/>
    <w:rsid w:val="009B4193"/>
    <w:rsid w:val="009B4244"/>
    <w:rsid w:val="009B427A"/>
    <w:rsid w:val="009B42A4"/>
    <w:rsid w:val="009B42AA"/>
    <w:rsid w:val="009B4352"/>
    <w:rsid w:val="009B4432"/>
    <w:rsid w:val="009B4462"/>
    <w:rsid w:val="009B469E"/>
    <w:rsid w:val="009B4749"/>
    <w:rsid w:val="009B4888"/>
    <w:rsid w:val="009B4898"/>
    <w:rsid w:val="009B490E"/>
    <w:rsid w:val="009B4A7F"/>
    <w:rsid w:val="009B4AF2"/>
    <w:rsid w:val="009B4C45"/>
    <w:rsid w:val="009B4C48"/>
    <w:rsid w:val="009B4C73"/>
    <w:rsid w:val="009B4D56"/>
    <w:rsid w:val="009B5141"/>
    <w:rsid w:val="009B5151"/>
    <w:rsid w:val="009B5267"/>
    <w:rsid w:val="009B5269"/>
    <w:rsid w:val="009B5391"/>
    <w:rsid w:val="009B5394"/>
    <w:rsid w:val="009B54D8"/>
    <w:rsid w:val="009B5569"/>
    <w:rsid w:val="009B5684"/>
    <w:rsid w:val="009B56D8"/>
    <w:rsid w:val="009B575C"/>
    <w:rsid w:val="009B580C"/>
    <w:rsid w:val="009B5835"/>
    <w:rsid w:val="009B58C6"/>
    <w:rsid w:val="009B5918"/>
    <w:rsid w:val="009B593A"/>
    <w:rsid w:val="009B5A26"/>
    <w:rsid w:val="009B5A81"/>
    <w:rsid w:val="009B5AF0"/>
    <w:rsid w:val="009B5BCA"/>
    <w:rsid w:val="009B5C27"/>
    <w:rsid w:val="009B5C76"/>
    <w:rsid w:val="009B5CAD"/>
    <w:rsid w:val="009B5D13"/>
    <w:rsid w:val="009B5E48"/>
    <w:rsid w:val="009B5E57"/>
    <w:rsid w:val="009B5F64"/>
    <w:rsid w:val="009B5F6C"/>
    <w:rsid w:val="009B5F90"/>
    <w:rsid w:val="009B6065"/>
    <w:rsid w:val="009B6066"/>
    <w:rsid w:val="009B6232"/>
    <w:rsid w:val="009B6330"/>
    <w:rsid w:val="009B6383"/>
    <w:rsid w:val="009B63AE"/>
    <w:rsid w:val="009B640D"/>
    <w:rsid w:val="009B66B0"/>
    <w:rsid w:val="009B66EF"/>
    <w:rsid w:val="009B6716"/>
    <w:rsid w:val="009B671B"/>
    <w:rsid w:val="009B67B5"/>
    <w:rsid w:val="009B692F"/>
    <w:rsid w:val="009B6939"/>
    <w:rsid w:val="009B697C"/>
    <w:rsid w:val="009B6A7B"/>
    <w:rsid w:val="009B6B02"/>
    <w:rsid w:val="009B6B3A"/>
    <w:rsid w:val="009B6B4D"/>
    <w:rsid w:val="009B6BAF"/>
    <w:rsid w:val="009B6BD5"/>
    <w:rsid w:val="009B6C45"/>
    <w:rsid w:val="009B6C7A"/>
    <w:rsid w:val="009B6DDA"/>
    <w:rsid w:val="009B6DED"/>
    <w:rsid w:val="009B6E88"/>
    <w:rsid w:val="009B6F48"/>
    <w:rsid w:val="009B6FD9"/>
    <w:rsid w:val="009B704D"/>
    <w:rsid w:val="009B7074"/>
    <w:rsid w:val="009B70DD"/>
    <w:rsid w:val="009B73A2"/>
    <w:rsid w:val="009B73F2"/>
    <w:rsid w:val="009B7465"/>
    <w:rsid w:val="009B74C5"/>
    <w:rsid w:val="009B7500"/>
    <w:rsid w:val="009B777B"/>
    <w:rsid w:val="009B77C2"/>
    <w:rsid w:val="009B784E"/>
    <w:rsid w:val="009B7882"/>
    <w:rsid w:val="009B7AA1"/>
    <w:rsid w:val="009B7B37"/>
    <w:rsid w:val="009B7B49"/>
    <w:rsid w:val="009B7CA7"/>
    <w:rsid w:val="009B7CF5"/>
    <w:rsid w:val="009B7D2E"/>
    <w:rsid w:val="009B7DFC"/>
    <w:rsid w:val="009B7E52"/>
    <w:rsid w:val="009B7E69"/>
    <w:rsid w:val="009C02B2"/>
    <w:rsid w:val="009C0338"/>
    <w:rsid w:val="009C0350"/>
    <w:rsid w:val="009C0404"/>
    <w:rsid w:val="009C04AC"/>
    <w:rsid w:val="009C0566"/>
    <w:rsid w:val="009C0572"/>
    <w:rsid w:val="009C0624"/>
    <w:rsid w:val="009C062B"/>
    <w:rsid w:val="009C0726"/>
    <w:rsid w:val="009C07B1"/>
    <w:rsid w:val="009C07D6"/>
    <w:rsid w:val="009C07E0"/>
    <w:rsid w:val="009C07F5"/>
    <w:rsid w:val="009C085D"/>
    <w:rsid w:val="009C08A4"/>
    <w:rsid w:val="009C091B"/>
    <w:rsid w:val="009C0984"/>
    <w:rsid w:val="009C0A07"/>
    <w:rsid w:val="009C0A1A"/>
    <w:rsid w:val="009C0B70"/>
    <w:rsid w:val="009C0C7B"/>
    <w:rsid w:val="009C0D14"/>
    <w:rsid w:val="009C0D85"/>
    <w:rsid w:val="009C0E56"/>
    <w:rsid w:val="009C0EF4"/>
    <w:rsid w:val="009C0F6E"/>
    <w:rsid w:val="009C0FE0"/>
    <w:rsid w:val="009C1057"/>
    <w:rsid w:val="009C1158"/>
    <w:rsid w:val="009C1278"/>
    <w:rsid w:val="009C1290"/>
    <w:rsid w:val="009C15D4"/>
    <w:rsid w:val="009C16EF"/>
    <w:rsid w:val="009C173C"/>
    <w:rsid w:val="009C1766"/>
    <w:rsid w:val="009C177D"/>
    <w:rsid w:val="009C17F4"/>
    <w:rsid w:val="009C1823"/>
    <w:rsid w:val="009C1829"/>
    <w:rsid w:val="009C18EA"/>
    <w:rsid w:val="009C19A0"/>
    <w:rsid w:val="009C1B7C"/>
    <w:rsid w:val="009C1C08"/>
    <w:rsid w:val="009C1CE2"/>
    <w:rsid w:val="009C1F06"/>
    <w:rsid w:val="009C20F6"/>
    <w:rsid w:val="009C2174"/>
    <w:rsid w:val="009C2281"/>
    <w:rsid w:val="009C247F"/>
    <w:rsid w:val="009C24C2"/>
    <w:rsid w:val="009C2537"/>
    <w:rsid w:val="009C26A7"/>
    <w:rsid w:val="009C273A"/>
    <w:rsid w:val="009C278C"/>
    <w:rsid w:val="009C27F2"/>
    <w:rsid w:val="009C28DB"/>
    <w:rsid w:val="009C29F6"/>
    <w:rsid w:val="009C2ADE"/>
    <w:rsid w:val="009C2B01"/>
    <w:rsid w:val="009C2B1F"/>
    <w:rsid w:val="009C2C9B"/>
    <w:rsid w:val="009C2D04"/>
    <w:rsid w:val="009C2FB7"/>
    <w:rsid w:val="009C307B"/>
    <w:rsid w:val="009C30EC"/>
    <w:rsid w:val="009C3198"/>
    <w:rsid w:val="009C328E"/>
    <w:rsid w:val="009C3304"/>
    <w:rsid w:val="009C3452"/>
    <w:rsid w:val="009C355A"/>
    <w:rsid w:val="009C3573"/>
    <w:rsid w:val="009C3629"/>
    <w:rsid w:val="009C3801"/>
    <w:rsid w:val="009C3807"/>
    <w:rsid w:val="009C3843"/>
    <w:rsid w:val="009C39DF"/>
    <w:rsid w:val="009C3B86"/>
    <w:rsid w:val="009C3B91"/>
    <w:rsid w:val="009C3B97"/>
    <w:rsid w:val="009C3CCB"/>
    <w:rsid w:val="009C3F41"/>
    <w:rsid w:val="009C3F4B"/>
    <w:rsid w:val="009C3FBD"/>
    <w:rsid w:val="009C4044"/>
    <w:rsid w:val="009C40F8"/>
    <w:rsid w:val="009C419A"/>
    <w:rsid w:val="009C42E1"/>
    <w:rsid w:val="009C43D4"/>
    <w:rsid w:val="009C43EF"/>
    <w:rsid w:val="009C445F"/>
    <w:rsid w:val="009C452D"/>
    <w:rsid w:val="009C45C0"/>
    <w:rsid w:val="009C4606"/>
    <w:rsid w:val="009C4660"/>
    <w:rsid w:val="009C482B"/>
    <w:rsid w:val="009C4831"/>
    <w:rsid w:val="009C4860"/>
    <w:rsid w:val="009C4909"/>
    <w:rsid w:val="009C4D33"/>
    <w:rsid w:val="009C4E5B"/>
    <w:rsid w:val="009C4EE3"/>
    <w:rsid w:val="009C4F88"/>
    <w:rsid w:val="009C4FF0"/>
    <w:rsid w:val="009C50EB"/>
    <w:rsid w:val="009C5388"/>
    <w:rsid w:val="009C540A"/>
    <w:rsid w:val="009C5492"/>
    <w:rsid w:val="009C55CD"/>
    <w:rsid w:val="009C573F"/>
    <w:rsid w:val="009C575D"/>
    <w:rsid w:val="009C5807"/>
    <w:rsid w:val="009C595F"/>
    <w:rsid w:val="009C5974"/>
    <w:rsid w:val="009C598E"/>
    <w:rsid w:val="009C599E"/>
    <w:rsid w:val="009C59EC"/>
    <w:rsid w:val="009C5B05"/>
    <w:rsid w:val="009C5BC2"/>
    <w:rsid w:val="009C5C49"/>
    <w:rsid w:val="009C5D24"/>
    <w:rsid w:val="009C5DAA"/>
    <w:rsid w:val="009C5DE0"/>
    <w:rsid w:val="009C5E24"/>
    <w:rsid w:val="009C5E91"/>
    <w:rsid w:val="009C614F"/>
    <w:rsid w:val="009C6176"/>
    <w:rsid w:val="009C6204"/>
    <w:rsid w:val="009C6263"/>
    <w:rsid w:val="009C6281"/>
    <w:rsid w:val="009C6478"/>
    <w:rsid w:val="009C6523"/>
    <w:rsid w:val="009C652B"/>
    <w:rsid w:val="009C66A5"/>
    <w:rsid w:val="009C66D4"/>
    <w:rsid w:val="009C6757"/>
    <w:rsid w:val="009C6848"/>
    <w:rsid w:val="009C69C0"/>
    <w:rsid w:val="009C6A7D"/>
    <w:rsid w:val="009C6B8D"/>
    <w:rsid w:val="009C6BA4"/>
    <w:rsid w:val="009C6C89"/>
    <w:rsid w:val="009C6C8A"/>
    <w:rsid w:val="009C6CF9"/>
    <w:rsid w:val="009C6D5A"/>
    <w:rsid w:val="009C6F8A"/>
    <w:rsid w:val="009C6FA2"/>
    <w:rsid w:val="009C723C"/>
    <w:rsid w:val="009C726A"/>
    <w:rsid w:val="009C734F"/>
    <w:rsid w:val="009C7374"/>
    <w:rsid w:val="009C7378"/>
    <w:rsid w:val="009C741E"/>
    <w:rsid w:val="009C741F"/>
    <w:rsid w:val="009C7568"/>
    <w:rsid w:val="009C767E"/>
    <w:rsid w:val="009C76F7"/>
    <w:rsid w:val="009C77CD"/>
    <w:rsid w:val="009C78DB"/>
    <w:rsid w:val="009C79E8"/>
    <w:rsid w:val="009C7A2E"/>
    <w:rsid w:val="009C7BB3"/>
    <w:rsid w:val="009C7BD1"/>
    <w:rsid w:val="009C7C36"/>
    <w:rsid w:val="009C7D1D"/>
    <w:rsid w:val="009C7E7B"/>
    <w:rsid w:val="009C7EF5"/>
    <w:rsid w:val="009C7F37"/>
    <w:rsid w:val="009C7F87"/>
    <w:rsid w:val="009C7FC2"/>
    <w:rsid w:val="009C7FF1"/>
    <w:rsid w:val="009D032B"/>
    <w:rsid w:val="009D0546"/>
    <w:rsid w:val="009D057E"/>
    <w:rsid w:val="009D05C8"/>
    <w:rsid w:val="009D07B9"/>
    <w:rsid w:val="009D07C2"/>
    <w:rsid w:val="009D0B1D"/>
    <w:rsid w:val="009D0C08"/>
    <w:rsid w:val="009D0C54"/>
    <w:rsid w:val="009D0D03"/>
    <w:rsid w:val="009D0DB4"/>
    <w:rsid w:val="009D0FFB"/>
    <w:rsid w:val="009D108F"/>
    <w:rsid w:val="009D1125"/>
    <w:rsid w:val="009D1198"/>
    <w:rsid w:val="009D11EC"/>
    <w:rsid w:val="009D11FA"/>
    <w:rsid w:val="009D11FC"/>
    <w:rsid w:val="009D12A2"/>
    <w:rsid w:val="009D134C"/>
    <w:rsid w:val="009D1355"/>
    <w:rsid w:val="009D141B"/>
    <w:rsid w:val="009D1426"/>
    <w:rsid w:val="009D1495"/>
    <w:rsid w:val="009D152C"/>
    <w:rsid w:val="009D16B3"/>
    <w:rsid w:val="009D17FC"/>
    <w:rsid w:val="009D1A8A"/>
    <w:rsid w:val="009D1AEB"/>
    <w:rsid w:val="009D1CB5"/>
    <w:rsid w:val="009D207E"/>
    <w:rsid w:val="009D2241"/>
    <w:rsid w:val="009D23A7"/>
    <w:rsid w:val="009D2601"/>
    <w:rsid w:val="009D2733"/>
    <w:rsid w:val="009D27C7"/>
    <w:rsid w:val="009D27FE"/>
    <w:rsid w:val="009D283C"/>
    <w:rsid w:val="009D2A36"/>
    <w:rsid w:val="009D2A53"/>
    <w:rsid w:val="009D2B07"/>
    <w:rsid w:val="009D2B59"/>
    <w:rsid w:val="009D2BB3"/>
    <w:rsid w:val="009D2C23"/>
    <w:rsid w:val="009D2C29"/>
    <w:rsid w:val="009D2CF4"/>
    <w:rsid w:val="009D2D96"/>
    <w:rsid w:val="009D2E3E"/>
    <w:rsid w:val="009D2EA7"/>
    <w:rsid w:val="009D2F53"/>
    <w:rsid w:val="009D2F70"/>
    <w:rsid w:val="009D2FB1"/>
    <w:rsid w:val="009D303F"/>
    <w:rsid w:val="009D308E"/>
    <w:rsid w:val="009D31FB"/>
    <w:rsid w:val="009D32E7"/>
    <w:rsid w:val="009D3383"/>
    <w:rsid w:val="009D3407"/>
    <w:rsid w:val="009D3418"/>
    <w:rsid w:val="009D3495"/>
    <w:rsid w:val="009D3650"/>
    <w:rsid w:val="009D37C3"/>
    <w:rsid w:val="009D382D"/>
    <w:rsid w:val="009D384F"/>
    <w:rsid w:val="009D399A"/>
    <w:rsid w:val="009D3A3D"/>
    <w:rsid w:val="009D3A9F"/>
    <w:rsid w:val="009D3B8B"/>
    <w:rsid w:val="009D3CBA"/>
    <w:rsid w:val="009D3CC1"/>
    <w:rsid w:val="009D3DAD"/>
    <w:rsid w:val="009D3E8D"/>
    <w:rsid w:val="009D3F64"/>
    <w:rsid w:val="009D3F78"/>
    <w:rsid w:val="009D4017"/>
    <w:rsid w:val="009D401D"/>
    <w:rsid w:val="009D4030"/>
    <w:rsid w:val="009D405D"/>
    <w:rsid w:val="009D441D"/>
    <w:rsid w:val="009D4475"/>
    <w:rsid w:val="009D4538"/>
    <w:rsid w:val="009D469A"/>
    <w:rsid w:val="009D48C1"/>
    <w:rsid w:val="009D49A4"/>
    <w:rsid w:val="009D4B18"/>
    <w:rsid w:val="009D4C03"/>
    <w:rsid w:val="009D4C25"/>
    <w:rsid w:val="009D4D9D"/>
    <w:rsid w:val="009D4EA4"/>
    <w:rsid w:val="009D4F8E"/>
    <w:rsid w:val="009D4FC9"/>
    <w:rsid w:val="009D5007"/>
    <w:rsid w:val="009D50D5"/>
    <w:rsid w:val="009D513C"/>
    <w:rsid w:val="009D5187"/>
    <w:rsid w:val="009D51A2"/>
    <w:rsid w:val="009D5247"/>
    <w:rsid w:val="009D525D"/>
    <w:rsid w:val="009D52AF"/>
    <w:rsid w:val="009D5380"/>
    <w:rsid w:val="009D5417"/>
    <w:rsid w:val="009D551E"/>
    <w:rsid w:val="009D55FA"/>
    <w:rsid w:val="009D57CC"/>
    <w:rsid w:val="009D5834"/>
    <w:rsid w:val="009D5A22"/>
    <w:rsid w:val="009D5BEF"/>
    <w:rsid w:val="009D5C3B"/>
    <w:rsid w:val="009D5CBA"/>
    <w:rsid w:val="009D5D29"/>
    <w:rsid w:val="009D5D65"/>
    <w:rsid w:val="009D5D71"/>
    <w:rsid w:val="009D5DA3"/>
    <w:rsid w:val="009D5E0F"/>
    <w:rsid w:val="009D5E47"/>
    <w:rsid w:val="009D5E59"/>
    <w:rsid w:val="009D5F7F"/>
    <w:rsid w:val="009D5F93"/>
    <w:rsid w:val="009D5FAE"/>
    <w:rsid w:val="009D6260"/>
    <w:rsid w:val="009D627C"/>
    <w:rsid w:val="009D62C7"/>
    <w:rsid w:val="009D6340"/>
    <w:rsid w:val="009D639A"/>
    <w:rsid w:val="009D6409"/>
    <w:rsid w:val="009D6474"/>
    <w:rsid w:val="009D6478"/>
    <w:rsid w:val="009D64BA"/>
    <w:rsid w:val="009D65E0"/>
    <w:rsid w:val="009D665B"/>
    <w:rsid w:val="009D66BC"/>
    <w:rsid w:val="009D66DD"/>
    <w:rsid w:val="009D67B0"/>
    <w:rsid w:val="009D67B7"/>
    <w:rsid w:val="009D6A5D"/>
    <w:rsid w:val="009D6A92"/>
    <w:rsid w:val="009D6ACC"/>
    <w:rsid w:val="009D6B80"/>
    <w:rsid w:val="009D6D5C"/>
    <w:rsid w:val="009D6DA6"/>
    <w:rsid w:val="009D6DA7"/>
    <w:rsid w:val="009D6DD6"/>
    <w:rsid w:val="009D6E11"/>
    <w:rsid w:val="009D6E40"/>
    <w:rsid w:val="009D6E68"/>
    <w:rsid w:val="009D6EC6"/>
    <w:rsid w:val="009D7028"/>
    <w:rsid w:val="009D719A"/>
    <w:rsid w:val="009D71A4"/>
    <w:rsid w:val="009D72C4"/>
    <w:rsid w:val="009D72E0"/>
    <w:rsid w:val="009D7391"/>
    <w:rsid w:val="009D742D"/>
    <w:rsid w:val="009D7455"/>
    <w:rsid w:val="009D7498"/>
    <w:rsid w:val="009D769C"/>
    <w:rsid w:val="009D7787"/>
    <w:rsid w:val="009D77BE"/>
    <w:rsid w:val="009D78A3"/>
    <w:rsid w:val="009D78F9"/>
    <w:rsid w:val="009D7927"/>
    <w:rsid w:val="009D79A1"/>
    <w:rsid w:val="009D79C5"/>
    <w:rsid w:val="009D7A2E"/>
    <w:rsid w:val="009D7B1F"/>
    <w:rsid w:val="009D7B90"/>
    <w:rsid w:val="009D7C7C"/>
    <w:rsid w:val="009D7CA8"/>
    <w:rsid w:val="009D7D1B"/>
    <w:rsid w:val="009D7D61"/>
    <w:rsid w:val="009D7E04"/>
    <w:rsid w:val="009D7FC2"/>
    <w:rsid w:val="009E0246"/>
    <w:rsid w:val="009E0377"/>
    <w:rsid w:val="009E03DE"/>
    <w:rsid w:val="009E03F0"/>
    <w:rsid w:val="009E040C"/>
    <w:rsid w:val="009E0495"/>
    <w:rsid w:val="009E04C0"/>
    <w:rsid w:val="009E0591"/>
    <w:rsid w:val="009E0677"/>
    <w:rsid w:val="009E067F"/>
    <w:rsid w:val="009E0711"/>
    <w:rsid w:val="009E071C"/>
    <w:rsid w:val="009E0781"/>
    <w:rsid w:val="009E0946"/>
    <w:rsid w:val="009E09AC"/>
    <w:rsid w:val="009E0A06"/>
    <w:rsid w:val="009E0A26"/>
    <w:rsid w:val="009E0A30"/>
    <w:rsid w:val="009E0AA8"/>
    <w:rsid w:val="009E0CD3"/>
    <w:rsid w:val="009E0D41"/>
    <w:rsid w:val="009E0F90"/>
    <w:rsid w:val="009E10A3"/>
    <w:rsid w:val="009E1128"/>
    <w:rsid w:val="009E1138"/>
    <w:rsid w:val="009E1356"/>
    <w:rsid w:val="009E13C9"/>
    <w:rsid w:val="009E14D8"/>
    <w:rsid w:val="009E14EF"/>
    <w:rsid w:val="009E156E"/>
    <w:rsid w:val="009E160C"/>
    <w:rsid w:val="009E16EF"/>
    <w:rsid w:val="009E17CF"/>
    <w:rsid w:val="009E1849"/>
    <w:rsid w:val="009E18E7"/>
    <w:rsid w:val="009E18FB"/>
    <w:rsid w:val="009E19AD"/>
    <w:rsid w:val="009E19DB"/>
    <w:rsid w:val="009E1AA8"/>
    <w:rsid w:val="009E1B28"/>
    <w:rsid w:val="009E1CBE"/>
    <w:rsid w:val="009E1D07"/>
    <w:rsid w:val="009E1DD2"/>
    <w:rsid w:val="009E1E11"/>
    <w:rsid w:val="009E1F3E"/>
    <w:rsid w:val="009E1F59"/>
    <w:rsid w:val="009E22C6"/>
    <w:rsid w:val="009E23B4"/>
    <w:rsid w:val="009E23BA"/>
    <w:rsid w:val="009E240C"/>
    <w:rsid w:val="009E2539"/>
    <w:rsid w:val="009E254F"/>
    <w:rsid w:val="009E257A"/>
    <w:rsid w:val="009E2668"/>
    <w:rsid w:val="009E2823"/>
    <w:rsid w:val="009E29C7"/>
    <w:rsid w:val="009E29F7"/>
    <w:rsid w:val="009E2A4F"/>
    <w:rsid w:val="009E2B33"/>
    <w:rsid w:val="009E2B61"/>
    <w:rsid w:val="009E2C72"/>
    <w:rsid w:val="009E2D59"/>
    <w:rsid w:val="009E2ED1"/>
    <w:rsid w:val="009E2EFE"/>
    <w:rsid w:val="009E31C6"/>
    <w:rsid w:val="009E31D8"/>
    <w:rsid w:val="009E31F8"/>
    <w:rsid w:val="009E3290"/>
    <w:rsid w:val="009E32A9"/>
    <w:rsid w:val="009E333A"/>
    <w:rsid w:val="009E337F"/>
    <w:rsid w:val="009E33B9"/>
    <w:rsid w:val="009E346D"/>
    <w:rsid w:val="009E351A"/>
    <w:rsid w:val="009E35BF"/>
    <w:rsid w:val="009E35DF"/>
    <w:rsid w:val="009E361C"/>
    <w:rsid w:val="009E37B6"/>
    <w:rsid w:val="009E3804"/>
    <w:rsid w:val="009E3B89"/>
    <w:rsid w:val="009E3D0A"/>
    <w:rsid w:val="009E3E95"/>
    <w:rsid w:val="009E4029"/>
    <w:rsid w:val="009E403E"/>
    <w:rsid w:val="009E4170"/>
    <w:rsid w:val="009E41BC"/>
    <w:rsid w:val="009E42F0"/>
    <w:rsid w:val="009E4436"/>
    <w:rsid w:val="009E4531"/>
    <w:rsid w:val="009E461D"/>
    <w:rsid w:val="009E4671"/>
    <w:rsid w:val="009E46EB"/>
    <w:rsid w:val="009E471C"/>
    <w:rsid w:val="009E4785"/>
    <w:rsid w:val="009E47DB"/>
    <w:rsid w:val="009E48D6"/>
    <w:rsid w:val="009E4942"/>
    <w:rsid w:val="009E49D6"/>
    <w:rsid w:val="009E4A15"/>
    <w:rsid w:val="009E4B3A"/>
    <w:rsid w:val="009E4D1E"/>
    <w:rsid w:val="009E4D90"/>
    <w:rsid w:val="009E4E2C"/>
    <w:rsid w:val="009E4EEE"/>
    <w:rsid w:val="009E4EF0"/>
    <w:rsid w:val="009E4FC2"/>
    <w:rsid w:val="009E5067"/>
    <w:rsid w:val="009E515D"/>
    <w:rsid w:val="009E51FC"/>
    <w:rsid w:val="009E52A3"/>
    <w:rsid w:val="009E53C0"/>
    <w:rsid w:val="009E54EB"/>
    <w:rsid w:val="009E5550"/>
    <w:rsid w:val="009E5587"/>
    <w:rsid w:val="009E5614"/>
    <w:rsid w:val="009E5615"/>
    <w:rsid w:val="009E56C4"/>
    <w:rsid w:val="009E574E"/>
    <w:rsid w:val="009E5764"/>
    <w:rsid w:val="009E580F"/>
    <w:rsid w:val="009E591C"/>
    <w:rsid w:val="009E5923"/>
    <w:rsid w:val="009E5954"/>
    <w:rsid w:val="009E5AB4"/>
    <w:rsid w:val="009E5B2B"/>
    <w:rsid w:val="009E5B5E"/>
    <w:rsid w:val="009E5BC5"/>
    <w:rsid w:val="009E5C3E"/>
    <w:rsid w:val="009E5C91"/>
    <w:rsid w:val="009E5C9A"/>
    <w:rsid w:val="009E5D4E"/>
    <w:rsid w:val="009E5D67"/>
    <w:rsid w:val="009E5E5C"/>
    <w:rsid w:val="009E5EBE"/>
    <w:rsid w:val="009E5EEB"/>
    <w:rsid w:val="009E601F"/>
    <w:rsid w:val="009E60EF"/>
    <w:rsid w:val="009E61A8"/>
    <w:rsid w:val="009E61E8"/>
    <w:rsid w:val="009E61F2"/>
    <w:rsid w:val="009E6279"/>
    <w:rsid w:val="009E651D"/>
    <w:rsid w:val="009E653C"/>
    <w:rsid w:val="009E668C"/>
    <w:rsid w:val="009E67F3"/>
    <w:rsid w:val="009E6889"/>
    <w:rsid w:val="009E6894"/>
    <w:rsid w:val="009E689E"/>
    <w:rsid w:val="009E68BC"/>
    <w:rsid w:val="009E693E"/>
    <w:rsid w:val="009E69F6"/>
    <w:rsid w:val="009E6A0B"/>
    <w:rsid w:val="009E6CE3"/>
    <w:rsid w:val="009E6CED"/>
    <w:rsid w:val="009E6CFB"/>
    <w:rsid w:val="009E6DCF"/>
    <w:rsid w:val="009E6DDC"/>
    <w:rsid w:val="009E6E87"/>
    <w:rsid w:val="009E6F6E"/>
    <w:rsid w:val="009E703E"/>
    <w:rsid w:val="009E70DC"/>
    <w:rsid w:val="009E715F"/>
    <w:rsid w:val="009E73C3"/>
    <w:rsid w:val="009E749A"/>
    <w:rsid w:val="009E74A1"/>
    <w:rsid w:val="009E76F7"/>
    <w:rsid w:val="009E7772"/>
    <w:rsid w:val="009E77C0"/>
    <w:rsid w:val="009E78EE"/>
    <w:rsid w:val="009E79DB"/>
    <w:rsid w:val="009E7A51"/>
    <w:rsid w:val="009E7A78"/>
    <w:rsid w:val="009E7BD6"/>
    <w:rsid w:val="009E7CB6"/>
    <w:rsid w:val="009E7CE3"/>
    <w:rsid w:val="009E7DD4"/>
    <w:rsid w:val="009E7E3F"/>
    <w:rsid w:val="009E7EBB"/>
    <w:rsid w:val="009E7F0C"/>
    <w:rsid w:val="009E7F70"/>
    <w:rsid w:val="009F00EB"/>
    <w:rsid w:val="009F0149"/>
    <w:rsid w:val="009F019B"/>
    <w:rsid w:val="009F01DE"/>
    <w:rsid w:val="009F0279"/>
    <w:rsid w:val="009F0362"/>
    <w:rsid w:val="009F0370"/>
    <w:rsid w:val="009F03C0"/>
    <w:rsid w:val="009F03EC"/>
    <w:rsid w:val="009F0544"/>
    <w:rsid w:val="009F0557"/>
    <w:rsid w:val="009F0780"/>
    <w:rsid w:val="009F080E"/>
    <w:rsid w:val="009F082B"/>
    <w:rsid w:val="009F086E"/>
    <w:rsid w:val="009F092A"/>
    <w:rsid w:val="009F0932"/>
    <w:rsid w:val="009F0953"/>
    <w:rsid w:val="009F09C2"/>
    <w:rsid w:val="009F0A70"/>
    <w:rsid w:val="009F0ACF"/>
    <w:rsid w:val="009F0BAE"/>
    <w:rsid w:val="009F0CC8"/>
    <w:rsid w:val="009F0D23"/>
    <w:rsid w:val="009F0DA1"/>
    <w:rsid w:val="009F0E7B"/>
    <w:rsid w:val="009F0F50"/>
    <w:rsid w:val="009F0F95"/>
    <w:rsid w:val="009F1004"/>
    <w:rsid w:val="009F11AC"/>
    <w:rsid w:val="009F1302"/>
    <w:rsid w:val="009F143C"/>
    <w:rsid w:val="009F149C"/>
    <w:rsid w:val="009F14D3"/>
    <w:rsid w:val="009F14DD"/>
    <w:rsid w:val="009F15C9"/>
    <w:rsid w:val="009F15D2"/>
    <w:rsid w:val="009F164A"/>
    <w:rsid w:val="009F1709"/>
    <w:rsid w:val="009F1757"/>
    <w:rsid w:val="009F17FD"/>
    <w:rsid w:val="009F18FB"/>
    <w:rsid w:val="009F1928"/>
    <w:rsid w:val="009F1978"/>
    <w:rsid w:val="009F1B31"/>
    <w:rsid w:val="009F1BDE"/>
    <w:rsid w:val="009F1D90"/>
    <w:rsid w:val="009F1E89"/>
    <w:rsid w:val="009F1EDE"/>
    <w:rsid w:val="009F1F39"/>
    <w:rsid w:val="009F2016"/>
    <w:rsid w:val="009F202E"/>
    <w:rsid w:val="009F2092"/>
    <w:rsid w:val="009F20B3"/>
    <w:rsid w:val="009F20B4"/>
    <w:rsid w:val="009F228E"/>
    <w:rsid w:val="009F23CF"/>
    <w:rsid w:val="009F2453"/>
    <w:rsid w:val="009F2476"/>
    <w:rsid w:val="009F255C"/>
    <w:rsid w:val="009F2606"/>
    <w:rsid w:val="009F2637"/>
    <w:rsid w:val="009F26EF"/>
    <w:rsid w:val="009F2711"/>
    <w:rsid w:val="009F28AE"/>
    <w:rsid w:val="009F29EF"/>
    <w:rsid w:val="009F2AA2"/>
    <w:rsid w:val="009F2B47"/>
    <w:rsid w:val="009F2B50"/>
    <w:rsid w:val="009F2B92"/>
    <w:rsid w:val="009F2B95"/>
    <w:rsid w:val="009F2CAA"/>
    <w:rsid w:val="009F2D6B"/>
    <w:rsid w:val="009F2FA1"/>
    <w:rsid w:val="009F2FAD"/>
    <w:rsid w:val="009F3050"/>
    <w:rsid w:val="009F309D"/>
    <w:rsid w:val="009F30E4"/>
    <w:rsid w:val="009F3256"/>
    <w:rsid w:val="009F35F5"/>
    <w:rsid w:val="009F36D5"/>
    <w:rsid w:val="009F36D8"/>
    <w:rsid w:val="009F382F"/>
    <w:rsid w:val="009F38C2"/>
    <w:rsid w:val="009F395B"/>
    <w:rsid w:val="009F3A6E"/>
    <w:rsid w:val="009F3D1A"/>
    <w:rsid w:val="009F3D74"/>
    <w:rsid w:val="009F3E2E"/>
    <w:rsid w:val="009F3E52"/>
    <w:rsid w:val="009F41B4"/>
    <w:rsid w:val="009F43FE"/>
    <w:rsid w:val="009F4711"/>
    <w:rsid w:val="009F4A24"/>
    <w:rsid w:val="009F4A55"/>
    <w:rsid w:val="009F4B9C"/>
    <w:rsid w:val="009F4C78"/>
    <w:rsid w:val="009F4D96"/>
    <w:rsid w:val="009F4E87"/>
    <w:rsid w:val="009F5011"/>
    <w:rsid w:val="009F5200"/>
    <w:rsid w:val="009F52A5"/>
    <w:rsid w:val="009F543E"/>
    <w:rsid w:val="009F546D"/>
    <w:rsid w:val="009F5481"/>
    <w:rsid w:val="009F54A9"/>
    <w:rsid w:val="009F5549"/>
    <w:rsid w:val="009F555F"/>
    <w:rsid w:val="009F5631"/>
    <w:rsid w:val="009F5669"/>
    <w:rsid w:val="009F5724"/>
    <w:rsid w:val="009F5791"/>
    <w:rsid w:val="009F57DE"/>
    <w:rsid w:val="009F5847"/>
    <w:rsid w:val="009F58B0"/>
    <w:rsid w:val="009F594F"/>
    <w:rsid w:val="009F596E"/>
    <w:rsid w:val="009F5ACF"/>
    <w:rsid w:val="009F5B56"/>
    <w:rsid w:val="009F5B89"/>
    <w:rsid w:val="009F5C18"/>
    <w:rsid w:val="009F5CFA"/>
    <w:rsid w:val="009F5E93"/>
    <w:rsid w:val="009F5ED5"/>
    <w:rsid w:val="009F5EE5"/>
    <w:rsid w:val="009F610E"/>
    <w:rsid w:val="009F6153"/>
    <w:rsid w:val="009F61A8"/>
    <w:rsid w:val="009F6275"/>
    <w:rsid w:val="009F62F1"/>
    <w:rsid w:val="009F6551"/>
    <w:rsid w:val="009F6670"/>
    <w:rsid w:val="009F673C"/>
    <w:rsid w:val="009F676C"/>
    <w:rsid w:val="009F67AC"/>
    <w:rsid w:val="009F67C8"/>
    <w:rsid w:val="009F681D"/>
    <w:rsid w:val="009F6848"/>
    <w:rsid w:val="009F68ED"/>
    <w:rsid w:val="009F6916"/>
    <w:rsid w:val="009F6941"/>
    <w:rsid w:val="009F69B6"/>
    <w:rsid w:val="009F6A53"/>
    <w:rsid w:val="009F6AF0"/>
    <w:rsid w:val="009F6B30"/>
    <w:rsid w:val="009F6B53"/>
    <w:rsid w:val="009F6BFE"/>
    <w:rsid w:val="009F6C08"/>
    <w:rsid w:val="009F6C2C"/>
    <w:rsid w:val="009F6C7D"/>
    <w:rsid w:val="009F6C83"/>
    <w:rsid w:val="009F6CE4"/>
    <w:rsid w:val="009F6E44"/>
    <w:rsid w:val="009F6E5E"/>
    <w:rsid w:val="009F70A1"/>
    <w:rsid w:val="009F710D"/>
    <w:rsid w:val="009F71B5"/>
    <w:rsid w:val="009F7297"/>
    <w:rsid w:val="009F73E9"/>
    <w:rsid w:val="009F7401"/>
    <w:rsid w:val="009F7602"/>
    <w:rsid w:val="009F7672"/>
    <w:rsid w:val="009F76A8"/>
    <w:rsid w:val="009F792F"/>
    <w:rsid w:val="009F798E"/>
    <w:rsid w:val="009F7A9D"/>
    <w:rsid w:val="009F7ACC"/>
    <w:rsid w:val="009F7B1C"/>
    <w:rsid w:val="009F7C6A"/>
    <w:rsid w:val="009F7C71"/>
    <w:rsid w:val="009F7C94"/>
    <w:rsid w:val="009F7D2A"/>
    <w:rsid w:val="009F7D56"/>
    <w:rsid w:val="009F7F19"/>
    <w:rsid w:val="009F7F78"/>
    <w:rsid w:val="00A000DF"/>
    <w:rsid w:val="00A001E5"/>
    <w:rsid w:val="00A002F1"/>
    <w:rsid w:val="00A00568"/>
    <w:rsid w:val="00A00625"/>
    <w:rsid w:val="00A0067C"/>
    <w:rsid w:val="00A006E5"/>
    <w:rsid w:val="00A0083E"/>
    <w:rsid w:val="00A00937"/>
    <w:rsid w:val="00A009C1"/>
    <w:rsid w:val="00A00A32"/>
    <w:rsid w:val="00A00A5A"/>
    <w:rsid w:val="00A00B4A"/>
    <w:rsid w:val="00A00C4E"/>
    <w:rsid w:val="00A00C7A"/>
    <w:rsid w:val="00A00E18"/>
    <w:rsid w:val="00A0104F"/>
    <w:rsid w:val="00A01079"/>
    <w:rsid w:val="00A010CA"/>
    <w:rsid w:val="00A01123"/>
    <w:rsid w:val="00A0121A"/>
    <w:rsid w:val="00A01271"/>
    <w:rsid w:val="00A0131B"/>
    <w:rsid w:val="00A0134B"/>
    <w:rsid w:val="00A01368"/>
    <w:rsid w:val="00A0146C"/>
    <w:rsid w:val="00A014D4"/>
    <w:rsid w:val="00A014E7"/>
    <w:rsid w:val="00A015DE"/>
    <w:rsid w:val="00A015FD"/>
    <w:rsid w:val="00A01677"/>
    <w:rsid w:val="00A01734"/>
    <w:rsid w:val="00A01756"/>
    <w:rsid w:val="00A017CC"/>
    <w:rsid w:val="00A017E9"/>
    <w:rsid w:val="00A018A8"/>
    <w:rsid w:val="00A0191A"/>
    <w:rsid w:val="00A019C0"/>
    <w:rsid w:val="00A01AFC"/>
    <w:rsid w:val="00A01BD9"/>
    <w:rsid w:val="00A01C05"/>
    <w:rsid w:val="00A01C9C"/>
    <w:rsid w:val="00A01CA2"/>
    <w:rsid w:val="00A01CE6"/>
    <w:rsid w:val="00A01D04"/>
    <w:rsid w:val="00A01D78"/>
    <w:rsid w:val="00A01D89"/>
    <w:rsid w:val="00A01DEE"/>
    <w:rsid w:val="00A01DF5"/>
    <w:rsid w:val="00A0200E"/>
    <w:rsid w:val="00A020CD"/>
    <w:rsid w:val="00A020F1"/>
    <w:rsid w:val="00A020FF"/>
    <w:rsid w:val="00A0225E"/>
    <w:rsid w:val="00A0236B"/>
    <w:rsid w:val="00A02467"/>
    <w:rsid w:val="00A0247A"/>
    <w:rsid w:val="00A024A2"/>
    <w:rsid w:val="00A0256B"/>
    <w:rsid w:val="00A0256C"/>
    <w:rsid w:val="00A0259B"/>
    <w:rsid w:val="00A02736"/>
    <w:rsid w:val="00A027A7"/>
    <w:rsid w:val="00A028A7"/>
    <w:rsid w:val="00A028B7"/>
    <w:rsid w:val="00A0296A"/>
    <w:rsid w:val="00A02AF4"/>
    <w:rsid w:val="00A02B01"/>
    <w:rsid w:val="00A02B84"/>
    <w:rsid w:val="00A02C07"/>
    <w:rsid w:val="00A02CF2"/>
    <w:rsid w:val="00A02DFD"/>
    <w:rsid w:val="00A02E9E"/>
    <w:rsid w:val="00A02EA2"/>
    <w:rsid w:val="00A02F2F"/>
    <w:rsid w:val="00A02F73"/>
    <w:rsid w:val="00A02FF3"/>
    <w:rsid w:val="00A030C5"/>
    <w:rsid w:val="00A03316"/>
    <w:rsid w:val="00A033F0"/>
    <w:rsid w:val="00A0343B"/>
    <w:rsid w:val="00A0348A"/>
    <w:rsid w:val="00A035A8"/>
    <w:rsid w:val="00A03647"/>
    <w:rsid w:val="00A0369D"/>
    <w:rsid w:val="00A038A0"/>
    <w:rsid w:val="00A038BF"/>
    <w:rsid w:val="00A03912"/>
    <w:rsid w:val="00A03A3F"/>
    <w:rsid w:val="00A03BD2"/>
    <w:rsid w:val="00A03BD5"/>
    <w:rsid w:val="00A03D2C"/>
    <w:rsid w:val="00A03D9E"/>
    <w:rsid w:val="00A03DD8"/>
    <w:rsid w:val="00A03DE4"/>
    <w:rsid w:val="00A03E5E"/>
    <w:rsid w:val="00A03FAA"/>
    <w:rsid w:val="00A04027"/>
    <w:rsid w:val="00A04192"/>
    <w:rsid w:val="00A041A0"/>
    <w:rsid w:val="00A043F1"/>
    <w:rsid w:val="00A044D2"/>
    <w:rsid w:val="00A046C8"/>
    <w:rsid w:val="00A0478F"/>
    <w:rsid w:val="00A048E7"/>
    <w:rsid w:val="00A048EC"/>
    <w:rsid w:val="00A04B49"/>
    <w:rsid w:val="00A04B78"/>
    <w:rsid w:val="00A04BB6"/>
    <w:rsid w:val="00A04C44"/>
    <w:rsid w:val="00A04CEC"/>
    <w:rsid w:val="00A04D5E"/>
    <w:rsid w:val="00A04E74"/>
    <w:rsid w:val="00A04F04"/>
    <w:rsid w:val="00A0505B"/>
    <w:rsid w:val="00A051FB"/>
    <w:rsid w:val="00A0521D"/>
    <w:rsid w:val="00A05289"/>
    <w:rsid w:val="00A053D6"/>
    <w:rsid w:val="00A05413"/>
    <w:rsid w:val="00A054E4"/>
    <w:rsid w:val="00A0552F"/>
    <w:rsid w:val="00A056AD"/>
    <w:rsid w:val="00A05759"/>
    <w:rsid w:val="00A05795"/>
    <w:rsid w:val="00A05865"/>
    <w:rsid w:val="00A058F0"/>
    <w:rsid w:val="00A05907"/>
    <w:rsid w:val="00A05991"/>
    <w:rsid w:val="00A059A2"/>
    <w:rsid w:val="00A05B9E"/>
    <w:rsid w:val="00A05CB9"/>
    <w:rsid w:val="00A05D99"/>
    <w:rsid w:val="00A05DCC"/>
    <w:rsid w:val="00A05E0F"/>
    <w:rsid w:val="00A05F1B"/>
    <w:rsid w:val="00A06097"/>
    <w:rsid w:val="00A06299"/>
    <w:rsid w:val="00A06301"/>
    <w:rsid w:val="00A0639D"/>
    <w:rsid w:val="00A063DC"/>
    <w:rsid w:val="00A06427"/>
    <w:rsid w:val="00A06572"/>
    <w:rsid w:val="00A065CE"/>
    <w:rsid w:val="00A06624"/>
    <w:rsid w:val="00A066E7"/>
    <w:rsid w:val="00A0676A"/>
    <w:rsid w:val="00A06788"/>
    <w:rsid w:val="00A0685E"/>
    <w:rsid w:val="00A068C2"/>
    <w:rsid w:val="00A068E0"/>
    <w:rsid w:val="00A06AAC"/>
    <w:rsid w:val="00A06C53"/>
    <w:rsid w:val="00A06D9E"/>
    <w:rsid w:val="00A06E8C"/>
    <w:rsid w:val="00A06F5B"/>
    <w:rsid w:val="00A07011"/>
    <w:rsid w:val="00A0707C"/>
    <w:rsid w:val="00A07339"/>
    <w:rsid w:val="00A07451"/>
    <w:rsid w:val="00A075FE"/>
    <w:rsid w:val="00A0775A"/>
    <w:rsid w:val="00A07777"/>
    <w:rsid w:val="00A0783C"/>
    <w:rsid w:val="00A07AC2"/>
    <w:rsid w:val="00A07AE9"/>
    <w:rsid w:val="00A07AEE"/>
    <w:rsid w:val="00A07B25"/>
    <w:rsid w:val="00A07C50"/>
    <w:rsid w:val="00A07D36"/>
    <w:rsid w:val="00A07D59"/>
    <w:rsid w:val="00A07DF3"/>
    <w:rsid w:val="00A07DFD"/>
    <w:rsid w:val="00A10047"/>
    <w:rsid w:val="00A1029B"/>
    <w:rsid w:val="00A10418"/>
    <w:rsid w:val="00A1047A"/>
    <w:rsid w:val="00A10531"/>
    <w:rsid w:val="00A10608"/>
    <w:rsid w:val="00A1067E"/>
    <w:rsid w:val="00A1069A"/>
    <w:rsid w:val="00A109C3"/>
    <w:rsid w:val="00A10B1E"/>
    <w:rsid w:val="00A10B6D"/>
    <w:rsid w:val="00A10BC2"/>
    <w:rsid w:val="00A10D6B"/>
    <w:rsid w:val="00A10F43"/>
    <w:rsid w:val="00A10F5C"/>
    <w:rsid w:val="00A10FB0"/>
    <w:rsid w:val="00A10FBB"/>
    <w:rsid w:val="00A11124"/>
    <w:rsid w:val="00A11129"/>
    <w:rsid w:val="00A113F4"/>
    <w:rsid w:val="00A11512"/>
    <w:rsid w:val="00A1167C"/>
    <w:rsid w:val="00A11786"/>
    <w:rsid w:val="00A11A1E"/>
    <w:rsid w:val="00A11A81"/>
    <w:rsid w:val="00A11CA1"/>
    <w:rsid w:val="00A11CC9"/>
    <w:rsid w:val="00A11D09"/>
    <w:rsid w:val="00A11D78"/>
    <w:rsid w:val="00A11E77"/>
    <w:rsid w:val="00A11EB6"/>
    <w:rsid w:val="00A11F55"/>
    <w:rsid w:val="00A11F6B"/>
    <w:rsid w:val="00A12435"/>
    <w:rsid w:val="00A12554"/>
    <w:rsid w:val="00A126AB"/>
    <w:rsid w:val="00A12770"/>
    <w:rsid w:val="00A12DAD"/>
    <w:rsid w:val="00A12EB5"/>
    <w:rsid w:val="00A12F5A"/>
    <w:rsid w:val="00A131CE"/>
    <w:rsid w:val="00A131D1"/>
    <w:rsid w:val="00A13209"/>
    <w:rsid w:val="00A13259"/>
    <w:rsid w:val="00A132A9"/>
    <w:rsid w:val="00A134DC"/>
    <w:rsid w:val="00A13522"/>
    <w:rsid w:val="00A13545"/>
    <w:rsid w:val="00A13674"/>
    <w:rsid w:val="00A137AC"/>
    <w:rsid w:val="00A137D7"/>
    <w:rsid w:val="00A137E2"/>
    <w:rsid w:val="00A13864"/>
    <w:rsid w:val="00A139F7"/>
    <w:rsid w:val="00A13AB6"/>
    <w:rsid w:val="00A13AD3"/>
    <w:rsid w:val="00A13D68"/>
    <w:rsid w:val="00A13DBF"/>
    <w:rsid w:val="00A13E4C"/>
    <w:rsid w:val="00A13FD6"/>
    <w:rsid w:val="00A1403E"/>
    <w:rsid w:val="00A14096"/>
    <w:rsid w:val="00A140B7"/>
    <w:rsid w:val="00A141B6"/>
    <w:rsid w:val="00A141FD"/>
    <w:rsid w:val="00A1424B"/>
    <w:rsid w:val="00A14371"/>
    <w:rsid w:val="00A144C4"/>
    <w:rsid w:val="00A144FA"/>
    <w:rsid w:val="00A14591"/>
    <w:rsid w:val="00A14666"/>
    <w:rsid w:val="00A146D0"/>
    <w:rsid w:val="00A146EF"/>
    <w:rsid w:val="00A148A2"/>
    <w:rsid w:val="00A148CB"/>
    <w:rsid w:val="00A14948"/>
    <w:rsid w:val="00A1498E"/>
    <w:rsid w:val="00A14A6B"/>
    <w:rsid w:val="00A14A9C"/>
    <w:rsid w:val="00A14ADE"/>
    <w:rsid w:val="00A14B92"/>
    <w:rsid w:val="00A14C41"/>
    <w:rsid w:val="00A14CC1"/>
    <w:rsid w:val="00A14CD2"/>
    <w:rsid w:val="00A14EE2"/>
    <w:rsid w:val="00A14FF0"/>
    <w:rsid w:val="00A14FF3"/>
    <w:rsid w:val="00A150B7"/>
    <w:rsid w:val="00A150F3"/>
    <w:rsid w:val="00A150FD"/>
    <w:rsid w:val="00A151ED"/>
    <w:rsid w:val="00A15259"/>
    <w:rsid w:val="00A15421"/>
    <w:rsid w:val="00A15493"/>
    <w:rsid w:val="00A15564"/>
    <w:rsid w:val="00A1589E"/>
    <w:rsid w:val="00A158D8"/>
    <w:rsid w:val="00A158F8"/>
    <w:rsid w:val="00A15AEA"/>
    <w:rsid w:val="00A15AFC"/>
    <w:rsid w:val="00A15B15"/>
    <w:rsid w:val="00A15CE1"/>
    <w:rsid w:val="00A15E11"/>
    <w:rsid w:val="00A15E83"/>
    <w:rsid w:val="00A15E9D"/>
    <w:rsid w:val="00A15F41"/>
    <w:rsid w:val="00A160C9"/>
    <w:rsid w:val="00A161F5"/>
    <w:rsid w:val="00A162A7"/>
    <w:rsid w:val="00A162C6"/>
    <w:rsid w:val="00A162D2"/>
    <w:rsid w:val="00A16361"/>
    <w:rsid w:val="00A16447"/>
    <w:rsid w:val="00A16472"/>
    <w:rsid w:val="00A165EF"/>
    <w:rsid w:val="00A16614"/>
    <w:rsid w:val="00A166CE"/>
    <w:rsid w:val="00A16737"/>
    <w:rsid w:val="00A167FC"/>
    <w:rsid w:val="00A168E4"/>
    <w:rsid w:val="00A169BC"/>
    <w:rsid w:val="00A16A36"/>
    <w:rsid w:val="00A16A38"/>
    <w:rsid w:val="00A16A51"/>
    <w:rsid w:val="00A16B8F"/>
    <w:rsid w:val="00A16C30"/>
    <w:rsid w:val="00A16E0F"/>
    <w:rsid w:val="00A16E3A"/>
    <w:rsid w:val="00A17054"/>
    <w:rsid w:val="00A170AF"/>
    <w:rsid w:val="00A170CE"/>
    <w:rsid w:val="00A17238"/>
    <w:rsid w:val="00A172EF"/>
    <w:rsid w:val="00A17427"/>
    <w:rsid w:val="00A174A5"/>
    <w:rsid w:val="00A17577"/>
    <w:rsid w:val="00A1757D"/>
    <w:rsid w:val="00A17601"/>
    <w:rsid w:val="00A1765B"/>
    <w:rsid w:val="00A17798"/>
    <w:rsid w:val="00A17799"/>
    <w:rsid w:val="00A17A08"/>
    <w:rsid w:val="00A17A49"/>
    <w:rsid w:val="00A17CB9"/>
    <w:rsid w:val="00A17D5C"/>
    <w:rsid w:val="00A17E84"/>
    <w:rsid w:val="00A17EBD"/>
    <w:rsid w:val="00A17F6D"/>
    <w:rsid w:val="00A2006D"/>
    <w:rsid w:val="00A2040B"/>
    <w:rsid w:val="00A20496"/>
    <w:rsid w:val="00A2066C"/>
    <w:rsid w:val="00A206D6"/>
    <w:rsid w:val="00A2074C"/>
    <w:rsid w:val="00A2076B"/>
    <w:rsid w:val="00A20A61"/>
    <w:rsid w:val="00A20CAA"/>
    <w:rsid w:val="00A20F76"/>
    <w:rsid w:val="00A2103A"/>
    <w:rsid w:val="00A210D9"/>
    <w:rsid w:val="00A21160"/>
    <w:rsid w:val="00A214C4"/>
    <w:rsid w:val="00A21608"/>
    <w:rsid w:val="00A21634"/>
    <w:rsid w:val="00A2194D"/>
    <w:rsid w:val="00A2196B"/>
    <w:rsid w:val="00A21977"/>
    <w:rsid w:val="00A21AB4"/>
    <w:rsid w:val="00A21C12"/>
    <w:rsid w:val="00A21C54"/>
    <w:rsid w:val="00A21D2B"/>
    <w:rsid w:val="00A21DEC"/>
    <w:rsid w:val="00A21E43"/>
    <w:rsid w:val="00A21FB2"/>
    <w:rsid w:val="00A22089"/>
    <w:rsid w:val="00A220DD"/>
    <w:rsid w:val="00A221D6"/>
    <w:rsid w:val="00A222DC"/>
    <w:rsid w:val="00A22352"/>
    <w:rsid w:val="00A224BB"/>
    <w:rsid w:val="00A2250C"/>
    <w:rsid w:val="00A22565"/>
    <w:rsid w:val="00A22661"/>
    <w:rsid w:val="00A2274C"/>
    <w:rsid w:val="00A2274D"/>
    <w:rsid w:val="00A227C7"/>
    <w:rsid w:val="00A22820"/>
    <w:rsid w:val="00A22851"/>
    <w:rsid w:val="00A228F8"/>
    <w:rsid w:val="00A22917"/>
    <w:rsid w:val="00A2293D"/>
    <w:rsid w:val="00A22988"/>
    <w:rsid w:val="00A22989"/>
    <w:rsid w:val="00A22B00"/>
    <w:rsid w:val="00A22B0C"/>
    <w:rsid w:val="00A22B2C"/>
    <w:rsid w:val="00A22C8E"/>
    <w:rsid w:val="00A22CDC"/>
    <w:rsid w:val="00A22EFC"/>
    <w:rsid w:val="00A230F2"/>
    <w:rsid w:val="00A23209"/>
    <w:rsid w:val="00A2324D"/>
    <w:rsid w:val="00A23474"/>
    <w:rsid w:val="00A234C6"/>
    <w:rsid w:val="00A23540"/>
    <w:rsid w:val="00A2362F"/>
    <w:rsid w:val="00A236DF"/>
    <w:rsid w:val="00A23766"/>
    <w:rsid w:val="00A237F2"/>
    <w:rsid w:val="00A239E3"/>
    <w:rsid w:val="00A23A01"/>
    <w:rsid w:val="00A23A26"/>
    <w:rsid w:val="00A23B09"/>
    <w:rsid w:val="00A23B19"/>
    <w:rsid w:val="00A23B9D"/>
    <w:rsid w:val="00A23C5C"/>
    <w:rsid w:val="00A23CBE"/>
    <w:rsid w:val="00A23E5F"/>
    <w:rsid w:val="00A23EFF"/>
    <w:rsid w:val="00A23F18"/>
    <w:rsid w:val="00A23F5E"/>
    <w:rsid w:val="00A2401D"/>
    <w:rsid w:val="00A2402F"/>
    <w:rsid w:val="00A24174"/>
    <w:rsid w:val="00A241B9"/>
    <w:rsid w:val="00A241DB"/>
    <w:rsid w:val="00A2425E"/>
    <w:rsid w:val="00A24317"/>
    <w:rsid w:val="00A243AA"/>
    <w:rsid w:val="00A24416"/>
    <w:rsid w:val="00A244E0"/>
    <w:rsid w:val="00A245DF"/>
    <w:rsid w:val="00A245F6"/>
    <w:rsid w:val="00A24673"/>
    <w:rsid w:val="00A24724"/>
    <w:rsid w:val="00A2484D"/>
    <w:rsid w:val="00A248F8"/>
    <w:rsid w:val="00A24A0E"/>
    <w:rsid w:val="00A24A9F"/>
    <w:rsid w:val="00A24C21"/>
    <w:rsid w:val="00A24CE5"/>
    <w:rsid w:val="00A2503E"/>
    <w:rsid w:val="00A25262"/>
    <w:rsid w:val="00A252B0"/>
    <w:rsid w:val="00A25317"/>
    <w:rsid w:val="00A25331"/>
    <w:rsid w:val="00A253DF"/>
    <w:rsid w:val="00A25621"/>
    <w:rsid w:val="00A2563A"/>
    <w:rsid w:val="00A257C4"/>
    <w:rsid w:val="00A257DE"/>
    <w:rsid w:val="00A25887"/>
    <w:rsid w:val="00A2591E"/>
    <w:rsid w:val="00A25949"/>
    <w:rsid w:val="00A25A15"/>
    <w:rsid w:val="00A25AF9"/>
    <w:rsid w:val="00A25B9F"/>
    <w:rsid w:val="00A25BDA"/>
    <w:rsid w:val="00A25EE0"/>
    <w:rsid w:val="00A25F0D"/>
    <w:rsid w:val="00A260E2"/>
    <w:rsid w:val="00A26238"/>
    <w:rsid w:val="00A2627E"/>
    <w:rsid w:val="00A26290"/>
    <w:rsid w:val="00A26332"/>
    <w:rsid w:val="00A2635A"/>
    <w:rsid w:val="00A263BB"/>
    <w:rsid w:val="00A263CA"/>
    <w:rsid w:val="00A26509"/>
    <w:rsid w:val="00A2664E"/>
    <w:rsid w:val="00A267BA"/>
    <w:rsid w:val="00A2685F"/>
    <w:rsid w:val="00A26940"/>
    <w:rsid w:val="00A26A5C"/>
    <w:rsid w:val="00A26B2E"/>
    <w:rsid w:val="00A26B8E"/>
    <w:rsid w:val="00A26BC1"/>
    <w:rsid w:val="00A26BF8"/>
    <w:rsid w:val="00A26C65"/>
    <w:rsid w:val="00A26D59"/>
    <w:rsid w:val="00A26FB8"/>
    <w:rsid w:val="00A26FFE"/>
    <w:rsid w:val="00A2705A"/>
    <w:rsid w:val="00A270F2"/>
    <w:rsid w:val="00A270F3"/>
    <w:rsid w:val="00A2715F"/>
    <w:rsid w:val="00A271B6"/>
    <w:rsid w:val="00A27300"/>
    <w:rsid w:val="00A273B1"/>
    <w:rsid w:val="00A274C9"/>
    <w:rsid w:val="00A2768C"/>
    <w:rsid w:val="00A27704"/>
    <w:rsid w:val="00A27705"/>
    <w:rsid w:val="00A27862"/>
    <w:rsid w:val="00A279A3"/>
    <w:rsid w:val="00A27AC0"/>
    <w:rsid w:val="00A27B12"/>
    <w:rsid w:val="00A27B63"/>
    <w:rsid w:val="00A27BE9"/>
    <w:rsid w:val="00A27C2E"/>
    <w:rsid w:val="00A27CE7"/>
    <w:rsid w:val="00A27DBE"/>
    <w:rsid w:val="00A27E89"/>
    <w:rsid w:val="00A30162"/>
    <w:rsid w:val="00A30210"/>
    <w:rsid w:val="00A302BA"/>
    <w:rsid w:val="00A302D8"/>
    <w:rsid w:val="00A30475"/>
    <w:rsid w:val="00A304AC"/>
    <w:rsid w:val="00A30502"/>
    <w:rsid w:val="00A30547"/>
    <w:rsid w:val="00A305C1"/>
    <w:rsid w:val="00A305DB"/>
    <w:rsid w:val="00A30606"/>
    <w:rsid w:val="00A30661"/>
    <w:rsid w:val="00A30743"/>
    <w:rsid w:val="00A30772"/>
    <w:rsid w:val="00A30976"/>
    <w:rsid w:val="00A30AB6"/>
    <w:rsid w:val="00A30B9C"/>
    <w:rsid w:val="00A30BB3"/>
    <w:rsid w:val="00A30C1D"/>
    <w:rsid w:val="00A30C99"/>
    <w:rsid w:val="00A30D1D"/>
    <w:rsid w:val="00A30DC3"/>
    <w:rsid w:val="00A30E97"/>
    <w:rsid w:val="00A30EAD"/>
    <w:rsid w:val="00A30F7E"/>
    <w:rsid w:val="00A30FC6"/>
    <w:rsid w:val="00A3112B"/>
    <w:rsid w:val="00A3113F"/>
    <w:rsid w:val="00A311AA"/>
    <w:rsid w:val="00A313C0"/>
    <w:rsid w:val="00A315C3"/>
    <w:rsid w:val="00A31749"/>
    <w:rsid w:val="00A3195C"/>
    <w:rsid w:val="00A319A1"/>
    <w:rsid w:val="00A31B6E"/>
    <w:rsid w:val="00A31BA7"/>
    <w:rsid w:val="00A31BB9"/>
    <w:rsid w:val="00A31BC0"/>
    <w:rsid w:val="00A31CC3"/>
    <w:rsid w:val="00A31DB1"/>
    <w:rsid w:val="00A31EFE"/>
    <w:rsid w:val="00A320FF"/>
    <w:rsid w:val="00A32106"/>
    <w:rsid w:val="00A321D4"/>
    <w:rsid w:val="00A3228B"/>
    <w:rsid w:val="00A32314"/>
    <w:rsid w:val="00A32341"/>
    <w:rsid w:val="00A32387"/>
    <w:rsid w:val="00A3243C"/>
    <w:rsid w:val="00A32614"/>
    <w:rsid w:val="00A3269E"/>
    <w:rsid w:val="00A326FC"/>
    <w:rsid w:val="00A32810"/>
    <w:rsid w:val="00A3291C"/>
    <w:rsid w:val="00A32922"/>
    <w:rsid w:val="00A329DB"/>
    <w:rsid w:val="00A329F7"/>
    <w:rsid w:val="00A32A73"/>
    <w:rsid w:val="00A32AFF"/>
    <w:rsid w:val="00A32B50"/>
    <w:rsid w:val="00A32C3E"/>
    <w:rsid w:val="00A32CD8"/>
    <w:rsid w:val="00A32CE3"/>
    <w:rsid w:val="00A32CE8"/>
    <w:rsid w:val="00A32DA1"/>
    <w:rsid w:val="00A32DB2"/>
    <w:rsid w:val="00A32DC8"/>
    <w:rsid w:val="00A32E09"/>
    <w:rsid w:val="00A3307B"/>
    <w:rsid w:val="00A33112"/>
    <w:rsid w:val="00A3312B"/>
    <w:rsid w:val="00A33178"/>
    <w:rsid w:val="00A33185"/>
    <w:rsid w:val="00A33285"/>
    <w:rsid w:val="00A332EA"/>
    <w:rsid w:val="00A3331A"/>
    <w:rsid w:val="00A33458"/>
    <w:rsid w:val="00A335A0"/>
    <w:rsid w:val="00A33815"/>
    <w:rsid w:val="00A33829"/>
    <w:rsid w:val="00A338B7"/>
    <w:rsid w:val="00A33999"/>
    <w:rsid w:val="00A33B86"/>
    <w:rsid w:val="00A33C5A"/>
    <w:rsid w:val="00A33E80"/>
    <w:rsid w:val="00A3401C"/>
    <w:rsid w:val="00A340C4"/>
    <w:rsid w:val="00A340CB"/>
    <w:rsid w:val="00A340CC"/>
    <w:rsid w:val="00A34217"/>
    <w:rsid w:val="00A34577"/>
    <w:rsid w:val="00A3457B"/>
    <w:rsid w:val="00A3463A"/>
    <w:rsid w:val="00A3469F"/>
    <w:rsid w:val="00A34739"/>
    <w:rsid w:val="00A3477B"/>
    <w:rsid w:val="00A34848"/>
    <w:rsid w:val="00A34886"/>
    <w:rsid w:val="00A348A6"/>
    <w:rsid w:val="00A34902"/>
    <w:rsid w:val="00A3494D"/>
    <w:rsid w:val="00A34970"/>
    <w:rsid w:val="00A34A05"/>
    <w:rsid w:val="00A34A92"/>
    <w:rsid w:val="00A34AA7"/>
    <w:rsid w:val="00A34AB8"/>
    <w:rsid w:val="00A34B27"/>
    <w:rsid w:val="00A34C0D"/>
    <w:rsid w:val="00A34CB6"/>
    <w:rsid w:val="00A34D2B"/>
    <w:rsid w:val="00A34EA1"/>
    <w:rsid w:val="00A34ED4"/>
    <w:rsid w:val="00A34F3A"/>
    <w:rsid w:val="00A350E6"/>
    <w:rsid w:val="00A350E7"/>
    <w:rsid w:val="00A351C7"/>
    <w:rsid w:val="00A35292"/>
    <w:rsid w:val="00A35365"/>
    <w:rsid w:val="00A3544F"/>
    <w:rsid w:val="00A354D3"/>
    <w:rsid w:val="00A35574"/>
    <w:rsid w:val="00A35608"/>
    <w:rsid w:val="00A3579D"/>
    <w:rsid w:val="00A357A4"/>
    <w:rsid w:val="00A35914"/>
    <w:rsid w:val="00A359F8"/>
    <w:rsid w:val="00A35A09"/>
    <w:rsid w:val="00A35ADB"/>
    <w:rsid w:val="00A35AFD"/>
    <w:rsid w:val="00A35B09"/>
    <w:rsid w:val="00A35BE5"/>
    <w:rsid w:val="00A35C3C"/>
    <w:rsid w:val="00A35CA4"/>
    <w:rsid w:val="00A35CBE"/>
    <w:rsid w:val="00A35E72"/>
    <w:rsid w:val="00A35EE9"/>
    <w:rsid w:val="00A35F31"/>
    <w:rsid w:val="00A35F36"/>
    <w:rsid w:val="00A35F37"/>
    <w:rsid w:val="00A35FD1"/>
    <w:rsid w:val="00A3609C"/>
    <w:rsid w:val="00A360EB"/>
    <w:rsid w:val="00A360F6"/>
    <w:rsid w:val="00A3612E"/>
    <w:rsid w:val="00A36272"/>
    <w:rsid w:val="00A362C3"/>
    <w:rsid w:val="00A363B2"/>
    <w:rsid w:val="00A363E7"/>
    <w:rsid w:val="00A363FC"/>
    <w:rsid w:val="00A3641F"/>
    <w:rsid w:val="00A36568"/>
    <w:rsid w:val="00A36571"/>
    <w:rsid w:val="00A36687"/>
    <w:rsid w:val="00A366B5"/>
    <w:rsid w:val="00A36706"/>
    <w:rsid w:val="00A36753"/>
    <w:rsid w:val="00A367C8"/>
    <w:rsid w:val="00A36807"/>
    <w:rsid w:val="00A36A39"/>
    <w:rsid w:val="00A36B1D"/>
    <w:rsid w:val="00A36C64"/>
    <w:rsid w:val="00A36CBB"/>
    <w:rsid w:val="00A36D0A"/>
    <w:rsid w:val="00A36F0B"/>
    <w:rsid w:val="00A370B7"/>
    <w:rsid w:val="00A3715E"/>
    <w:rsid w:val="00A37184"/>
    <w:rsid w:val="00A37195"/>
    <w:rsid w:val="00A37273"/>
    <w:rsid w:val="00A372B7"/>
    <w:rsid w:val="00A37328"/>
    <w:rsid w:val="00A37447"/>
    <w:rsid w:val="00A3747B"/>
    <w:rsid w:val="00A3748E"/>
    <w:rsid w:val="00A3751D"/>
    <w:rsid w:val="00A37556"/>
    <w:rsid w:val="00A37654"/>
    <w:rsid w:val="00A377B2"/>
    <w:rsid w:val="00A377E0"/>
    <w:rsid w:val="00A377FF"/>
    <w:rsid w:val="00A37906"/>
    <w:rsid w:val="00A37A45"/>
    <w:rsid w:val="00A37A83"/>
    <w:rsid w:val="00A37AC9"/>
    <w:rsid w:val="00A37B24"/>
    <w:rsid w:val="00A37B64"/>
    <w:rsid w:val="00A37C95"/>
    <w:rsid w:val="00A37D33"/>
    <w:rsid w:val="00A37D44"/>
    <w:rsid w:val="00A37D75"/>
    <w:rsid w:val="00A37D79"/>
    <w:rsid w:val="00A37E09"/>
    <w:rsid w:val="00A37E1F"/>
    <w:rsid w:val="00A37E71"/>
    <w:rsid w:val="00A37F94"/>
    <w:rsid w:val="00A37FFD"/>
    <w:rsid w:val="00A40013"/>
    <w:rsid w:val="00A4009E"/>
    <w:rsid w:val="00A400DC"/>
    <w:rsid w:val="00A40161"/>
    <w:rsid w:val="00A401FA"/>
    <w:rsid w:val="00A40353"/>
    <w:rsid w:val="00A4046C"/>
    <w:rsid w:val="00A40498"/>
    <w:rsid w:val="00A4051D"/>
    <w:rsid w:val="00A40797"/>
    <w:rsid w:val="00A4096D"/>
    <w:rsid w:val="00A409B0"/>
    <w:rsid w:val="00A40A6B"/>
    <w:rsid w:val="00A40C75"/>
    <w:rsid w:val="00A40CF5"/>
    <w:rsid w:val="00A40F4A"/>
    <w:rsid w:val="00A41176"/>
    <w:rsid w:val="00A4120F"/>
    <w:rsid w:val="00A412F1"/>
    <w:rsid w:val="00A413BB"/>
    <w:rsid w:val="00A413E7"/>
    <w:rsid w:val="00A414D7"/>
    <w:rsid w:val="00A414E7"/>
    <w:rsid w:val="00A41546"/>
    <w:rsid w:val="00A415B5"/>
    <w:rsid w:val="00A4197B"/>
    <w:rsid w:val="00A41992"/>
    <w:rsid w:val="00A419D9"/>
    <w:rsid w:val="00A41A8A"/>
    <w:rsid w:val="00A41B2E"/>
    <w:rsid w:val="00A41C27"/>
    <w:rsid w:val="00A41D94"/>
    <w:rsid w:val="00A41DB6"/>
    <w:rsid w:val="00A41DC0"/>
    <w:rsid w:val="00A41E7B"/>
    <w:rsid w:val="00A41F1C"/>
    <w:rsid w:val="00A41FBF"/>
    <w:rsid w:val="00A42038"/>
    <w:rsid w:val="00A420A6"/>
    <w:rsid w:val="00A42144"/>
    <w:rsid w:val="00A421A1"/>
    <w:rsid w:val="00A42232"/>
    <w:rsid w:val="00A4236E"/>
    <w:rsid w:val="00A42512"/>
    <w:rsid w:val="00A4258B"/>
    <w:rsid w:val="00A425D4"/>
    <w:rsid w:val="00A425FE"/>
    <w:rsid w:val="00A42640"/>
    <w:rsid w:val="00A4270B"/>
    <w:rsid w:val="00A42784"/>
    <w:rsid w:val="00A427EB"/>
    <w:rsid w:val="00A4283D"/>
    <w:rsid w:val="00A4292D"/>
    <w:rsid w:val="00A42BAE"/>
    <w:rsid w:val="00A42CA0"/>
    <w:rsid w:val="00A42E7B"/>
    <w:rsid w:val="00A430E6"/>
    <w:rsid w:val="00A43188"/>
    <w:rsid w:val="00A431FF"/>
    <w:rsid w:val="00A43200"/>
    <w:rsid w:val="00A43209"/>
    <w:rsid w:val="00A433D2"/>
    <w:rsid w:val="00A4349F"/>
    <w:rsid w:val="00A435E7"/>
    <w:rsid w:val="00A43624"/>
    <w:rsid w:val="00A4364A"/>
    <w:rsid w:val="00A4373C"/>
    <w:rsid w:val="00A4377B"/>
    <w:rsid w:val="00A43933"/>
    <w:rsid w:val="00A43A01"/>
    <w:rsid w:val="00A43A23"/>
    <w:rsid w:val="00A43AAE"/>
    <w:rsid w:val="00A43B5A"/>
    <w:rsid w:val="00A43B8C"/>
    <w:rsid w:val="00A43CDE"/>
    <w:rsid w:val="00A43D59"/>
    <w:rsid w:val="00A43DD4"/>
    <w:rsid w:val="00A43E31"/>
    <w:rsid w:val="00A43E80"/>
    <w:rsid w:val="00A43F03"/>
    <w:rsid w:val="00A440B0"/>
    <w:rsid w:val="00A4413B"/>
    <w:rsid w:val="00A44176"/>
    <w:rsid w:val="00A4419A"/>
    <w:rsid w:val="00A441A1"/>
    <w:rsid w:val="00A441D5"/>
    <w:rsid w:val="00A441F7"/>
    <w:rsid w:val="00A44282"/>
    <w:rsid w:val="00A442D3"/>
    <w:rsid w:val="00A442DB"/>
    <w:rsid w:val="00A4433D"/>
    <w:rsid w:val="00A44390"/>
    <w:rsid w:val="00A4439A"/>
    <w:rsid w:val="00A4450A"/>
    <w:rsid w:val="00A445D6"/>
    <w:rsid w:val="00A445F3"/>
    <w:rsid w:val="00A4472B"/>
    <w:rsid w:val="00A44A38"/>
    <w:rsid w:val="00A44AD8"/>
    <w:rsid w:val="00A44B43"/>
    <w:rsid w:val="00A44B98"/>
    <w:rsid w:val="00A44BA6"/>
    <w:rsid w:val="00A44C52"/>
    <w:rsid w:val="00A44C79"/>
    <w:rsid w:val="00A44CD1"/>
    <w:rsid w:val="00A44E02"/>
    <w:rsid w:val="00A44EE1"/>
    <w:rsid w:val="00A44F54"/>
    <w:rsid w:val="00A44F6F"/>
    <w:rsid w:val="00A44FAD"/>
    <w:rsid w:val="00A45035"/>
    <w:rsid w:val="00A451F5"/>
    <w:rsid w:val="00A4528C"/>
    <w:rsid w:val="00A45385"/>
    <w:rsid w:val="00A45439"/>
    <w:rsid w:val="00A45533"/>
    <w:rsid w:val="00A45731"/>
    <w:rsid w:val="00A45757"/>
    <w:rsid w:val="00A45796"/>
    <w:rsid w:val="00A457AC"/>
    <w:rsid w:val="00A4583D"/>
    <w:rsid w:val="00A458CA"/>
    <w:rsid w:val="00A459A7"/>
    <w:rsid w:val="00A45A53"/>
    <w:rsid w:val="00A45A9D"/>
    <w:rsid w:val="00A45B20"/>
    <w:rsid w:val="00A45B5A"/>
    <w:rsid w:val="00A45BCA"/>
    <w:rsid w:val="00A45DB4"/>
    <w:rsid w:val="00A45E6E"/>
    <w:rsid w:val="00A4601C"/>
    <w:rsid w:val="00A46061"/>
    <w:rsid w:val="00A4646A"/>
    <w:rsid w:val="00A464DB"/>
    <w:rsid w:val="00A46514"/>
    <w:rsid w:val="00A4651F"/>
    <w:rsid w:val="00A4655D"/>
    <w:rsid w:val="00A465AF"/>
    <w:rsid w:val="00A46648"/>
    <w:rsid w:val="00A466BF"/>
    <w:rsid w:val="00A468F4"/>
    <w:rsid w:val="00A46A0A"/>
    <w:rsid w:val="00A46A5E"/>
    <w:rsid w:val="00A46BB7"/>
    <w:rsid w:val="00A46C6A"/>
    <w:rsid w:val="00A46DCC"/>
    <w:rsid w:val="00A46F4A"/>
    <w:rsid w:val="00A46F7F"/>
    <w:rsid w:val="00A46F83"/>
    <w:rsid w:val="00A46FBB"/>
    <w:rsid w:val="00A46FCF"/>
    <w:rsid w:val="00A4702F"/>
    <w:rsid w:val="00A47160"/>
    <w:rsid w:val="00A47235"/>
    <w:rsid w:val="00A4728B"/>
    <w:rsid w:val="00A472D6"/>
    <w:rsid w:val="00A472F2"/>
    <w:rsid w:val="00A47302"/>
    <w:rsid w:val="00A4730C"/>
    <w:rsid w:val="00A47592"/>
    <w:rsid w:val="00A47633"/>
    <w:rsid w:val="00A478CC"/>
    <w:rsid w:val="00A479EE"/>
    <w:rsid w:val="00A47A58"/>
    <w:rsid w:val="00A47B29"/>
    <w:rsid w:val="00A47B46"/>
    <w:rsid w:val="00A47E51"/>
    <w:rsid w:val="00A47EED"/>
    <w:rsid w:val="00A47EF5"/>
    <w:rsid w:val="00A47F16"/>
    <w:rsid w:val="00A47FB2"/>
    <w:rsid w:val="00A500DA"/>
    <w:rsid w:val="00A500EA"/>
    <w:rsid w:val="00A500FB"/>
    <w:rsid w:val="00A50145"/>
    <w:rsid w:val="00A50178"/>
    <w:rsid w:val="00A50193"/>
    <w:rsid w:val="00A501E6"/>
    <w:rsid w:val="00A502BE"/>
    <w:rsid w:val="00A504CA"/>
    <w:rsid w:val="00A505B8"/>
    <w:rsid w:val="00A50706"/>
    <w:rsid w:val="00A508BC"/>
    <w:rsid w:val="00A50A02"/>
    <w:rsid w:val="00A50A18"/>
    <w:rsid w:val="00A50BCF"/>
    <w:rsid w:val="00A50C6C"/>
    <w:rsid w:val="00A50D0B"/>
    <w:rsid w:val="00A50D37"/>
    <w:rsid w:val="00A50EA5"/>
    <w:rsid w:val="00A5114F"/>
    <w:rsid w:val="00A5118A"/>
    <w:rsid w:val="00A511E8"/>
    <w:rsid w:val="00A51207"/>
    <w:rsid w:val="00A5131D"/>
    <w:rsid w:val="00A514A4"/>
    <w:rsid w:val="00A516DC"/>
    <w:rsid w:val="00A517D0"/>
    <w:rsid w:val="00A51832"/>
    <w:rsid w:val="00A51871"/>
    <w:rsid w:val="00A51CB8"/>
    <w:rsid w:val="00A51D29"/>
    <w:rsid w:val="00A520FC"/>
    <w:rsid w:val="00A521A4"/>
    <w:rsid w:val="00A521F7"/>
    <w:rsid w:val="00A52285"/>
    <w:rsid w:val="00A522FE"/>
    <w:rsid w:val="00A52313"/>
    <w:rsid w:val="00A523E4"/>
    <w:rsid w:val="00A524A9"/>
    <w:rsid w:val="00A52503"/>
    <w:rsid w:val="00A5251B"/>
    <w:rsid w:val="00A525A5"/>
    <w:rsid w:val="00A5263C"/>
    <w:rsid w:val="00A526A0"/>
    <w:rsid w:val="00A526B7"/>
    <w:rsid w:val="00A527BD"/>
    <w:rsid w:val="00A528DE"/>
    <w:rsid w:val="00A52AF0"/>
    <w:rsid w:val="00A52BC2"/>
    <w:rsid w:val="00A52C3E"/>
    <w:rsid w:val="00A52C4C"/>
    <w:rsid w:val="00A52E5E"/>
    <w:rsid w:val="00A52ECE"/>
    <w:rsid w:val="00A52FF4"/>
    <w:rsid w:val="00A530DC"/>
    <w:rsid w:val="00A5326F"/>
    <w:rsid w:val="00A532E4"/>
    <w:rsid w:val="00A53334"/>
    <w:rsid w:val="00A533F3"/>
    <w:rsid w:val="00A5341E"/>
    <w:rsid w:val="00A53544"/>
    <w:rsid w:val="00A53717"/>
    <w:rsid w:val="00A5379B"/>
    <w:rsid w:val="00A53883"/>
    <w:rsid w:val="00A53903"/>
    <w:rsid w:val="00A539B1"/>
    <w:rsid w:val="00A53A5F"/>
    <w:rsid w:val="00A53AC6"/>
    <w:rsid w:val="00A53B71"/>
    <w:rsid w:val="00A53BA2"/>
    <w:rsid w:val="00A53CEA"/>
    <w:rsid w:val="00A53D1B"/>
    <w:rsid w:val="00A53DEF"/>
    <w:rsid w:val="00A53E32"/>
    <w:rsid w:val="00A53ED0"/>
    <w:rsid w:val="00A54006"/>
    <w:rsid w:val="00A5407C"/>
    <w:rsid w:val="00A541D6"/>
    <w:rsid w:val="00A541E1"/>
    <w:rsid w:val="00A541EE"/>
    <w:rsid w:val="00A5423E"/>
    <w:rsid w:val="00A542B5"/>
    <w:rsid w:val="00A542DA"/>
    <w:rsid w:val="00A542FD"/>
    <w:rsid w:val="00A54354"/>
    <w:rsid w:val="00A543D7"/>
    <w:rsid w:val="00A54400"/>
    <w:rsid w:val="00A54449"/>
    <w:rsid w:val="00A54579"/>
    <w:rsid w:val="00A5468D"/>
    <w:rsid w:val="00A54701"/>
    <w:rsid w:val="00A54724"/>
    <w:rsid w:val="00A547FC"/>
    <w:rsid w:val="00A5486C"/>
    <w:rsid w:val="00A54985"/>
    <w:rsid w:val="00A549C0"/>
    <w:rsid w:val="00A54A62"/>
    <w:rsid w:val="00A54B13"/>
    <w:rsid w:val="00A54B1F"/>
    <w:rsid w:val="00A54BB5"/>
    <w:rsid w:val="00A54C45"/>
    <w:rsid w:val="00A54F90"/>
    <w:rsid w:val="00A55031"/>
    <w:rsid w:val="00A55127"/>
    <w:rsid w:val="00A55152"/>
    <w:rsid w:val="00A55159"/>
    <w:rsid w:val="00A55168"/>
    <w:rsid w:val="00A551D9"/>
    <w:rsid w:val="00A55211"/>
    <w:rsid w:val="00A55248"/>
    <w:rsid w:val="00A553CB"/>
    <w:rsid w:val="00A55407"/>
    <w:rsid w:val="00A554B9"/>
    <w:rsid w:val="00A5551E"/>
    <w:rsid w:val="00A555D2"/>
    <w:rsid w:val="00A556F9"/>
    <w:rsid w:val="00A55744"/>
    <w:rsid w:val="00A558B2"/>
    <w:rsid w:val="00A558B3"/>
    <w:rsid w:val="00A55975"/>
    <w:rsid w:val="00A559D7"/>
    <w:rsid w:val="00A55A96"/>
    <w:rsid w:val="00A55B11"/>
    <w:rsid w:val="00A55B7A"/>
    <w:rsid w:val="00A55C44"/>
    <w:rsid w:val="00A55CBF"/>
    <w:rsid w:val="00A55CC4"/>
    <w:rsid w:val="00A55CCB"/>
    <w:rsid w:val="00A55CFF"/>
    <w:rsid w:val="00A55D2E"/>
    <w:rsid w:val="00A55F2D"/>
    <w:rsid w:val="00A55F40"/>
    <w:rsid w:val="00A55F75"/>
    <w:rsid w:val="00A55FA4"/>
    <w:rsid w:val="00A55FD9"/>
    <w:rsid w:val="00A5602C"/>
    <w:rsid w:val="00A560C1"/>
    <w:rsid w:val="00A560F7"/>
    <w:rsid w:val="00A5624E"/>
    <w:rsid w:val="00A562CA"/>
    <w:rsid w:val="00A5648B"/>
    <w:rsid w:val="00A565DE"/>
    <w:rsid w:val="00A56645"/>
    <w:rsid w:val="00A5681E"/>
    <w:rsid w:val="00A5682B"/>
    <w:rsid w:val="00A568E2"/>
    <w:rsid w:val="00A568FA"/>
    <w:rsid w:val="00A56918"/>
    <w:rsid w:val="00A569EF"/>
    <w:rsid w:val="00A569FE"/>
    <w:rsid w:val="00A56B38"/>
    <w:rsid w:val="00A56B91"/>
    <w:rsid w:val="00A56DB7"/>
    <w:rsid w:val="00A56DF5"/>
    <w:rsid w:val="00A56E4A"/>
    <w:rsid w:val="00A56F12"/>
    <w:rsid w:val="00A57386"/>
    <w:rsid w:val="00A573D8"/>
    <w:rsid w:val="00A57688"/>
    <w:rsid w:val="00A576BA"/>
    <w:rsid w:val="00A57778"/>
    <w:rsid w:val="00A578A6"/>
    <w:rsid w:val="00A57965"/>
    <w:rsid w:val="00A579F3"/>
    <w:rsid w:val="00A57A1C"/>
    <w:rsid w:val="00A57B09"/>
    <w:rsid w:val="00A57B71"/>
    <w:rsid w:val="00A57BBE"/>
    <w:rsid w:val="00A57BEC"/>
    <w:rsid w:val="00A57D19"/>
    <w:rsid w:val="00A57D8E"/>
    <w:rsid w:val="00A57DB8"/>
    <w:rsid w:val="00A57DC3"/>
    <w:rsid w:val="00A57F7D"/>
    <w:rsid w:val="00A57FCD"/>
    <w:rsid w:val="00A57FD3"/>
    <w:rsid w:val="00A57FF6"/>
    <w:rsid w:val="00A60124"/>
    <w:rsid w:val="00A602BD"/>
    <w:rsid w:val="00A602F4"/>
    <w:rsid w:val="00A60346"/>
    <w:rsid w:val="00A603A0"/>
    <w:rsid w:val="00A6056E"/>
    <w:rsid w:val="00A606CE"/>
    <w:rsid w:val="00A60796"/>
    <w:rsid w:val="00A60A88"/>
    <w:rsid w:val="00A60ADB"/>
    <w:rsid w:val="00A60AF9"/>
    <w:rsid w:val="00A60C17"/>
    <w:rsid w:val="00A60D64"/>
    <w:rsid w:val="00A60E3C"/>
    <w:rsid w:val="00A60EA8"/>
    <w:rsid w:val="00A60EDD"/>
    <w:rsid w:val="00A60EF5"/>
    <w:rsid w:val="00A60FE4"/>
    <w:rsid w:val="00A61014"/>
    <w:rsid w:val="00A6106D"/>
    <w:rsid w:val="00A6110A"/>
    <w:rsid w:val="00A6125B"/>
    <w:rsid w:val="00A61270"/>
    <w:rsid w:val="00A6127D"/>
    <w:rsid w:val="00A61315"/>
    <w:rsid w:val="00A6137A"/>
    <w:rsid w:val="00A6148E"/>
    <w:rsid w:val="00A61502"/>
    <w:rsid w:val="00A615E5"/>
    <w:rsid w:val="00A6182C"/>
    <w:rsid w:val="00A6183C"/>
    <w:rsid w:val="00A61A0B"/>
    <w:rsid w:val="00A61C9B"/>
    <w:rsid w:val="00A61D62"/>
    <w:rsid w:val="00A61E23"/>
    <w:rsid w:val="00A620A7"/>
    <w:rsid w:val="00A620FF"/>
    <w:rsid w:val="00A621F7"/>
    <w:rsid w:val="00A62205"/>
    <w:rsid w:val="00A623CF"/>
    <w:rsid w:val="00A6274A"/>
    <w:rsid w:val="00A6275B"/>
    <w:rsid w:val="00A628FD"/>
    <w:rsid w:val="00A62917"/>
    <w:rsid w:val="00A62A85"/>
    <w:rsid w:val="00A62ABA"/>
    <w:rsid w:val="00A62BA9"/>
    <w:rsid w:val="00A62C12"/>
    <w:rsid w:val="00A62D8A"/>
    <w:rsid w:val="00A62F2B"/>
    <w:rsid w:val="00A63076"/>
    <w:rsid w:val="00A63118"/>
    <w:rsid w:val="00A6339E"/>
    <w:rsid w:val="00A633CF"/>
    <w:rsid w:val="00A633F4"/>
    <w:rsid w:val="00A633FB"/>
    <w:rsid w:val="00A63441"/>
    <w:rsid w:val="00A63579"/>
    <w:rsid w:val="00A63597"/>
    <w:rsid w:val="00A63645"/>
    <w:rsid w:val="00A63695"/>
    <w:rsid w:val="00A63725"/>
    <w:rsid w:val="00A637BE"/>
    <w:rsid w:val="00A63861"/>
    <w:rsid w:val="00A63867"/>
    <w:rsid w:val="00A638AD"/>
    <w:rsid w:val="00A638F0"/>
    <w:rsid w:val="00A63916"/>
    <w:rsid w:val="00A63A43"/>
    <w:rsid w:val="00A63B63"/>
    <w:rsid w:val="00A63B8C"/>
    <w:rsid w:val="00A63CE5"/>
    <w:rsid w:val="00A63E07"/>
    <w:rsid w:val="00A63E63"/>
    <w:rsid w:val="00A63E9A"/>
    <w:rsid w:val="00A63F4E"/>
    <w:rsid w:val="00A63FC6"/>
    <w:rsid w:val="00A64096"/>
    <w:rsid w:val="00A64276"/>
    <w:rsid w:val="00A64356"/>
    <w:rsid w:val="00A6457D"/>
    <w:rsid w:val="00A647D0"/>
    <w:rsid w:val="00A64A1D"/>
    <w:rsid w:val="00A64AC3"/>
    <w:rsid w:val="00A64AC4"/>
    <w:rsid w:val="00A64B1E"/>
    <w:rsid w:val="00A64B4A"/>
    <w:rsid w:val="00A64B64"/>
    <w:rsid w:val="00A64BD9"/>
    <w:rsid w:val="00A64C02"/>
    <w:rsid w:val="00A64C26"/>
    <w:rsid w:val="00A64CDD"/>
    <w:rsid w:val="00A64DDB"/>
    <w:rsid w:val="00A64E7C"/>
    <w:rsid w:val="00A64EE9"/>
    <w:rsid w:val="00A65053"/>
    <w:rsid w:val="00A650B2"/>
    <w:rsid w:val="00A650CF"/>
    <w:rsid w:val="00A651B6"/>
    <w:rsid w:val="00A652F0"/>
    <w:rsid w:val="00A6531F"/>
    <w:rsid w:val="00A65367"/>
    <w:rsid w:val="00A653C6"/>
    <w:rsid w:val="00A654AC"/>
    <w:rsid w:val="00A65603"/>
    <w:rsid w:val="00A65634"/>
    <w:rsid w:val="00A65696"/>
    <w:rsid w:val="00A656B8"/>
    <w:rsid w:val="00A65795"/>
    <w:rsid w:val="00A65881"/>
    <w:rsid w:val="00A658E0"/>
    <w:rsid w:val="00A65AFC"/>
    <w:rsid w:val="00A65C40"/>
    <w:rsid w:val="00A65C98"/>
    <w:rsid w:val="00A65CFE"/>
    <w:rsid w:val="00A65D4E"/>
    <w:rsid w:val="00A65D72"/>
    <w:rsid w:val="00A65DA6"/>
    <w:rsid w:val="00A65DD7"/>
    <w:rsid w:val="00A65E86"/>
    <w:rsid w:val="00A660EC"/>
    <w:rsid w:val="00A661A9"/>
    <w:rsid w:val="00A6635C"/>
    <w:rsid w:val="00A66372"/>
    <w:rsid w:val="00A664C5"/>
    <w:rsid w:val="00A66506"/>
    <w:rsid w:val="00A66608"/>
    <w:rsid w:val="00A66670"/>
    <w:rsid w:val="00A6669C"/>
    <w:rsid w:val="00A666C2"/>
    <w:rsid w:val="00A6673D"/>
    <w:rsid w:val="00A6673F"/>
    <w:rsid w:val="00A667AB"/>
    <w:rsid w:val="00A667C1"/>
    <w:rsid w:val="00A667D0"/>
    <w:rsid w:val="00A66826"/>
    <w:rsid w:val="00A6685E"/>
    <w:rsid w:val="00A66AE5"/>
    <w:rsid w:val="00A66C35"/>
    <w:rsid w:val="00A66E20"/>
    <w:rsid w:val="00A66E73"/>
    <w:rsid w:val="00A66F40"/>
    <w:rsid w:val="00A66FA9"/>
    <w:rsid w:val="00A67069"/>
    <w:rsid w:val="00A670F7"/>
    <w:rsid w:val="00A671AE"/>
    <w:rsid w:val="00A6726D"/>
    <w:rsid w:val="00A67274"/>
    <w:rsid w:val="00A6729E"/>
    <w:rsid w:val="00A67420"/>
    <w:rsid w:val="00A67455"/>
    <w:rsid w:val="00A6751D"/>
    <w:rsid w:val="00A67607"/>
    <w:rsid w:val="00A67694"/>
    <w:rsid w:val="00A676A2"/>
    <w:rsid w:val="00A67726"/>
    <w:rsid w:val="00A67891"/>
    <w:rsid w:val="00A678A3"/>
    <w:rsid w:val="00A678A9"/>
    <w:rsid w:val="00A67941"/>
    <w:rsid w:val="00A67A43"/>
    <w:rsid w:val="00A67B08"/>
    <w:rsid w:val="00A67B4C"/>
    <w:rsid w:val="00A67C49"/>
    <w:rsid w:val="00A67D0D"/>
    <w:rsid w:val="00A67D2D"/>
    <w:rsid w:val="00A67D4B"/>
    <w:rsid w:val="00A67E83"/>
    <w:rsid w:val="00A67F78"/>
    <w:rsid w:val="00A67FC2"/>
    <w:rsid w:val="00A6C692"/>
    <w:rsid w:val="00A70007"/>
    <w:rsid w:val="00A700C6"/>
    <w:rsid w:val="00A700E8"/>
    <w:rsid w:val="00A70110"/>
    <w:rsid w:val="00A7025F"/>
    <w:rsid w:val="00A7033D"/>
    <w:rsid w:val="00A70400"/>
    <w:rsid w:val="00A705F7"/>
    <w:rsid w:val="00A70692"/>
    <w:rsid w:val="00A706C9"/>
    <w:rsid w:val="00A70702"/>
    <w:rsid w:val="00A7084E"/>
    <w:rsid w:val="00A7087B"/>
    <w:rsid w:val="00A7088C"/>
    <w:rsid w:val="00A70890"/>
    <w:rsid w:val="00A70B18"/>
    <w:rsid w:val="00A70B55"/>
    <w:rsid w:val="00A70BCC"/>
    <w:rsid w:val="00A70C35"/>
    <w:rsid w:val="00A70F18"/>
    <w:rsid w:val="00A70F22"/>
    <w:rsid w:val="00A70FD9"/>
    <w:rsid w:val="00A7103C"/>
    <w:rsid w:val="00A71134"/>
    <w:rsid w:val="00A71191"/>
    <w:rsid w:val="00A711D8"/>
    <w:rsid w:val="00A71203"/>
    <w:rsid w:val="00A7127C"/>
    <w:rsid w:val="00A71453"/>
    <w:rsid w:val="00A714E6"/>
    <w:rsid w:val="00A7157A"/>
    <w:rsid w:val="00A715E7"/>
    <w:rsid w:val="00A71629"/>
    <w:rsid w:val="00A716E2"/>
    <w:rsid w:val="00A71753"/>
    <w:rsid w:val="00A71A28"/>
    <w:rsid w:val="00A71AB1"/>
    <w:rsid w:val="00A71B72"/>
    <w:rsid w:val="00A71CE1"/>
    <w:rsid w:val="00A71FFE"/>
    <w:rsid w:val="00A72017"/>
    <w:rsid w:val="00A72071"/>
    <w:rsid w:val="00A72164"/>
    <w:rsid w:val="00A7217C"/>
    <w:rsid w:val="00A7234D"/>
    <w:rsid w:val="00A7244B"/>
    <w:rsid w:val="00A72475"/>
    <w:rsid w:val="00A72522"/>
    <w:rsid w:val="00A725A6"/>
    <w:rsid w:val="00A72626"/>
    <w:rsid w:val="00A72745"/>
    <w:rsid w:val="00A72891"/>
    <w:rsid w:val="00A72913"/>
    <w:rsid w:val="00A72937"/>
    <w:rsid w:val="00A72990"/>
    <w:rsid w:val="00A729AC"/>
    <w:rsid w:val="00A72A4C"/>
    <w:rsid w:val="00A72BC8"/>
    <w:rsid w:val="00A72D73"/>
    <w:rsid w:val="00A72D85"/>
    <w:rsid w:val="00A72E35"/>
    <w:rsid w:val="00A72ED1"/>
    <w:rsid w:val="00A72F2D"/>
    <w:rsid w:val="00A7309A"/>
    <w:rsid w:val="00A73129"/>
    <w:rsid w:val="00A732EC"/>
    <w:rsid w:val="00A73328"/>
    <w:rsid w:val="00A7339A"/>
    <w:rsid w:val="00A73426"/>
    <w:rsid w:val="00A736C0"/>
    <w:rsid w:val="00A73746"/>
    <w:rsid w:val="00A73840"/>
    <w:rsid w:val="00A73849"/>
    <w:rsid w:val="00A739B9"/>
    <w:rsid w:val="00A73C09"/>
    <w:rsid w:val="00A73C98"/>
    <w:rsid w:val="00A73E05"/>
    <w:rsid w:val="00A73E23"/>
    <w:rsid w:val="00A73FFF"/>
    <w:rsid w:val="00A74246"/>
    <w:rsid w:val="00A7429C"/>
    <w:rsid w:val="00A742DE"/>
    <w:rsid w:val="00A74652"/>
    <w:rsid w:val="00A746F1"/>
    <w:rsid w:val="00A74716"/>
    <w:rsid w:val="00A74890"/>
    <w:rsid w:val="00A74973"/>
    <w:rsid w:val="00A749B0"/>
    <w:rsid w:val="00A749E4"/>
    <w:rsid w:val="00A74BD6"/>
    <w:rsid w:val="00A74BF1"/>
    <w:rsid w:val="00A74C13"/>
    <w:rsid w:val="00A74C64"/>
    <w:rsid w:val="00A74D91"/>
    <w:rsid w:val="00A74EB6"/>
    <w:rsid w:val="00A74F07"/>
    <w:rsid w:val="00A74FDF"/>
    <w:rsid w:val="00A75143"/>
    <w:rsid w:val="00A75165"/>
    <w:rsid w:val="00A75184"/>
    <w:rsid w:val="00A75234"/>
    <w:rsid w:val="00A753FE"/>
    <w:rsid w:val="00A7541B"/>
    <w:rsid w:val="00A7546F"/>
    <w:rsid w:val="00A7548D"/>
    <w:rsid w:val="00A7558E"/>
    <w:rsid w:val="00A75829"/>
    <w:rsid w:val="00A7582F"/>
    <w:rsid w:val="00A758F6"/>
    <w:rsid w:val="00A75A5F"/>
    <w:rsid w:val="00A75AE4"/>
    <w:rsid w:val="00A75B71"/>
    <w:rsid w:val="00A75C8E"/>
    <w:rsid w:val="00A75CC5"/>
    <w:rsid w:val="00A75CE4"/>
    <w:rsid w:val="00A75CE5"/>
    <w:rsid w:val="00A75D29"/>
    <w:rsid w:val="00A75DE3"/>
    <w:rsid w:val="00A75E7F"/>
    <w:rsid w:val="00A75E9B"/>
    <w:rsid w:val="00A75EBC"/>
    <w:rsid w:val="00A75F5A"/>
    <w:rsid w:val="00A75F7D"/>
    <w:rsid w:val="00A7612F"/>
    <w:rsid w:val="00A761AF"/>
    <w:rsid w:val="00A761DF"/>
    <w:rsid w:val="00A763AF"/>
    <w:rsid w:val="00A763D4"/>
    <w:rsid w:val="00A76436"/>
    <w:rsid w:val="00A7643A"/>
    <w:rsid w:val="00A764F8"/>
    <w:rsid w:val="00A7660F"/>
    <w:rsid w:val="00A76641"/>
    <w:rsid w:val="00A7690D"/>
    <w:rsid w:val="00A76A0A"/>
    <w:rsid w:val="00A76A65"/>
    <w:rsid w:val="00A76B83"/>
    <w:rsid w:val="00A76B94"/>
    <w:rsid w:val="00A76B9E"/>
    <w:rsid w:val="00A76BA1"/>
    <w:rsid w:val="00A76C29"/>
    <w:rsid w:val="00A76C9C"/>
    <w:rsid w:val="00A76CC2"/>
    <w:rsid w:val="00A76CCF"/>
    <w:rsid w:val="00A76CF9"/>
    <w:rsid w:val="00A76E5F"/>
    <w:rsid w:val="00A76E67"/>
    <w:rsid w:val="00A76EE9"/>
    <w:rsid w:val="00A77254"/>
    <w:rsid w:val="00A77255"/>
    <w:rsid w:val="00A772DC"/>
    <w:rsid w:val="00A772E3"/>
    <w:rsid w:val="00A77366"/>
    <w:rsid w:val="00A77431"/>
    <w:rsid w:val="00A774E9"/>
    <w:rsid w:val="00A7758A"/>
    <w:rsid w:val="00A7761C"/>
    <w:rsid w:val="00A776D0"/>
    <w:rsid w:val="00A777EB"/>
    <w:rsid w:val="00A77865"/>
    <w:rsid w:val="00A7786B"/>
    <w:rsid w:val="00A77892"/>
    <w:rsid w:val="00A77A1D"/>
    <w:rsid w:val="00A77B62"/>
    <w:rsid w:val="00A77B87"/>
    <w:rsid w:val="00A77BA7"/>
    <w:rsid w:val="00A77C2F"/>
    <w:rsid w:val="00A77C46"/>
    <w:rsid w:val="00A77D44"/>
    <w:rsid w:val="00A77D4E"/>
    <w:rsid w:val="00A77DB3"/>
    <w:rsid w:val="00A77DBC"/>
    <w:rsid w:val="00A77E70"/>
    <w:rsid w:val="00A77FCC"/>
    <w:rsid w:val="00A77FDE"/>
    <w:rsid w:val="00A80083"/>
    <w:rsid w:val="00A80121"/>
    <w:rsid w:val="00A801D4"/>
    <w:rsid w:val="00A80240"/>
    <w:rsid w:val="00A80297"/>
    <w:rsid w:val="00A8033F"/>
    <w:rsid w:val="00A803F7"/>
    <w:rsid w:val="00A80430"/>
    <w:rsid w:val="00A80489"/>
    <w:rsid w:val="00A805F8"/>
    <w:rsid w:val="00A80631"/>
    <w:rsid w:val="00A80654"/>
    <w:rsid w:val="00A8065B"/>
    <w:rsid w:val="00A806B4"/>
    <w:rsid w:val="00A806D3"/>
    <w:rsid w:val="00A806E0"/>
    <w:rsid w:val="00A806E3"/>
    <w:rsid w:val="00A80730"/>
    <w:rsid w:val="00A8084E"/>
    <w:rsid w:val="00A8096E"/>
    <w:rsid w:val="00A80977"/>
    <w:rsid w:val="00A8097A"/>
    <w:rsid w:val="00A809B9"/>
    <w:rsid w:val="00A80A11"/>
    <w:rsid w:val="00A80A5F"/>
    <w:rsid w:val="00A80A9D"/>
    <w:rsid w:val="00A80EF0"/>
    <w:rsid w:val="00A80F44"/>
    <w:rsid w:val="00A80F57"/>
    <w:rsid w:val="00A810BD"/>
    <w:rsid w:val="00A810EB"/>
    <w:rsid w:val="00A8116D"/>
    <w:rsid w:val="00A81194"/>
    <w:rsid w:val="00A811FA"/>
    <w:rsid w:val="00A8123E"/>
    <w:rsid w:val="00A81358"/>
    <w:rsid w:val="00A813BE"/>
    <w:rsid w:val="00A813FC"/>
    <w:rsid w:val="00A814DE"/>
    <w:rsid w:val="00A81553"/>
    <w:rsid w:val="00A815DC"/>
    <w:rsid w:val="00A815FB"/>
    <w:rsid w:val="00A817C6"/>
    <w:rsid w:val="00A8188F"/>
    <w:rsid w:val="00A818D3"/>
    <w:rsid w:val="00A819AD"/>
    <w:rsid w:val="00A81A36"/>
    <w:rsid w:val="00A81B2B"/>
    <w:rsid w:val="00A81B38"/>
    <w:rsid w:val="00A81C24"/>
    <w:rsid w:val="00A81C32"/>
    <w:rsid w:val="00A81CB2"/>
    <w:rsid w:val="00A81E38"/>
    <w:rsid w:val="00A81EC9"/>
    <w:rsid w:val="00A81FF7"/>
    <w:rsid w:val="00A8201A"/>
    <w:rsid w:val="00A8234B"/>
    <w:rsid w:val="00A8269A"/>
    <w:rsid w:val="00A826C0"/>
    <w:rsid w:val="00A826CC"/>
    <w:rsid w:val="00A82879"/>
    <w:rsid w:val="00A829E0"/>
    <w:rsid w:val="00A82B0E"/>
    <w:rsid w:val="00A82BDC"/>
    <w:rsid w:val="00A82D2A"/>
    <w:rsid w:val="00A82D5B"/>
    <w:rsid w:val="00A82D69"/>
    <w:rsid w:val="00A82D77"/>
    <w:rsid w:val="00A82D8F"/>
    <w:rsid w:val="00A82E2C"/>
    <w:rsid w:val="00A82F2B"/>
    <w:rsid w:val="00A83010"/>
    <w:rsid w:val="00A83254"/>
    <w:rsid w:val="00A832B1"/>
    <w:rsid w:val="00A83363"/>
    <w:rsid w:val="00A833FC"/>
    <w:rsid w:val="00A834A6"/>
    <w:rsid w:val="00A8351C"/>
    <w:rsid w:val="00A8351E"/>
    <w:rsid w:val="00A836BC"/>
    <w:rsid w:val="00A836D4"/>
    <w:rsid w:val="00A83787"/>
    <w:rsid w:val="00A83818"/>
    <w:rsid w:val="00A838BC"/>
    <w:rsid w:val="00A83978"/>
    <w:rsid w:val="00A83A40"/>
    <w:rsid w:val="00A83BEF"/>
    <w:rsid w:val="00A83C2B"/>
    <w:rsid w:val="00A83C31"/>
    <w:rsid w:val="00A83C6F"/>
    <w:rsid w:val="00A83CCA"/>
    <w:rsid w:val="00A83DC1"/>
    <w:rsid w:val="00A83DDB"/>
    <w:rsid w:val="00A83F11"/>
    <w:rsid w:val="00A8403D"/>
    <w:rsid w:val="00A8405A"/>
    <w:rsid w:val="00A8408D"/>
    <w:rsid w:val="00A84110"/>
    <w:rsid w:val="00A84111"/>
    <w:rsid w:val="00A8414E"/>
    <w:rsid w:val="00A84371"/>
    <w:rsid w:val="00A84413"/>
    <w:rsid w:val="00A8444A"/>
    <w:rsid w:val="00A8446F"/>
    <w:rsid w:val="00A8456E"/>
    <w:rsid w:val="00A84581"/>
    <w:rsid w:val="00A845E1"/>
    <w:rsid w:val="00A84816"/>
    <w:rsid w:val="00A84850"/>
    <w:rsid w:val="00A84881"/>
    <w:rsid w:val="00A8491A"/>
    <w:rsid w:val="00A8499F"/>
    <w:rsid w:val="00A849F3"/>
    <w:rsid w:val="00A84B34"/>
    <w:rsid w:val="00A84C7E"/>
    <w:rsid w:val="00A84D50"/>
    <w:rsid w:val="00A84E3A"/>
    <w:rsid w:val="00A84F27"/>
    <w:rsid w:val="00A850F0"/>
    <w:rsid w:val="00A8512D"/>
    <w:rsid w:val="00A85139"/>
    <w:rsid w:val="00A8537E"/>
    <w:rsid w:val="00A8549C"/>
    <w:rsid w:val="00A854A5"/>
    <w:rsid w:val="00A854DF"/>
    <w:rsid w:val="00A8564E"/>
    <w:rsid w:val="00A85663"/>
    <w:rsid w:val="00A8569E"/>
    <w:rsid w:val="00A85755"/>
    <w:rsid w:val="00A8576D"/>
    <w:rsid w:val="00A85927"/>
    <w:rsid w:val="00A8597D"/>
    <w:rsid w:val="00A85B11"/>
    <w:rsid w:val="00A85B2B"/>
    <w:rsid w:val="00A85C76"/>
    <w:rsid w:val="00A85D29"/>
    <w:rsid w:val="00A85D3B"/>
    <w:rsid w:val="00A85D5E"/>
    <w:rsid w:val="00A85DE4"/>
    <w:rsid w:val="00A85E4C"/>
    <w:rsid w:val="00A85F5E"/>
    <w:rsid w:val="00A86002"/>
    <w:rsid w:val="00A86175"/>
    <w:rsid w:val="00A861AA"/>
    <w:rsid w:val="00A86394"/>
    <w:rsid w:val="00A863F8"/>
    <w:rsid w:val="00A86458"/>
    <w:rsid w:val="00A864AE"/>
    <w:rsid w:val="00A864E2"/>
    <w:rsid w:val="00A864E7"/>
    <w:rsid w:val="00A86576"/>
    <w:rsid w:val="00A865C0"/>
    <w:rsid w:val="00A865FD"/>
    <w:rsid w:val="00A8663C"/>
    <w:rsid w:val="00A866DA"/>
    <w:rsid w:val="00A8670B"/>
    <w:rsid w:val="00A8670E"/>
    <w:rsid w:val="00A86723"/>
    <w:rsid w:val="00A869A8"/>
    <w:rsid w:val="00A86A44"/>
    <w:rsid w:val="00A86AF5"/>
    <w:rsid w:val="00A86C89"/>
    <w:rsid w:val="00A86D38"/>
    <w:rsid w:val="00A86D71"/>
    <w:rsid w:val="00A86DA1"/>
    <w:rsid w:val="00A86DAC"/>
    <w:rsid w:val="00A86E22"/>
    <w:rsid w:val="00A86F72"/>
    <w:rsid w:val="00A86F77"/>
    <w:rsid w:val="00A86FB1"/>
    <w:rsid w:val="00A87017"/>
    <w:rsid w:val="00A87035"/>
    <w:rsid w:val="00A87047"/>
    <w:rsid w:val="00A87059"/>
    <w:rsid w:val="00A87144"/>
    <w:rsid w:val="00A8715C"/>
    <w:rsid w:val="00A872AA"/>
    <w:rsid w:val="00A874B6"/>
    <w:rsid w:val="00A875F8"/>
    <w:rsid w:val="00A8763D"/>
    <w:rsid w:val="00A87967"/>
    <w:rsid w:val="00A879E4"/>
    <w:rsid w:val="00A87C25"/>
    <w:rsid w:val="00A87C66"/>
    <w:rsid w:val="00A87C91"/>
    <w:rsid w:val="00A87D02"/>
    <w:rsid w:val="00A87E5E"/>
    <w:rsid w:val="00A87F7F"/>
    <w:rsid w:val="00A9001A"/>
    <w:rsid w:val="00A90172"/>
    <w:rsid w:val="00A901E3"/>
    <w:rsid w:val="00A901EA"/>
    <w:rsid w:val="00A90222"/>
    <w:rsid w:val="00A90247"/>
    <w:rsid w:val="00A902C0"/>
    <w:rsid w:val="00A904AB"/>
    <w:rsid w:val="00A9050C"/>
    <w:rsid w:val="00A9060B"/>
    <w:rsid w:val="00A90873"/>
    <w:rsid w:val="00A908C5"/>
    <w:rsid w:val="00A90971"/>
    <w:rsid w:val="00A90B02"/>
    <w:rsid w:val="00A90BBE"/>
    <w:rsid w:val="00A90DB5"/>
    <w:rsid w:val="00A9101B"/>
    <w:rsid w:val="00A9108F"/>
    <w:rsid w:val="00A910BF"/>
    <w:rsid w:val="00A91145"/>
    <w:rsid w:val="00A91169"/>
    <w:rsid w:val="00A91182"/>
    <w:rsid w:val="00A91307"/>
    <w:rsid w:val="00A91532"/>
    <w:rsid w:val="00A91571"/>
    <w:rsid w:val="00A91604"/>
    <w:rsid w:val="00A9173D"/>
    <w:rsid w:val="00A917D4"/>
    <w:rsid w:val="00A9181D"/>
    <w:rsid w:val="00A91927"/>
    <w:rsid w:val="00A91941"/>
    <w:rsid w:val="00A91988"/>
    <w:rsid w:val="00A919C7"/>
    <w:rsid w:val="00A919CB"/>
    <w:rsid w:val="00A91A06"/>
    <w:rsid w:val="00A91A4C"/>
    <w:rsid w:val="00A91A64"/>
    <w:rsid w:val="00A91A7E"/>
    <w:rsid w:val="00A91AE1"/>
    <w:rsid w:val="00A91B0B"/>
    <w:rsid w:val="00A91B16"/>
    <w:rsid w:val="00A91B99"/>
    <w:rsid w:val="00A91BC0"/>
    <w:rsid w:val="00A91D0E"/>
    <w:rsid w:val="00A91DA6"/>
    <w:rsid w:val="00A91EA8"/>
    <w:rsid w:val="00A91EFD"/>
    <w:rsid w:val="00A91F4F"/>
    <w:rsid w:val="00A920D9"/>
    <w:rsid w:val="00A9211E"/>
    <w:rsid w:val="00A922A0"/>
    <w:rsid w:val="00A922E5"/>
    <w:rsid w:val="00A92535"/>
    <w:rsid w:val="00A92558"/>
    <w:rsid w:val="00A92631"/>
    <w:rsid w:val="00A92659"/>
    <w:rsid w:val="00A9265C"/>
    <w:rsid w:val="00A92698"/>
    <w:rsid w:val="00A92735"/>
    <w:rsid w:val="00A92838"/>
    <w:rsid w:val="00A92857"/>
    <w:rsid w:val="00A92877"/>
    <w:rsid w:val="00A92887"/>
    <w:rsid w:val="00A928CC"/>
    <w:rsid w:val="00A92943"/>
    <w:rsid w:val="00A92B17"/>
    <w:rsid w:val="00A92BA3"/>
    <w:rsid w:val="00A92BA7"/>
    <w:rsid w:val="00A92C49"/>
    <w:rsid w:val="00A92CD6"/>
    <w:rsid w:val="00A92CE7"/>
    <w:rsid w:val="00A92DF4"/>
    <w:rsid w:val="00A92E3D"/>
    <w:rsid w:val="00A92F11"/>
    <w:rsid w:val="00A92F17"/>
    <w:rsid w:val="00A93087"/>
    <w:rsid w:val="00A9314B"/>
    <w:rsid w:val="00A932F9"/>
    <w:rsid w:val="00A93321"/>
    <w:rsid w:val="00A9338E"/>
    <w:rsid w:val="00A935AF"/>
    <w:rsid w:val="00A935B2"/>
    <w:rsid w:val="00A935E9"/>
    <w:rsid w:val="00A93693"/>
    <w:rsid w:val="00A936F5"/>
    <w:rsid w:val="00A9376E"/>
    <w:rsid w:val="00A9380F"/>
    <w:rsid w:val="00A938C9"/>
    <w:rsid w:val="00A938F3"/>
    <w:rsid w:val="00A939B0"/>
    <w:rsid w:val="00A93C93"/>
    <w:rsid w:val="00A93CDA"/>
    <w:rsid w:val="00A93D06"/>
    <w:rsid w:val="00A942A5"/>
    <w:rsid w:val="00A94395"/>
    <w:rsid w:val="00A9483F"/>
    <w:rsid w:val="00A94866"/>
    <w:rsid w:val="00A94877"/>
    <w:rsid w:val="00A948ED"/>
    <w:rsid w:val="00A94943"/>
    <w:rsid w:val="00A949F4"/>
    <w:rsid w:val="00A94A1B"/>
    <w:rsid w:val="00A94B3D"/>
    <w:rsid w:val="00A94B4E"/>
    <w:rsid w:val="00A94CC1"/>
    <w:rsid w:val="00A94CEE"/>
    <w:rsid w:val="00A94D42"/>
    <w:rsid w:val="00A94E36"/>
    <w:rsid w:val="00A94E6F"/>
    <w:rsid w:val="00A94F2F"/>
    <w:rsid w:val="00A950BC"/>
    <w:rsid w:val="00A950F2"/>
    <w:rsid w:val="00A95143"/>
    <w:rsid w:val="00A95190"/>
    <w:rsid w:val="00A95455"/>
    <w:rsid w:val="00A95526"/>
    <w:rsid w:val="00A95591"/>
    <w:rsid w:val="00A95651"/>
    <w:rsid w:val="00A9565C"/>
    <w:rsid w:val="00A957E5"/>
    <w:rsid w:val="00A95826"/>
    <w:rsid w:val="00A95827"/>
    <w:rsid w:val="00A9588C"/>
    <w:rsid w:val="00A95AE5"/>
    <w:rsid w:val="00A95AFE"/>
    <w:rsid w:val="00A95C4F"/>
    <w:rsid w:val="00A95C7C"/>
    <w:rsid w:val="00A95CE9"/>
    <w:rsid w:val="00A95E0D"/>
    <w:rsid w:val="00A95E81"/>
    <w:rsid w:val="00A95EE8"/>
    <w:rsid w:val="00A95F54"/>
    <w:rsid w:val="00A96069"/>
    <w:rsid w:val="00A960E5"/>
    <w:rsid w:val="00A96249"/>
    <w:rsid w:val="00A96351"/>
    <w:rsid w:val="00A963EA"/>
    <w:rsid w:val="00A96495"/>
    <w:rsid w:val="00A966B8"/>
    <w:rsid w:val="00A967CB"/>
    <w:rsid w:val="00A96886"/>
    <w:rsid w:val="00A96916"/>
    <w:rsid w:val="00A9699C"/>
    <w:rsid w:val="00A96A7E"/>
    <w:rsid w:val="00A96AAA"/>
    <w:rsid w:val="00A96ACD"/>
    <w:rsid w:val="00A96AD5"/>
    <w:rsid w:val="00A96AD7"/>
    <w:rsid w:val="00A96E5B"/>
    <w:rsid w:val="00A97145"/>
    <w:rsid w:val="00A97173"/>
    <w:rsid w:val="00A97259"/>
    <w:rsid w:val="00A973B4"/>
    <w:rsid w:val="00A973F7"/>
    <w:rsid w:val="00A97459"/>
    <w:rsid w:val="00A974BF"/>
    <w:rsid w:val="00A97801"/>
    <w:rsid w:val="00A97845"/>
    <w:rsid w:val="00A9786D"/>
    <w:rsid w:val="00A979E5"/>
    <w:rsid w:val="00A97A5E"/>
    <w:rsid w:val="00A97B7B"/>
    <w:rsid w:val="00A97BB6"/>
    <w:rsid w:val="00A97BD6"/>
    <w:rsid w:val="00A97BFD"/>
    <w:rsid w:val="00A97C10"/>
    <w:rsid w:val="00A97CF6"/>
    <w:rsid w:val="00A97D02"/>
    <w:rsid w:val="00A97D91"/>
    <w:rsid w:val="00A97F6B"/>
    <w:rsid w:val="00A97F7A"/>
    <w:rsid w:val="00A97F84"/>
    <w:rsid w:val="00AA004E"/>
    <w:rsid w:val="00AA00B5"/>
    <w:rsid w:val="00AA00BF"/>
    <w:rsid w:val="00AA0174"/>
    <w:rsid w:val="00AA01C3"/>
    <w:rsid w:val="00AA0205"/>
    <w:rsid w:val="00AA021F"/>
    <w:rsid w:val="00AA0404"/>
    <w:rsid w:val="00AA0456"/>
    <w:rsid w:val="00AA04D5"/>
    <w:rsid w:val="00AA053D"/>
    <w:rsid w:val="00AA0559"/>
    <w:rsid w:val="00AA0590"/>
    <w:rsid w:val="00AA05B8"/>
    <w:rsid w:val="00AA0688"/>
    <w:rsid w:val="00AA073B"/>
    <w:rsid w:val="00AA081B"/>
    <w:rsid w:val="00AA0866"/>
    <w:rsid w:val="00AA0A93"/>
    <w:rsid w:val="00AA0B9B"/>
    <w:rsid w:val="00AA0BF8"/>
    <w:rsid w:val="00AA0C4C"/>
    <w:rsid w:val="00AA0CAF"/>
    <w:rsid w:val="00AA0D0D"/>
    <w:rsid w:val="00AA0D8A"/>
    <w:rsid w:val="00AA0E87"/>
    <w:rsid w:val="00AA0FB8"/>
    <w:rsid w:val="00AA106E"/>
    <w:rsid w:val="00AA10DD"/>
    <w:rsid w:val="00AA11DE"/>
    <w:rsid w:val="00AA1219"/>
    <w:rsid w:val="00AA1387"/>
    <w:rsid w:val="00AA147E"/>
    <w:rsid w:val="00AA14F3"/>
    <w:rsid w:val="00AA1626"/>
    <w:rsid w:val="00AA1649"/>
    <w:rsid w:val="00AA1693"/>
    <w:rsid w:val="00AA1694"/>
    <w:rsid w:val="00AA16B8"/>
    <w:rsid w:val="00AA16C4"/>
    <w:rsid w:val="00AA177D"/>
    <w:rsid w:val="00AA17BD"/>
    <w:rsid w:val="00AA17CC"/>
    <w:rsid w:val="00AA1905"/>
    <w:rsid w:val="00AA1935"/>
    <w:rsid w:val="00AA1961"/>
    <w:rsid w:val="00AA1AA8"/>
    <w:rsid w:val="00AA1B30"/>
    <w:rsid w:val="00AA1B71"/>
    <w:rsid w:val="00AA1C8B"/>
    <w:rsid w:val="00AA1DA1"/>
    <w:rsid w:val="00AA1E77"/>
    <w:rsid w:val="00AA1EBD"/>
    <w:rsid w:val="00AA1F32"/>
    <w:rsid w:val="00AA21F2"/>
    <w:rsid w:val="00AA2207"/>
    <w:rsid w:val="00AA226A"/>
    <w:rsid w:val="00AA23B0"/>
    <w:rsid w:val="00AA2407"/>
    <w:rsid w:val="00AA2538"/>
    <w:rsid w:val="00AA253B"/>
    <w:rsid w:val="00AA25CC"/>
    <w:rsid w:val="00AA262C"/>
    <w:rsid w:val="00AA273E"/>
    <w:rsid w:val="00AA2776"/>
    <w:rsid w:val="00AA27F2"/>
    <w:rsid w:val="00AA2A33"/>
    <w:rsid w:val="00AA2A7A"/>
    <w:rsid w:val="00AA2B39"/>
    <w:rsid w:val="00AA2C48"/>
    <w:rsid w:val="00AA2C99"/>
    <w:rsid w:val="00AA2FFB"/>
    <w:rsid w:val="00AA3002"/>
    <w:rsid w:val="00AA305A"/>
    <w:rsid w:val="00AA30DA"/>
    <w:rsid w:val="00AA3180"/>
    <w:rsid w:val="00AA3186"/>
    <w:rsid w:val="00AA31B3"/>
    <w:rsid w:val="00AA31ED"/>
    <w:rsid w:val="00AA32FB"/>
    <w:rsid w:val="00AA3301"/>
    <w:rsid w:val="00AA338A"/>
    <w:rsid w:val="00AA33DC"/>
    <w:rsid w:val="00AA33EE"/>
    <w:rsid w:val="00AA348B"/>
    <w:rsid w:val="00AA34C3"/>
    <w:rsid w:val="00AA3573"/>
    <w:rsid w:val="00AA3578"/>
    <w:rsid w:val="00AA36FF"/>
    <w:rsid w:val="00AA377B"/>
    <w:rsid w:val="00AA383B"/>
    <w:rsid w:val="00AA3891"/>
    <w:rsid w:val="00AA3939"/>
    <w:rsid w:val="00AA3950"/>
    <w:rsid w:val="00AA3B07"/>
    <w:rsid w:val="00AA3EAA"/>
    <w:rsid w:val="00AA3ED2"/>
    <w:rsid w:val="00AA3EDC"/>
    <w:rsid w:val="00AA40A0"/>
    <w:rsid w:val="00AA40A6"/>
    <w:rsid w:val="00AA40D9"/>
    <w:rsid w:val="00AA4126"/>
    <w:rsid w:val="00AA4197"/>
    <w:rsid w:val="00AA4273"/>
    <w:rsid w:val="00AA4274"/>
    <w:rsid w:val="00AA42EF"/>
    <w:rsid w:val="00AA46D4"/>
    <w:rsid w:val="00AA473A"/>
    <w:rsid w:val="00AA48C9"/>
    <w:rsid w:val="00AA4A18"/>
    <w:rsid w:val="00AA4B45"/>
    <w:rsid w:val="00AA4DC8"/>
    <w:rsid w:val="00AA4E9A"/>
    <w:rsid w:val="00AA4EE3"/>
    <w:rsid w:val="00AA4F0A"/>
    <w:rsid w:val="00AA4F9E"/>
    <w:rsid w:val="00AA5056"/>
    <w:rsid w:val="00AA51B8"/>
    <w:rsid w:val="00AA51C5"/>
    <w:rsid w:val="00AA52F8"/>
    <w:rsid w:val="00AA558D"/>
    <w:rsid w:val="00AA55EB"/>
    <w:rsid w:val="00AA572D"/>
    <w:rsid w:val="00AA573D"/>
    <w:rsid w:val="00AA5846"/>
    <w:rsid w:val="00AA586C"/>
    <w:rsid w:val="00AA59E8"/>
    <w:rsid w:val="00AA59F2"/>
    <w:rsid w:val="00AA5C42"/>
    <w:rsid w:val="00AA5D6A"/>
    <w:rsid w:val="00AA5D76"/>
    <w:rsid w:val="00AA5D97"/>
    <w:rsid w:val="00AA5E36"/>
    <w:rsid w:val="00AA5E37"/>
    <w:rsid w:val="00AA5E7D"/>
    <w:rsid w:val="00AA5EA4"/>
    <w:rsid w:val="00AA5F7E"/>
    <w:rsid w:val="00AA5FCA"/>
    <w:rsid w:val="00AA617B"/>
    <w:rsid w:val="00AA6459"/>
    <w:rsid w:val="00AA64E5"/>
    <w:rsid w:val="00AA64F9"/>
    <w:rsid w:val="00AA66B2"/>
    <w:rsid w:val="00AA678F"/>
    <w:rsid w:val="00AA6974"/>
    <w:rsid w:val="00AA698C"/>
    <w:rsid w:val="00AA69AB"/>
    <w:rsid w:val="00AA6A3A"/>
    <w:rsid w:val="00AA6A4C"/>
    <w:rsid w:val="00AA6B21"/>
    <w:rsid w:val="00AA6B98"/>
    <w:rsid w:val="00AA6BF0"/>
    <w:rsid w:val="00AA6C34"/>
    <w:rsid w:val="00AA6C3F"/>
    <w:rsid w:val="00AA6DE8"/>
    <w:rsid w:val="00AA6E56"/>
    <w:rsid w:val="00AA6EDB"/>
    <w:rsid w:val="00AA6EEB"/>
    <w:rsid w:val="00AA74A2"/>
    <w:rsid w:val="00AA756E"/>
    <w:rsid w:val="00AA75D3"/>
    <w:rsid w:val="00AA766A"/>
    <w:rsid w:val="00AA77CC"/>
    <w:rsid w:val="00AA7829"/>
    <w:rsid w:val="00AA785C"/>
    <w:rsid w:val="00AA7AA5"/>
    <w:rsid w:val="00AA7C30"/>
    <w:rsid w:val="00AA7D2B"/>
    <w:rsid w:val="00AA7DA9"/>
    <w:rsid w:val="00AA7E3F"/>
    <w:rsid w:val="00AA7E98"/>
    <w:rsid w:val="00AA7F3E"/>
    <w:rsid w:val="00AB00F7"/>
    <w:rsid w:val="00AB027B"/>
    <w:rsid w:val="00AB0281"/>
    <w:rsid w:val="00AB0293"/>
    <w:rsid w:val="00AB0475"/>
    <w:rsid w:val="00AB0487"/>
    <w:rsid w:val="00AB04C1"/>
    <w:rsid w:val="00AB0515"/>
    <w:rsid w:val="00AB07D9"/>
    <w:rsid w:val="00AB092B"/>
    <w:rsid w:val="00AB0A7F"/>
    <w:rsid w:val="00AB0BB5"/>
    <w:rsid w:val="00AB0C9B"/>
    <w:rsid w:val="00AB0CD3"/>
    <w:rsid w:val="00AB0D2B"/>
    <w:rsid w:val="00AB0E38"/>
    <w:rsid w:val="00AB0ECD"/>
    <w:rsid w:val="00AB101B"/>
    <w:rsid w:val="00AB10A4"/>
    <w:rsid w:val="00AB10B1"/>
    <w:rsid w:val="00AB1194"/>
    <w:rsid w:val="00AB1324"/>
    <w:rsid w:val="00AB1415"/>
    <w:rsid w:val="00AB15C2"/>
    <w:rsid w:val="00AB1612"/>
    <w:rsid w:val="00AB16C2"/>
    <w:rsid w:val="00AB1A1B"/>
    <w:rsid w:val="00AB1A45"/>
    <w:rsid w:val="00AB1E5D"/>
    <w:rsid w:val="00AB1E80"/>
    <w:rsid w:val="00AB1E8B"/>
    <w:rsid w:val="00AB1FEB"/>
    <w:rsid w:val="00AB2096"/>
    <w:rsid w:val="00AB2151"/>
    <w:rsid w:val="00AB22B8"/>
    <w:rsid w:val="00AB22FE"/>
    <w:rsid w:val="00AB235D"/>
    <w:rsid w:val="00AB23B3"/>
    <w:rsid w:val="00AB2628"/>
    <w:rsid w:val="00AB2666"/>
    <w:rsid w:val="00AB2671"/>
    <w:rsid w:val="00AB2691"/>
    <w:rsid w:val="00AB26F2"/>
    <w:rsid w:val="00AB273C"/>
    <w:rsid w:val="00AB2764"/>
    <w:rsid w:val="00AB27F6"/>
    <w:rsid w:val="00AB280E"/>
    <w:rsid w:val="00AB29C7"/>
    <w:rsid w:val="00AB29DE"/>
    <w:rsid w:val="00AB2A8B"/>
    <w:rsid w:val="00AB2B76"/>
    <w:rsid w:val="00AB2C44"/>
    <w:rsid w:val="00AB2C6E"/>
    <w:rsid w:val="00AB310F"/>
    <w:rsid w:val="00AB3172"/>
    <w:rsid w:val="00AB320C"/>
    <w:rsid w:val="00AB3227"/>
    <w:rsid w:val="00AB325B"/>
    <w:rsid w:val="00AB33DF"/>
    <w:rsid w:val="00AB3415"/>
    <w:rsid w:val="00AB3529"/>
    <w:rsid w:val="00AB352B"/>
    <w:rsid w:val="00AB35B8"/>
    <w:rsid w:val="00AB3720"/>
    <w:rsid w:val="00AB3827"/>
    <w:rsid w:val="00AB383C"/>
    <w:rsid w:val="00AB38DE"/>
    <w:rsid w:val="00AB39AA"/>
    <w:rsid w:val="00AB39DD"/>
    <w:rsid w:val="00AB3AD5"/>
    <w:rsid w:val="00AB3B67"/>
    <w:rsid w:val="00AB3BB8"/>
    <w:rsid w:val="00AB3C67"/>
    <w:rsid w:val="00AB3CCF"/>
    <w:rsid w:val="00AB3D99"/>
    <w:rsid w:val="00AB3E69"/>
    <w:rsid w:val="00AB3E95"/>
    <w:rsid w:val="00AB3EE9"/>
    <w:rsid w:val="00AB3F66"/>
    <w:rsid w:val="00AB3F83"/>
    <w:rsid w:val="00AB42FF"/>
    <w:rsid w:val="00AB44BD"/>
    <w:rsid w:val="00AB4607"/>
    <w:rsid w:val="00AB4625"/>
    <w:rsid w:val="00AB469F"/>
    <w:rsid w:val="00AB47DB"/>
    <w:rsid w:val="00AB480C"/>
    <w:rsid w:val="00AB48D3"/>
    <w:rsid w:val="00AB49F8"/>
    <w:rsid w:val="00AB4A84"/>
    <w:rsid w:val="00AB4C41"/>
    <w:rsid w:val="00AB4C5F"/>
    <w:rsid w:val="00AB4D1C"/>
    <w:rsid w:val="00AB4D1D"/>
    <w:rsid w:val="00AB4F15"/>
    <w:rsid w:val="00AB4F93"/>
    <w:rsid w:val="00AB50DC"/>
    <w:rsid w:val="00AB51E2"/>
    <w:rsid w:val="00AB526C"/>
    <w:rsid w:val="00AB5281"/>
    <w:rsid w:val="00AB5284"/>
    <w:rsid w:val="00AB54F6"/>
    <w:rsid w:val="00AB551C"/>
    <w:rsid w:val="00AB553E"/>
    <w:rsid w:val="00AB5587"/>
    <w:rsid w:val="00AB55DF"/>
    <w:rsid w:val="00AB5685"/>
    <w:rsid w:val="00AB5760"/>
    <w:rsid w:val="00AB5771"/>
    <w:rsid w:val="00AB5957"/>
    <w:rsid w:val="00AB59F7"/>
    <w:rsid w:val="00AB5A18"/>
    <w:rsid w:val="00AB5ABD"/>
    <w:rsid w:val="00AB5AC4"/>
    <w:rsid w:val="00AB5B9E"/>
    <w:rsid w:val="00AB5C4C"/>
    <w:rsid w:val="00AB5C60"/>
    <w:rsid w:val="00AB5D57"/>
    <w:rsid w:val="00AB5D8E"/>
    <w:rsid w:val="00AB5F68"/>
    <w:rsid w:val="00AB5FE0"/>
    <w:rsid w:val="00AB600B"/>
    <w:rsid w:val="00AB6085"/>
    <w:rsid w:val="00AB6189"/>
    <w:rsid w:val="00AB61AD"/>
    <w:rsid w:val="00AB630E"/>
    <w:rsid w:val="00AB6343"/>
    <w:rsid w:val="00AB63B2"/>
    <w:rsid w:val="00AB6606"/>
    <w:rsid w:val="00AB679A"/>
    <w:rsid w:val="00AB6864"/>
    <w:rsid w:val="00AB69A5"/>
    <w:rsid w:val="00AB6A01"/>
    <w:rsid w:val="00AB6A0E"/>
    <w:rsid w:val="00AB6ABB"/>
    <w:rsid w:val="00AB6B08"/>
    <w:rsid w:val="00AB6B8F"/>
    <w:rsid w:val="00AB6BA2"/>
    <w:rsid w:val="00AB6C4A"/>
    <w:rsid w:val="00AB6C92"/>
    <w:rsid w:val="00AB6C9D"/>
    <w:rsid w:val="00AB6D2A"/>
    <w:rsid w:val="00AB6DB1"/>
    <w:rsid w:val="00AB6DBB"/>
    <w:rsid w:val="00AB6E2A"/>
    <w:rsid w:val="00AB6E72"/>
    <w:rsid w:val="00AB6E87"/>
    <w:rsid w:val="00AB6EFC"/>
    <w:rsid w:val="00AB6FB1"/>
    <w:rsid w:val="00AB6FC0"/>
    <w:rsid w:val="00AB7197"/>
    <w:rsid w:val="00AB72D6"/>
    <w:rsid w:val="00AB730E"/>
    <w:rsid w:val="00AB7452"/>
    <w:rsid w:val="00AB74D3"/>
    <w:rsid w:val="00AB757E"/>
    <w:rsid w:val="00AB76AF"/>
    <w:rsid w:val="00AB78AC"/>
    <w:rsid w:val="00AB7911"/>
    <w:rsid w:val="00AB795E"/>
    <w:rsid w:val="00AB79EA"/>
    <w:rsid w:val="00AB7ABD"/>
    <w:rsid w:val="00AB7BE5"/>
    <w:rsid w:val="00AB7BFB"/>
    <w:rsid w:val="00AB7C0F"/>
    <w:rsid w:val="00AB7E68"/>
    <w:rsid w:val="00AB7EC4"/>
    <w:rsid w:val="00AB7F75"/>
    <w:rsid w:val="00AB7F91"/>
    <w:rsid w:val="00AC0006"/>
    <w:rsid w:val="00AC00F6"/>
    <w:rsid w:val="00AC01EA"/>
    <w:rsid w:val="00AC01F7"/>
    <w:rsid w:val="00AC02F8"/>
    <w:rsid w:val="00AC02FA"/>
    <w:rsid w:val="00AC04DF"/>
    <w:rsid w:val="00AC05DE"/>
    <w:rsid w:val="00AC0616"/>
    <w:rsid w:val="00AC07C0"/>
    <w:rsid w:val="00AC0857"/>
    <w:rsid w:val="00AC0862"/>
    <w:rsid w:val="00AC0935"/>
    <w:rsid w:val="00AC096E"/>
    <w:rsid w:val="00AC0A19"/>
    <w:rsid w:val="00AC0A4F"/>
    <w:rsid w:val="00AC0B78"/>
    <w:rsid w:val="00AC0BC9"/>
    <w:rsid w:val="00AC0C94"/>
    <w:rsid w:val="00AC0CA3"/>
    <w:rsid w:val="00AC0CCA"/>
    <w:rsid w:val="00AC0D00"/>
    <w:rsid w:val="00AC0D13"/>
    <w:rsid w:val="00AC0D1C"/>
    <w:rsid w:val="00AC0DBA"/>
    <w:rsid w:val="00AC0DDC"/>
    <w:rsid w:val="00AC0F01"/>
    <w:rsid w:val="00AC0F82"/>
    <w:rsid w:val="00AC1054"/>
    <w:rsid w:val="00AC10E2"/>
    <w:rsid w:val="00AC1149"/>
    <w:rsid w:val="00AC1294"/>
    <w:rsid w:val="00AC1352"/>
    <w:rsid w:val="00AC1475"/>
    <w:rsid w:val="00AC14EE"/>
    <w:rsid w:val="00AC1578"/>
    <w:rsid w:val="00AC1582"/>
    <w:rsid w:val="00AC163F"/>
    <w:rsid w:val="00AC167E"/>
    <w:rsid w:val="00AC1689"/>
    <w:rsid w:val="00AC1879"/>
    <w:rsid w:val="00AC18B3"/>
    <w:rsid w:val="00AC196F"/>
    <w:rsid w:val="00AC1A24"/>
    <w:rsid w:val="00AC1A41"/>
    <w:rsid w:val="00AC1BE6"/>
    <w:rsid w:val="00AC1CFA"/>
    <w:rsid w:val="00AC1D63"/>
    <w:rsid w:val="00AC1F32"/>
    <w:rsid w:val="00AC1F77"/>
    <w:rsid w:val="00AC1FE8"/>
    <w:rsid w:val="00AC2001"/>
    <w:rsid w:val="00AC2023"/>
    <w:rsid w:val="00AC21A3"/>
    <w:rsid w:val="00AC234B"/>
    <w:rsid w:val="00AC2369"/>
    <w:rsid w:val="00AC2463"/>
    <w:rsid w:val="00AC2468"/>
    <w:rsid w:val="00AC2570"/>
    <w:rsid w:val="00AC25B9"/>
    <w:rsid w:val="00AC26B4"/>
    <w:rsid w:val="00AC2761"/>
    <w:rsid w:val="00AC27F5"/>
    <w:rsid w:val="00AC29B0"/>
    <w:rsid w:val="00AC2ACB"/>
    <w:rsid w:val="00AC2B3A"/>
    <w:rsid w:val="00AC2BE8"/>
    <w:rsid w:val="00AC2C53"/>
    <w:rsid w:val="00AC2F53"/>
    <w:rsid w:val="00AC302B"/>
    <w:rsid w:val="00AC30C7"/>
    <w:rsid w:val="00AC30FC"/>
    <w:rsid w:val="00AC3144"/>
    <w:rsid w:val="00AC3247"/>
    <w:rsid w:val="00AC3276"/>
    <w:rsid w:val="00AC327C"/>
    <w:rsid w:val="00AC3293"/>
    <w:rsid w:val="00AC32BE"/>
    <w:rsid w:val="00AC3364"/>
    <w:rsid w:val="00AC340A"/>
    <w:rsid w:val="00AC34EF"/>
    <w:rsid w:val="00AC35F5"/>
    <w:rsid w:val="00AC364A"/>
    <w:rsid w:val="00AC36B3"/>
    <w:rsid w:val="00AC3715"/>
    <w:rsid w:val="00AC375A"/>
    <w:rsid w:val="00AC38A1"/>
    <w:rsid w:val="00AC38B8"/>
    <w:rsid w:val="00AC398E"/>
    <w:rsid w:val="00AC39AD"/>
    <w:rsid w:val="00AC39EF"/>
    <w:rsid w:val="00AC3B1F"/>
    <w:rsid w:val="00AC3BA4"/>
    <w:rsid w:val="00AC3BC1"/>
    <w:rsid w:val="00AC3C03"/>
    <w:rsid w:val="00AC3C10"/>
    <w:rsid w:val="00AC3E31"/>
    <w:rsid w:val="00AC3FEF"/>
    <w:rsid w:val="00AC40B1"/>
    <w:rsid w:val="00AC425C"/>
    <w:rsid w:val="00AC429F"/>
    <w:rsid w:val="00AC431F"/>
    <w:rsid w:val="00AC44F8"/>
    <w:rsid w:val="00AC458D"/>
    <w:rsid w:val="00AC45DC"/>
    <w:rsid w:val="00AC462B"/>
    <w:rsid w:val="00AC47EB"/>
    <w:rsid w:val="00AC4881"/>
    <w:rsid w:val="00AC48A1"/>
    <w:rsid w:val="00AC4B13"/>
    <w:rsid w:val="00AC4BDD"/>
    <w:rsid w:val="00AC4C24"/>
    <w:rsid w:val="00AC4C92"/>
    <w:rsid w:val="00AC4CB0"/>
    <w:rsid w:val="00AC4CD4"/>
    <w:rsid w:val="00AC4DEF"/>
    <w:rsid w:val="00AC51C4"/>
    <w:rsid w:val="00AC51DC"/>
    <w:rsid w:val="00AC534E"/>
    <w:rsid w:val="00AC54AF"/>
    <w:rsid w:val="00AC54E5"/>
    <w:rsid w:val="00AC56B9"/>
    <w:rsid w:val="00AC56CD"/>
    <w:rsid w:val="00AC5762"/>
    <w:rsid w:val="00AC58F4"/>
    <w:rsid w:val="00AC595E"/>
    <w:rsid w:val="00AC59C2"/>
    <w:rsid w:val="00AC5A4B"/>
    <w:rsid w:val="00AC5AA1"/>
    <w:rsid w:val="00AC5ABB"/>
    <w:rsid w:val="00AC5AD8"/>
    <w:rsid w:val="00AC5CE9"/>
    <w:rsid w:val="00AC5D39"/>
    <w:rsid w:val="00AC5DC4"/>
    <w:rsid w:val="00AC5E16"/>
    <w:rsid w:val="00AC5F68"/>
    <w:rsid w:val="00AC5F9D"/>
    <w:rsid w:val="00AC5FDB"/>
    <w:rsid w:val="00AC604E"/>
    <w:rsid w:val="00AC6228"/>
    <w:rsid w:val="00AC63C5"/>
    <w:rsid w:val="00AC63D8"/>
    <w:rsid w:val="00AC6506"/>
    <w:rsid w:val="00AC65B4"/>
    <w:rsid w:val="00AC65DB"/>
    <w:rsid w:val="00AC67A3"/>
    <w:rsid w:val="00AC67B6"/>
    <w:rsid w:val="00AC6875"/>
    <w:rsid w:val="00AC68CF"/>
    <w:rsid w:val="00AC6975"/>
    <w:rsid w:val="00AC6A00"/>
    <w:rsid w:val="00AC6AE8"/>
    <w:rsid w:val="00AC6B03"/>
    <w:rsid w:val="00AC6B94"/>
    <w:rsid w:val="00AC6C05"/>
    <w:rsid w:val="00AC6C20"/>
    <w:rsid w:val="00AC6C5D"/>
    <w:rsid w:val="00AC6CB2"/>
    <w:rsid w:val="00AC6CDC"/>
    <w:rsid w:val="00AC6EAA"/>
    <w:rsid w:val="00AC6EF2"/>
    <w:rsid w:val="00AC70C9"/>
    <w:rsid w:val="00AC70FF"/>
    <w:rsid w:val="00AC7142"/>
    <w:rsid w:val="00AC74A1"/>
    <w:rsid w:val="00AC75EF"/>
    <w:rsid w:val="00AC772C"/>
    <w:rsid w:val="00AC7742"/>
    <w:rsid w:val="00AC7791"/>
    <w:rsid w:val="00AC7794"/>
    <w:rsid w:val="00AC7851"/>
    <w:rsid w:val="00AC7858"/>
    <w:rsid w:val="00AC7CE7"/>
    <w:rsid w:val="00AC7EB6"/>
    <w:rsid w:val="00AC7F04"/>
    <w:rsid w:val="00AC7F5A"/>
    <w:rsid w:val="00AD021C"/>
    <w:rsid w:val="00AD022D"/>
    <w:rsid w:val="00AD0397"/>
    <w:rsid w:val="00AD03B3"/>
    <w:rsid w:val="00AD03BC"/>
    <w:rsid w:val="00AD0428"/>
    <w:rsid w:val="00AD0484"/>
    <w:rsid w:val="00AD048B"/>
    <w:rsid w:val="00AD0495"/>
    <w:rsid w:val="00AD066A"/>
    <w:rsid w:val="00AD06BD"/>
    <w:rsid w:val="00AD084F"/>
    <w:rsid w:val="00AD0902"/>
    <w:rsid w:val="00AD096E"/>
    <w:rsid w:val="00AD0A05"/>
    <w:rsid w:val="00AD0AFE"/>
    <w:rsid w:val="00AD0B99"/>
    <w:rsid w:val="00AD0BC8"/>
    <w:rsid w:val="00AD0DA6"/>
    <w:rsid w:val="00AD0E3D"/>
    <w:rsid w:val="00AD0F11"/>
    <w:rsid w:val="00AD0F28"/>
    <w:rsid w:val="00AD0F7A"/>
    <w:rsid w:val="00AD0F9F"/>
    <w:rsid w:val="00AD1012"/>
    <w:rsid w:val="00AD101A"/>
    <w:rsid w:val="00AD1135"/>
    <w:rsid w:val="00AD11B3"/>
    <w:rsid w:val="00AD11C4"/>
    <w:rsid w:val="00AD123A"/>
    <w:rsid w:val="00AD1280"/>
    <w:rsid w:val="00AD12C5"/>
    <w:rsid w:val="00AD12D9"/>
    <w:rsid w:val="00AD13F3"/>
    <w:rsid w:val="00AD149A"/>
    <w:rsid w:val="00AD168A"/>
    <w:rsid w:val="00AD16DD"/>
    <w:rsid w:val="00AD16EC"/>
    <w:rsid w:val="00AD17A9"/>
    <w:rsid w:val="00AD184A"/>
    <w:rsid w:val="00AD18D8"/>
    <w:rsid w:val="00AD1906"/>
    <w:rsid w:val="00AD1A72"/>
    <w:rsid w:val="00AD1A79"/>
    <w:rsid w:val="00AD1A94"/>
    <w:rsid w:val="00AD1AFF"/>
    <w:rsid w:val="00AD1D2E"/>
    <w:rsid w:val="00AD1D75"/>
    <w:rsid w:val="00AD1E52"/>
    <w:rsid w:val="00AD20D8"/>
    <w:rsid w:val="00AD21D4"/>
    <w:rsid w:val="00AD233F"/>
    <w:rsid w:val="00AD238E"/>
    <w:rsid w:val="00AD23EA"/>
    <w:rsid w:val="00AD257D"/>
    <w:rsid w:val="00AD259F"/>
    <w:rsid w:val="00AD25A5"/>
    <w:rsid w:val="00AD2768"/>
    <w:rsid w:val="00AD284E"/>
    <w:rsid w:val="00AD28F3"/>
    <w:rsid w:val="00AD29D4"/>
    <w:rsid w:val="00AD2A80"/>
    <w:rsid w:val="00AD2AF4"/>
    <w:rsid w:val="00AD2B2B"/>
    <w:rsid w:val="00AD2C23"/>
    <w:rsid w:val="00AD2C31"/>
    <w:rsid w:val="00AD2C9C"/>
    <w:rsid w:val="00AD2CDD"/>
    <w:rsid w:val="00AD2D36"/>
    <w:rsid w:val="00AD2E23"/>
    <w:rsid w:val="00AD2E8A"/>
    <w:rsid w:val="00AD2F23"/>
    <w:rsid w:val="00AD2F2A"/>
    <w:rsid w:val="00AD308F"/>
    <w:rsid w:val="00AD3186"/>
    <w:rsid w:val="00AD31B1"/>
    <w:rsid w:val="00AD31E7"/>
    <w:rsid w:val="00AD3254"/>
    <w:rsid w:val="00AD3268"/>
    <w:rsid w:val="00AD32AC"/>
    <w:rsid w:val="00AD33F7"/>
    <w:rsid w:val="00AD35C6"/>
    <w:rsid w:val="00AD35E1"/>
    <w:rsid w:val="00AD3649"/>
    <w:rsid w:val="00AD36E3"/>
    <w:rsid w:val="00AD37DE"/>
    <w:rsid w:val="00AD37F3"/>
    <w:rsid w:val="00AD3802"/>
    <w:rsid w:val="00AD384D"/>
    <w:rsid w:val="00AD390F"/>
    <w:rsid w:val="00AD39ED"/>
    <w:rsid w:val="00AD3A6A"/>
    <w:rsid w:val="00AD3AD0"/>
    <w:rsid w:val="00AD3C7D"/>
    <w:rsid w:val="00AD3F41"/>
    <w:rsid w:val="00AD3F4D"/>
    <w:rsid w:val="00AD3F7E"/>
    <w:rsid w:val="00AD40DB"/>
    <w:rsid w:val="00AD4245"/>
    <w:rsid w:val="00AD42B5"/>
    <w:rsid w:val="00AD4424"/>
    <w:rsid w:val="00AD44B4"/>
    <w:rsid w:val="00AD4515"/>
    <w:rsid w:val="00AD4646"/>
    <w:rsid w:val="00AD46CF"/>
    <w:rsid w:val="00AD47EF"/>
    <w:rsid w:val="00AD4942"/>
    <w:rsid w:val="00AD49DE"/>
    <w:rsid w:val="00AD4A55"/>
    <w:rsid w:val="00AD4B4A"/>
    <w:rsid w:val="00AD4E2D"/>
    <w:rsid w:val="00AD4E34"/>
    <w:rsid w:val="00AD4F36"/>
    <w:rsid w:val="00AD5075"/>
    <w:rsid w:val="00AD50DA"/>
    <w:rsid w:val="00AD5202"/>
    <w:rsid w:val="00AD5203"/>
    <w:rsid w:val="00AD52AA"/>
    <w:rsid w:val="00AD52C4"/>
    <w:rsid w:val="00AD52CD"/>
    <w:rsid w:val="00AD5334"/>
    <w:rsid w:val="00AD5335"/>
    <w:rsid w:val="00AD5858"/>
    <w:rsid w:val="00AD5889"/>
    <w:rsid w:val="00AD5919"/>
    <w:rsid w:val="00AD5A30"/>
    <w:rsid w:val="00AD5AA7"/>
    <w:rsid w:val="00AD5AC4"/>
    <w:rsid w:val="00AD5CA4"/>
    <w:rsid w:val="00AD5D4B"/>
    <w:rsid w:val="00AD5E08"/>
    <w:rsid w:val="00AD5E1C"/>
    <w:rsid w:val="00AD5F80"/>
    <w:rsid w:val="00AD5FAA"/>
    <w:rsid w:val="00AD607C"/>
    <w:rsid w:val="00AD60A5"/>
    <w:rsid w:val="00AD61CF"/>
    <w:rsid w:val="00AD62EE"/>
    <w:rsid w:val="00AD6347"/>
    <w:rsid w:val="00AD636B"/>
    <w:rsid w:val="00AD6405"/>
    <w:rsid w:val="00AD65CE"/>
    <w:rsid w:val="00AD65F5"/>
    <w:rsid w:val="00AD6645"/>
    <w:rsid w:val="00AD6688"/>
    <w:rsid w:val="00AD67FA"/>
    <w:rsid w:val="00AD6849"/>
    <w:rsid w:val="00AD68AD"/>
    <w:rsid w:val="00AD6A7F"/>
    <w:rsid w:val="00AD6ADF"/>
    <w:rsid w:val="00AD6C3E"/>
    <w:rsid w:val="00AD6DE8"/>
    <w:rsid w:val="00AD6E10"/>
    <w:rsid w:val="00AD6F29"/>
    <w:rsid w:val="00AD711A"/>
    <w:rsid w:val="00AD7235"/>
    <w:rsid w:val="00AD7291"/>
    <w:rsid w:val="00AD72A7"/>
    <w:rsid w:val="00AD72F0"/>
    <w:rsid w:val="00AD731A"/>
    <w:rsid w:val="00AD737E"/>
    <w:rsid w:val="00AD73F0"/>
    <w:rsid w:val="00AD746C"/>
    <w:rsid w:val="00AD7602"/>
    <w:rsid w:val="00AD761F"/>
    <w:rsid w:val="00AD7747"/>
    <w:rsid w:val="00AD7749"/>
    <w:rsid w:val="00AD778E"/>
    <w:rsid w:val="00AD779C"/>
    <w:rsid w:val="00AD77ED"/>
    <w:rsid w:val="00AD7864"/>
    <w:rsid w:val="00AD79A7"/>
    <w:rsid w:val="00AD7B59"/>
    <w:rsid w:val="00AD7C96"/>
    <w:rsid w:val="00AD7CA8"/>
    <w:rsid w:val="00AD7DC8"/>
    <w:rsid w:val="00AD7DCF"/>
    <w:rsid w:val="00AD7DDE"/>
    <w:rsid w:val="00AD7E19"/>
    <w:rsid w:val="00AD7E42"/>
    <w:rsid w:val="00AD7F53"/>
    <w:rsid w:val="00AE00C2"/>
    <w:rsid w:val="00AE0209"/>
    <w:rsid w:val="00AE0236"/>
    <w:rsid w:val="00AE0390"/>
    <w:rsid w:val="00AE04AA"/>
    <w:rsid w:val="00AE04D4"/>
    <w:rsid w:val="00AE0523"/>
    <w:rsid w:val="00AE0639"/>
    <w:rsid w:val="00AE076D"/>
    <w:rsid w:val="00AE086D"/>
    <w:rsid w:val="00AE09DC"/>
    <w:rsid w:val="00AE09EE"/>
    <w:rsid w:val="00AE0A35"/>
    <w:rsid w:val="00AE0ACD"/>
    <w:rsid w:val="00AE0B2F"/>
    <w:rsid w:val="00AE0B51"/>
    <w:rsid w:val="00AE0B60"/>
    <w:rsid w:val="00AE0BE7"/>
    <w:rsid w:val="00AE0CD3"/>
    <w:rsid w:val="00AE0DB0"/>
    <w:rsid w:val="00AE0E70"/>
    <w:rsid w:val="00AE0E9E"/>
    <w:rsid w:val="00AE0EAF"/>
    <w:rsid w:val="00AE0EEF"/>
    <w:rsid w:val="00AE0EF3"/>
    <w:rsid w:val="00AE0F74"/>
    <w:rsid w:val="00AE0F7C"/>
    <w:rsid w:val="00AE1236"/>
    <w:rsid w:val="00AE12C3"/>
    <w:rsid w:val="00AE12DD"/>
    <w:rsid w:val="00AE1326"/>
    <w:rsid w:val="00AE138B"/>
    <w:rsid w:val="00AE139A"/>
    <w:rsid w:val="00AE141B"/>
    <w:rsid w:val="00AE1430"/>
    <w:rsid w:val="00AE14FE"/>
    <w:rsid w:val="00AE1591"/>
    <w:rsid w:val="00AE16AE"/>
    <w:rsid w:val="00AE16DA"/>
    <w:rsid w:val="00AE1752"/>
    <w:rsid w:val="00AE17BF"/>
    <w:rsid w:val="00AE17C2"/>
    <w:rsid w:val="00AE18D1"/>
    <w:rsid w:val="00AE19A1"/>
    <w:rsid w:val="00AE1C49"/>
    <w:rsid w:val="00AE1C63"/>
    <w:rsid w:val="00AE1CE8"/>
    <w:rsid w:val="00AE1E4B"/>
    <w:rsid w:val="00AE1F25"/>
    <w:rsid w:val="00AE2046"/>
    <w:rsid w:val="00AE21FA"/>
    <w:rsid w:val="00AE223E"/>
    <w:rsid w:val="00AE2277"/>
    <w:rsid w:val="00AE22FF"/>
    <w:rsid w:val="00AE2320"/>
    <w:rsid w:val="00AE26BF"/>
    <w:rsid w:val="00AE281F"/>
    <w:rsid w:val="00AE2A09"/>
    <w:rsid w:val="00AE2D46"/>
    <w:rsid w:val="00AE2D4C"/>
    <w:rsid w:val="00AE2E6D"/>
    <w:rsid w:val="00AE2F0E"/>
    <w:rsid w:val="00AE2F7D"/>
    <w:rsid w:val="00AE2F8F"/>
    <w:rsid w:val="00AE3011"/>
    <w:rsid w:val="00AE30D3"/>
    <w:rsid w:val="00AE3102"/>
    <w:rsid w:val="00AE31A3"/>
    <w:rsid w:val="00AE3393"/>
    <w:rsid w:val="00AE34CA"/>
    <w:rsid w:val="00AE3558"/>
    <w:rsid w:val="00AE3708"/>
    <w:rsid w:val="00AE38FA"/>
    <w:rsid w:val="00AE3A52"/>
    <w:rsid w:val="00AE3A82"/>
    <w:rsid w:val="00AE3B26"/>
    <w:rsid w:val="00AE3B50"/>
    <w:rsid w:val="00AE3B8D"/>
    <w:rsid w:val="00AE3BED"/>
    <w:rsid w:val="00AE3E40"/>
    <w:rsid w:val="00AE3E8A"/>
    <w:rsid w:val="00AE3F11"/>
    <w:rsid w:val="00AE3F66"/>
    <w:rsid w:val="00AE3F8D"/>
    <w:rsid w:val="00AE3FB4"/>
    <w:rsid w:val="00AE3FF4"/>
    <w:rsid w:val="00AE4101"/>
    <w:rsid w:val="00AE4107"/>
    <w:rsid w:val="00AE418F"/>
    <w:rsid w:val="00AE4202"/>
    <w:rsid w:val="00AE4237"/>
    <w:rsid w:val="00AE444D"/>
    <w:rsid w:val="00AE4458"/>
    <w:rsid w:val="00AE4508"/>
    <w:rsid w:val="00AE45C3"/>
    <w:rsid w:val="00AE45C5"/>
    <w:rsid w:val="00AE4613"/>
    <w:rsid w:val="00AE46F4"/>
    <w:rsid w:val="00AE4788"/>
    <w:rsid w:val="00AE4977"/>
    <w:rsid w:val="00AE49BD"/>
    <w:rsid w:val="00AE4A76"/>
    <w:rsid w:val="00AE4C35"/>
    <w:rsid w:val="00AE4D93"/>
    <w:rsid w:val="00AE53F5"/>
    <w:rsid w:val="00AE5450"/>
    <w:rsid w:val="00AE54FE"/>
    <w:rsid w:val="00AE551A"/>
    <w:rsid w:val="00AE55C1"/>
    <w:rsid w:val="00AE5690"/>
    <w:rsid w:val="00AE573B"/>
    <w:rsid w:val="00AE573C"/>
    <w:rsid w:val="00AE58BC"/>
    <w:rsid w:val="00AE5906"/>
    <w:rsid w:val="00AE5968"/>
    <w:rsid w:val="00AE5ACB"/>
    <w:rsid w:val="00AE5AE1"/>
    <w:rsid w:val="00AE5BF6"/>
    <w:rsid w:val="00AE5D4A"/>
    <w:rsid w:val="00AE5DBE"/>
    <w:rsid w:val="00AE5EB9"/>
    <w:rsid w:val="00AE61DE"/>
    <w:rsid w:val="00AE61F7"/>
    <w:rsid w:val="00AE6214"/>
    <w:rsid w:val="00AE6268"/>
    <w:rsid w:val="00AE63FA"/>
    <w:rsid w:val="00AE6464"/>
    <w:rsid w:val="00AE65D1"/>
    <w:rsid w:val="00AE6681"/>
    <w:rsid w:val="00AE66AC"/>
    <w:rsid w:val="00AE68E0"/>
    <w:rsid w:val="00AE68FA"/>
    <w:rsid w:val="00AE6980"/>
    <w:rsid w:val="00AE69AD"/>
    <w:rsid w:val="00AE6A3B"/>
    <w:rsid w:val="00AE6A48"/>
    <w:rsid w:val="00AE6A72"/>
    <w:rsid w:val="00AE6A94"/>
    <w:rsid w:val="00AE6AD7"/>
    <w:rsid w:val="00AE6B36"/>
    <w:rsid w:val="00AE6B77"/>
    <w:rsid w:val="00AE6B98"/>
    <w:rsid w:val="00AE6BBE"/>
    <w:rsid w:val="00AE6CFC"/>
    <w:rsid w:val="00AE6D98"/>
    <w:rsid w:val="00AE6DA7"/>
    <w:rsid w:val="00AE6EC6"/>
    <w:rsid w:val="00AE6F9D"/>
    <w:rsid w:val="00AE6FC0"/>
    <w:rsid w:val="00AE6FE6"/>
    <w:rsid w:val="00AE6FED"/>
    <w:rsid w:val="00AE715A"/>
    <w:rsid w:val="00AE71DA"/>
    <w:rsid w:val="00AE72A2"/>
    <w:rsid w:val="00AE742F"/>
    <w:rsid w:val="00AE748A"/>
    <w:rsid w:val="00AE75E2"/>
    <w:rsid w:val="00AE7654"/>
    <w:rsid w:val="00AE7785"/>
    <w:rsid w:val="00AE7871"/>
    <w:rsid w:val="00AE78A0"/>
    <w:rsid w:val="00AE7902"/>
    <w:rsid w:val="00AE7963"/>
    <w:rsid w:val="00AE7BF9"/>
    <w:rsid w:val="00AE7E14"/>
    <w:rsid w:val="00AE7E49"/>
    <w:rsid w:val="00AE7E8C"/>
    <w:rsid w:val="00AE7ED4"/>
    <w:rsid w:val="00AE7F4B"/>
    <w:rsid w:val="00AE7F76"/>
    <w:rsid w:val="00AF0111"/>
    <w:rsid w:val="00AF020F"/>
    <w:rsid w:val="00AF03F9"/>
    <w:rsid w:val="00AF0500"/>
    <w:rsid w:val="00AF0651"/>
    <w:rsid w:val="00AF0735"/>
    <w:rsid w:val="00AF07E6"/>
    <w:rsid w:val="00AF07F5"/>
    <w:rsid w:val="00AF0816"/>
    <w:rsid w:val="00AF08C8"/>
    <w:rsid w:val="00AF0907"/>
    <w:rsid w:val="00AF0985"/>
    <w:rsid w:val="00AF09F4"/>
    <w:rsid w:val="00AF0BA6"/>
    <w:rsid w:val="00AF0C89"/>
    <w:rsid w:val="00AF0CA8"/>
    <w:rsid w:val="00AF0CCA"/>
    <w:rsid w:val="00AF0D85"/>
    <w:rsid w:val="00AF0DDF"/>
    <w:rsid w:val="00AF0E5F"/>
    <w:rsid w:val="00AF0E6C"/>
    <w:rsid w:val="00AF0F33"/>
    <w:rsid w:val="00AF0F7E"/>
    <w:rsid w:val="00AF11AB"/>
    <w:rsid w:val="00AF1364"/>
    <w:rsid w:val="00AF1425"/>
    <w:rsid w:val="00AF1498"/>
    <w:rsid w:val="00AF18A1"/>
    <w:rsid w:val="00AF18BC"/>
    <w:rsid w:val="00AF192E"/>
    <w:rsid w:val="00AF1ADB"/>
    <w:rsid w:val="00AF1E82"/>
    <w:rsid w:val="00AF1E8D"/>
    <w:rsid w:val="00AF1EAE"/>
    <w:rsid w:val="00AF1EDB"/>
    <w:rsid w:val="00AF1F5A"/>
    <w:rsid w:val="00AF1F79"/>
    <w:rsid w:val="00AF213F"/>
    <w:rsid w:val="00AF2368"/>
    <w:rsid w:val="00AF2530"/>
    <w:rsid w:val="00AF25C0"/>
    <w:rsid w:val="00AF26DD"/>
    <w:rsid w:val="00AF28B1"/>
    <w:rsid w:val="00AF2957"/>
    <w:rsid w:val="00AF29D9"/>
    <w:rsid w:val="00AF29E0"/>
    <w:rsid w:val="00AF29EE"/>
    <w:rsid w:val="00AF2A7A"/>
    <w:rsid w:val="00AF2B95"/>
    <w:rsid w:val="00AF2DA3"/>
    <w:rsid w:val="00AF2DC1"/>
    <w:rsid w:val="00AF2DDD"/>
    <w:rsid w:val="00AF2ECD"/>
    <w:rsid w:val="00AF2FDA"/>
    <w:rsid w:val="00AF2FF1"/>
    <w:rsid w:val="00AF3056"/>
    <w:rsid w:val="00AF30B6"/>
    <w:rsid w:val="00AF332A"/>
    <w:rsid w:val="00AF34A7"/>
    <w:rsid w:val="00AF34FF"/>
    <w:rsid w:val="00AF3566"/>
    <w:rsid w:val="00AF3594"/>
    <w:rsid w:val="00AF361D"/>
    <w:rsid w:val="00AF3654"/>
    <w:rsid w:val="00AF36EF"/>
    <w:rsid w:val="00AF3720"/>
    <w:rsid w:val="00AF3726"/>
    <w:rsid w:val="00AF372B"/>
    <w:rsid w:val="00AF3906"/>
    <w:rsid w:val="00AF3A3B"/>
    <w:rsid w:val="00AF3A6F"/>
    <w:rsid w:val="00AF3AA2"/>
    <w:rsid w:val="00AF3ACA"/>
    <w:rsid w:val="00AF3B11"/>
    <w:rsid w:val="00AF3D51"/>
    <w:rsid w:val="00AF3FB8"/>
    <w:rsid w:val="00AF4022"/>
    <w:rsid w:val="00AF4090"/>
    <w:rsid w:val="00AF414D"/>
    <w:rsid w:val="00AF425D"/>
    <w:rsid w:val="00AF4299"/>
    <w:rsid w:val="00AF4310"/>
    <w:rsid w:val="00AF4327"/>
    <w:rsid w:val="00AF43CD"/>
    <w:rsid w:val="00AF4497"/>
    <w:rsid w:val="00AF467B"/>
    <w:rsid w:val="00AF490E"/>
    <w:rsid w:val="00AF4A2D"/>
    <w:rsid w:val="00AF4AA4"/>
    <w:rsid w:val="00AF4B50"/>
    <w:rsid w:val="00AF4DE6"/>
    <w:rsid w:val="00AF50ED"/>
    <w:rsid w:val="00AF5119"/>
    <w:rsid w:val="00AF5159"/>
    <w:rsid w:val="00AF5187"/>
    <w:rsid w:val="00AF5311"/>
    <w:rsid w:val="00AF53F4"/>
    <w:rsid w:val="00AF553B"/>
    <w:rsid w:val="00AF555A"/>
    <w:rsid w:val="00AF560E"/>
    <w:rsid w:val="00AF5635"/>
    <w:rsid w:val="00AF57D9"/>
    <w:rsid w:val="00AF57F1"/>
    <w:rsid w:val="00AF5918"/>
    <w:rsid w:val="00AF5A5A"/>
    <w:rsid w:val="00AF5C31"/>
    <w:rsid w:val="00AF5DC6"/>
    <w:rsid w:val="00AF5E54"/>
    <w:rsid w:val="00AF5F3A"/>
    <w:rsid w:val="00AF5FE8"/>
    <w:rsid w:val="00AF6068"/>
    <w:rsid w:val="00AF6092"/>
    <w:rsid w:val="00AF629F"/>
    <w:rsid w:val="00AF62EA"/>
    <w:rsid w:val="00AF65EE"/>
    <w:rsid w:val="00AF6636"/>
    <w:rsid w:val="00AF6701"/>
    <w:rsid w:val="00AF6734"/>
    <w:rsid w:val="00AF68C0"/>
    <w:rsid w:val="00AF693A"/>
    <w:rsid w:val="00AF6D72"/>
    <w:rsid w:val="00AF6DA7"/>
    <w:rsid w:val="00AF6DEF"/>
    <w:rsid w:val="00AF6EAE"/>
    <w:rsid w:val="00AF6EC5"/>
    <w:rsid w:val="00AF6FA1"/>
    <w:rsid w:val="00AF7031"/>
    <w:rsid w:val="00AF70D5"/>
    <w:rsid w:val="00AF7217"/>
    <w:rsid w:val="00AF725B"/>
    <w:rsid w:val="00AF72F0"/>
    <w:rsid w:val="00AF732A"/>
    <w:rsid w:val="00AF7380"/>
    <w:rsid w:val="00AF7411"/>
    <w:rsid w:val="00AF747B"/>
    <w:rsid w:val="00AF7703"/>
    <w:rsid w:val="00AF77E4"/>
    <w:rsid w:val="00AF799A"/>
    <w:rsid w:val="00AF7AAA"/>
    <w:rsid w:val="00AF7B91"/>
    <w:rsid w:val="00AF7BFF"/>
    <w:rsid w:val="00AF7C3E"/>
    <w:rsid w:val="00AF7C6E"/>
    <w:rsid w:val="00AF7CE5"/>
    <w:rsid w:val="00AF7D4F"/>
    <w:rsid w:val="00AF7D7D"/>
    <w:rsid w:val="00AF7E24"/>
    <w:rsid w:val="00AF7E42"/>
    <w:rsid w:val="00AF7E77"/>
    <w:rsid w:val="00B00022"/>
    <w:rsid w:val="00B0002C"/>
    <w:rsid w:val="00B00048"/>
    <w:rsid w:val="00B00472"/>
    <w:rsid w:val="00B004C1"/>
    <w:rsid w:val="00B004F1"/>
    <w:rsid w:val="00B00570"/>
    <w:rsid w:val="00B00585"/>
    <w:rsid w:val="00B005A8"/>
    <w:rsid w:val="00B00602"/>
    <w:rsid w:val="00B0064C"/>
    <w:rsid w:val="00B006D3"/>
    <w:rsid w:val="00B00737"/>
    <w:rsid w:val="00B00798"/>
    <w:rsid w:val="00B00839"/>
    <w:rsid w:val="00B00877"/>
    <w:rsid w:val="00B008C2"/>
    <w:rsid w:val="00B00998"/>
    <w:rsid w:val="00B009DB"/>
    <w:rsid w:val="00B00B17"/>
    <w:rsid w:val="00B00B38"/>
    <w:rsid w:val="00B00BB1"/>
    <w:rsid w:val="00B00D46"/>
    <w:rsid w:val="00B00E75"/>
    <w:rsid w:val="00B01072"/>
    <w:rsid w:val="00B01128"/>
    <w:rsid w:val="00B01155"/>
    <w:rsid w:val="00B01196"/>
    <w:rsid w:val="00B0119A"/>
    <w:rsid w:val="00B011AC"/>
    <w:rsid w:val="00B0123F"/>
    <w:rsid w:val="00B01276"/>
    <w:rsid w:val="00B01479"/>
    <w:rsid w:val="00B016DF"/>
    <w:rsid w:val="00B018D2"/>
    <w:rsid w:val="00B0192D"/>
    <w:rsid w:val="00B0193C"/>
    <w:rsid w:val="00B01960"/>
    <w:rsid w:val="00B019FB"/>
    <w:rsid w:val="00B01A31"/>
    <w:rsid w:val="00B01AF2"/>
    <w:rsid w:val="00B01B06"/>
    <w:rsid w:val="00B01B28"/>
    <w:rsid w:val="00B01B6B"/>
    <w:rsid w:val="00B01D29"/>
    <w:rsid w:val="00B01E7E"/>
    <w:rsid w:val="00B01FF1"/>
    <w:rsid w:val="00B020AB"/>
    <w:rsid w:val="00B02124"/>
    <w:rsid w:val="00B02183"/>
    <w:rsid w:val="00B022B4"/>
    <w:rsid w:val="00B02536"/>
    <w:rsid w:val="00B0257D"/>
    <w:rsid w:val="00B025E3"/>
    <w:rsid w:val="00B026B0"/>
    <w:rsid w:val="00B0272E"/>
    <w:rsid w:val="00B02788"/>
    <w:rsid w:val="00B028BA"/>
    <w:rsid w:val="00B02A65"/>
    <w:rsid w:val="00B02B38"/>
    <w:rsid w:val="00B02B46"/>
    <w:rsid w:val="00B02B9B"/>
    <w:rsid w:val="00B02C3A"/>
    <w:rsid w:val="00B02CE6"/>
    <w:rsid w:val="00B02E6A"/>
    <w:rsid w:val="00B02F39"/>
    <w:rsid w:val="00B03020"/>
    <w:rsid w:val="00B030C7"/>
    <w:rsid w:val="00B03164"/>
    <w:rsid w:val="00B03393"/>
    <w:rsid w:val="00B036F3"/>
    <w:rsid w:val="00B037C7"/>
    <w:rsid w:val="00B03851"/>
    <w:rsid w:val="00B03A5A"/>
    <w:rsid w:val="00B03EB8"/>
    <w:rsid w:val="00B0401A"/>
    <w:rsid w:val="00B04060"/>
    <w:rsid w:val="00B04136"/>
    <w:rsid w:val="00B04178"/>
    <w:rsid w:val="00B042C6"/>
    <w:rsid w:val="00B04308"/>
    <w:rsid w:val="00B0430F"/>
    <w:rsid w:val="00B0432A"/>
    <w:rsid w:val="00B04331"/>
    <w:rsid w:val="00B04385"/>
    <w:rsid w:val="00B045A3"/>
    <w:rsid w:val="00B045DD"/>
    <w:rsid w:val="00B04707"/>
    <w:rsid w:val="00B04857"/>
    <w:rsid w:val="00B048C7"/>
    <w:rsid w:val="00B04943"/>
    <w:rsid w:val="00B049CC"/>
    <w:rsid w:val="00B04A3D"/>
    <w:rsid w:val="00B04AD7"/>
    <w:rsid w:val="00B04AF0"/>
    <w:rsid w:val="00B04B9E"/>
    <w:rsid w:val="00B04BB1"/>
    <w:rsid w:val="00B04CD3"/>
    <w:rsid w:val="00B04D02"/>
    <w:rsid w:val="00B04D7B"/>
    <w:rsid w:val="00B04E12"/>
    <w:rsid w:val="00B04E31"/>
    <w:rsid w:val="00B04EA2"/>
    <w:rsid w:val="00B04F7C"/>
    <w:rsid w:val="00B04FF3"/>
    <w:rsid w:val="00B05123"/>
    <w:rsid w:val="00B05179"/>
    <w:rsid w:val="00B0527C"/>
    <w:rsid w:val="00B05308"/>
    <w:rsid w:val="00B05335"/>
    <w:rsid w:val="00B05431"/>
    <w:rsid w:val="00B05877"/>
    <w:rsid w:val="00B058E4"/>
    <w:rsid w:val="00B05944"/>
    <w:rsid w:val="00B059B8"/>
    <w:rsid w:val="00B05A6F"/>
    <w:rsid w:val="00B05A95"/>
    <w:rsid w:val="00B05B5F"/>
    <w:rsid w:val="00B05B74"/>
    <w:rsid w:val="00B05C1D"/>
    <w:rsid w:val="00B05CB8"/>
    <w:rsid w:val="00B05CC9"/>
    <w:rsid w:val="00B05D0F"/>
    <w:rsid w:val="00B05E04"/>
    <w:rsid w:val="00B05E2B"/>
    <w:rsid w:val="00B05E3E"/>
    <w:rsid w:val="00B06107"/>
    <w:rsid w:val="00B06116"/>
    <w:rsid w:val="00B0619E"/>
    <w:rsid w:val="00B061B4"/>
    <w:rsid w:val="00B061DA"/>
    <w:rsid w:val="00B06220"/>
    <w:rsid w:val="00B06221"/>
    <w:rsid w:val="00B06316"/>
    <w:rsid w:val="00B06328"/>
    <w:rsid w:val="00B06484"/>
    <w:rsid w:val="00B06638"/>
    <w:rsid w:val="00B06659"/>
    <w:rsid w:val="00B06794"/>
    <w:rsid w:val="00B068BF"/>
    <w:rsid w:val="00B068EA"/>
    <w:rsid w:val="00B068EC"/>
    <w:rsid w:val="00B06AEB"/>
    <w:rsid w:val="00B06B9A"/>
    <w:rsid w:val="00B06C75"/>
    <w:rsid w:val="00B06C7B"/>
    <w:rsid w:val="00B06CAE"/>
    <w:rsid w:val="00B06D8C"/>
    <w:rsid w:val="00B06E0C"/>
    <w:rsid w:val="00B06E26"/>
    <w:rsid w:val="00B06F36"/>
    <w:rsid w:val="00B06F61"/>
    <w:rsid w:val="00B072DC"/>
    <w:rsid w:val="00B072EE"/>
    <w:rsid w:val="00B07410"/>
    <w:rsid w:val="00B07480"/>
    <w:rsid w:val="00B074C6"/>
    <w:rsid w:val="00B0763A"/>
    <w:rsid w:val="00B07725"/>
    <w:rsid w:val="00B07806"/>
    <w:rsid w:val="00B0781E"/>
    <w:rsid w:val="00B07A97"/>
    <w:rsid w:val="00B07AA3"/>
    <w:rsid w:val="00B07BAF"/>
    <w:rsid w:val="00B07C04"/>
    <w:rsid w:val="00B07C66"/>
    <w:rsid w:val="00B07DF0"/>
    <w:rsid w:val="00B07EA4"/>
    <w:rsid w:val="00B07EF4"/>
    <w:rsid w:val="00B07F64"/>
    <w:rsid w:val="00B10208"/>
    <w:rsid w:val="00B102D7"/>
    <w:rsid w:val="00B10318"/>
    <w:rsid w:val="00B103C9"/>
    <w:rsid w:val="00B10452"/>
    <w:rsid w:val="00B105FF"/>
    <w:rsid w:val="00B106C9"/>
    <w:rsid w:val="00B10780"/>
    <w:rsid w:val="00B10925"/>
    <w:rsid w:val="00B10A83"/>
    <w:rsid w:val="00B10AC8"/>
    <w:rsid w:val="00B10B37"/>
    <w:rsid w:val="00B10B4A"/>
    <w:rsid w:val="00B10B6B"/>
    <w:rsid w:val="00B10B9B"/>
    <w:rsid w:val="00B10C2D"/>
    <w:rsid w:val="00B10EE0"/>
    <w:rsid w:val="00B10FC0"/>
    <w:rsid w:val="00B10FCF"/>
    <w:rsid w:val="00B110AE"/>
    <w:rsid w:val="00B110B1"/>
    <w:rsid w:val="00B112FB"/>
    <w:rsid w:val="00B11368"/>
    <w:rsid w:val="00B113FB"/>
    <w:rsid w:val="00B11402"/>
    <w:rsid w:val="00B116E1"/>
    <w:rsid w:val="00B116F7"/>
    <w:rsid w:val="00B1174A"/>
    <w:rsid w:val="00B11827"/>
    <w:rsid w:val="00B1190E"/>
    <w:rsid w:val="00B1193D"/>
    <w:rsid w:val="00B11C52"/>
    <w:rsid w:val="00B11C8B"/>
    <w:rsid w:val="00B11D36"/>
    <w:rsid w:val="00B11DE5"/>
    <w:rsid w:val="00B11F5E"/>
    <w:rsid w:val="00B1201B"/>
    <w:rsid w:val="00B1208E"/>
    <w:rsid w:val="00B121EF"/>
    <w:rsid w:val="00B1226C"/>
    <w:rsid w:val="00B12429"/>
    <w:rsid w:val="00B124CA"/>
    <w:rsid w:val="00B125A9"/>
    <w:rsid w:val="00B125D2"/>
    <w:rsid w:val="00B1260B"/>
    <w:rsid w:val="00B1266D"/>
    <w:rsid w:val="00B12736"/>
    <w:rsid w:val="00B127A7"/>
    <w:rsid w:val="00B12874"/>
    <w:rsid w:val="00B12879"/>
    <w:rsid w:val="00B12B2A"/>
    <w:rsid w:val="00B12B35"/>
    <w:rsid w:val="00B12B5F"/>
    <w:rsid w:val="00B12B7A"/>
    <w:rsid w:val="00B12BBE"/>
    <w:rsid w:val="00B12DB6"/>
    <w:rsid w:val="00B12DDE"/>
    <w:rsid w:val="00B12E10"/>
    <w:rsid w:val="00B12E82"/>
    <w:rsid w:val="00B13016"/>
    <w:rsid w:val="00B13070"/>
    <w:rsid w:val="00B131C0"/>
    <w:rsid w:val="00B133AB"/>
    <w:rsid w:val="00B13412"/>
    <w:rsid w:val="00B13421"/>
    <w:rsid w:val="00B134EB"/>
    <w:rsid w:val="00B135C1"/>
    <w:rsid w:val="00B13725"/>
    <w:rsid w:val="00B13746"/>
    <w:rsid w:val="00B1382D"/>
    <w:rsid w:val="00B138C9"/>
    <w:rsid w:val="00B138D7"/>
    <w:rsid w:val="00B13DC9"/>
    <w:rsid w:val="00B13DF1"/>
    <w:rsid w:val="00B13E0E"/>
    <w:rsid w:val="00B13E15"/>
    <w:rsid w:val="00B13E5E"/>
    <w:rsid w:val="00B13E61"/>
    <w:rsid w:val="00B13E72"/>
    <w:rsid w:val="00B14050"/>
    <w:rsid w:val="00B14065"/>
    <w:rsid w:val="00B140D9"/>
    <w:rsid w:val="00B14333"/>
    <w:rsid w:val="00B1453D"/>
    <w:rsid w:val="00B145B7"/>
    <w:rsid w:val="00B147A2"/>
    <w:rsid w:val="00B14890"/>
    <w:rsid w:val="00B148FB"/>
    <w:rsid w:val="00B149EC"/>
    <w:rsid w:val="00B14A8D"/>
    <w:rsid w:val="00B14AD2"/>
    <w:rsid w:val="00B14AE5"/>
    <w:rsid w:val="00B14C0A"/>
    <w:rsid w:val="00B14E2C"/>
    <w:rsid w:val="00B14F96"/>
    <w:rsid w:val="00B15024"/>
    <w:rsid w:val="00B152F2"/>
    <w:rsid w:val="00B15362"/>
    <w:rsid w:val="00B153C2"/>
    <w:rsid w:val="00B15413"/>
    <w:rsid w:val="00B15564"/>
    <w:rsid w:val="00B157A9"/>
    <w:rsid w:val="00B1580A"/>
    <w:rsid w:val="00B15886"/>
    <w:rsid w:val="00B15C1D"/>
    <w:rsid w:val="00B15C22"/>
    <w:rsid w:val="00B15D15"/>
    <w:rsid w:val="00B15D9A"/>
    <w:rsid w:val="00B15E4A"/>
    <w:rsid w:val="00B15F16"/>
    <w:rsid w:val="00B15F68"/>
    <w:rsid w:val="00B15F77"/>
    <w:rsid w:val="00B16037"/>
    <w:rsid w:val="00B160D3"/>
    <w:rsid w:val="00B1611E"/>
    <w:rsid w:val="00B16163"/>
    <w:rsid w:val="00B161F9"/>
    <w:rsid w:val="00B16281"/>
    <w:rsid w:val="00B163B4"/>
    <w:rsid w:val="00B163EB"/>
    <w:rsid w:val="00B165A9"/>
    <w:rsid w:val="00B165E1"/>
    <w:rsid w:val="00B16619"/>
    <w:rsid w:val="00B167EF"/>
    <w:rsid w:val="00B167F2"/>
    <w:rsid w:val="00B16829"/>
    <w:rsid w:val="00B16892"/>
    <w:rsid w:val="00B16998"/>
    <w:rsid w:val="00B16AB8"/>
    <w:rsid w:val="00B16B9C"/>
    <w:rsid w:val="00B16BB3"/>
    <w:rsid w:val="00B16C3B"/>
    <w:rsid w:val="00B16DA4"/>
    <w:rsid w:val="00B16DA6"/>
    <w:rsid w:val="00B16DD2"/>
    <w:rsid w:val="00B16E9B"/>
    <w:rsid w:val="00B16FB3"/>
    <w:rsid w:val="00B17186"/>
    <w:rsid w:val="00B1722B"/>
    <w:rsid w:val="00B172CD"/>
    <w:rsid w:val="00B17364"/>
    <w:rsid w:val="00B177EA"/>
    <w:rsid w:val="00B177FE"/>
    <w:rsid w:val="00B17881"/>
    <w:rsid w:val="00B17887"/>
    <w:rsid w:val="00B17A22"/>
    <w:rsid w:val="00B17A74"/>
    <w:rsid w:val="00B17AC4"/>
    <w:rsid w:val="00B17AF3"/>
    <w:rsid w:val="00B17B60"/>
    <w:rsid w:val="00B17B62"/>
    <w:rsid w:val="00B17B75"/>
    <w:rsid w:val="00B17C22"/>
    <w:rsid w:val="00B17C7E"/>
    <w:rsid w:val="00B17CBE"/>
    <w:rsid w:val="00B17DAF"/>
    <w:rsid w:val="00B17E88"/>
    <w:rsid w:val="00B20057"/>
    <w:rsid w:val="00B20065"/>
    <w:rsid w:val="00B2011F"/>
    <w:rsid w:val="00B2014B"/>
    <w:rsid w:val="00B20151"/>
    <w:rsid w:val="00B201F0"/>
    <w:rsid w:val="00B20235"/>
    <w:rsid w:val="00B2025D"/>
    <w:rsid w:val="00B204DA"/>
    <w:rsid w:val="00B2057F"/>
    <w:rsid w:val="00B2065F"/>
    <w:rsid w:val="00B206A1"/>
    <w:rsid w:val="00B206F9"/>
    <w:rsid w:val="00B209AD"/>
    <w:rsid w:val="00B20AB7"/>
    <w:rsid w:val="00B20AFD"/>
    <w:rsid w:val="00B20BE0"/>
    <w:rsid w:val="00B20D3E"/>
    <w:rsid w:val="00B20E9A"/>
    <w:rsid w:val="00B20ED2"/>
    <w:rsid w:val="00B20EEA"/>
    <w:rsid w:val="00B20FFA"/>
    <w:rsid w:val="00B210FB"/>
    <w:rsid w:val="00B21108"/>
    <w:rsid w:val="00B2123D"/>
    <w:rsid w:val="00B213F1"/>
    <w:rsid w:val="00B215D4"/>
    <w:rsid w:val="00B21626"/>
    <w:rsid w:val="00B21706"/>
    <w:rsid w:val="00B21841"/>
    <w:rsid w:val="00B21A82"/>
    <w:rsid w:val="00B21A84"/>
    <w:rsid w:val="00B21ACB"/>
    <w:rsid w:val="00B21B5E"/>
    <w:rsid w:val="00B21B7F"/>
    <w:rsid w:val="00B21B99"/>
    <w:rsid w:val="00B21BE1"/>
    <w:rsid w:val="00B21C60"/>
    <w:rsid w:val="00B21D1A"/>
    <w:rsid w:val="00B21D5D"/>
    <w:rsid w:val="00B21D89"/>
    <w:rsid w:val="00B21DA4"/>
    <w:rsid w:val="00B21E7E"/>
    <w:rsid w:val="00B21F9F"/>
    <w:rsid w:val="00B22065"/>
    <w:rsid w:val="00B220F8"/>
    <w:rsid w:val="00B221A9"/>
    <w:rsid w:val="00B221FA"/>
    <w:rsid w:val="00B2237E"/>
    <w:rsid w:val="00B223C0"/>
    <w:rsid w:val="00B22423"/>
    <w:rsid w:val="00B22494"/>
    <w:rsid w:val="00B2251D"/>
    <w:rsid w:val="00B2259B"/>
    <w:rsid w:val="00B226D9"/>
    <w:rsid w:val="00B22715"/>
    <w:rsid w:val="00B22854"/>
    <w:rsid w:val="00B228DF"/>
    <w:rsid w:val="00B22961"/>
    <w:rsid w:val="00B22991"/>
    <w:rsid w:val="00B2299F"/>
    <w:rsid w:val="00B22A62"/>
    <w:rsid w:val="00B22AD8"/>
    <w:rsid w:val="00B22ADB"/>
    <w:rsid w:val="00B22BDF"/>
    <w:rsid w:val="00B22DCB"/>
    <w:rsid w:val="00B22E10"/>
    <w:rsid w:val="00B22E75"/>
    <w:rsid w:val="00B22E90"/>
    <w:rsid w:val="00B22F0A"/>
    <w:rsid w:val="00B22F64"/>
    <w:rsid w:val="00B23114"/>
    <w:rsid w:val="00B23136"/>
    <w:rsid w:val="00B23156"/>
    <w:rsid w:val="00B23264"/>
    <w:rsid w:val="00B23303"/>
    <w:rsid w:val="00B23378"/>
    <w:rsid w:val="00B233DE"/>
    <w:rsid w:val="00B23426"/>
    <w:rsid w:val="00B23460"/>
    <w:rsid w:val="00B23476"/>
    <w:rsid w:val="00B235E2"/>
    <w:rsid w:val="00B236AA"/>
    <w:rsid w:val="00B23747"/>
    <w:rsid w:val="00B2389A"/>
    <w:rsid w:val="00B23912"/>
    <w:rsid w:val="00B2391C"/>
    <w:rsid w:val="00B2395B"/>
    <w:rsid w:val="00B23966"/>
    <w:rsid w:val="00B23BDE"/>
    <w:rsid w:val="00B23CF3"/>
    <w:rsid w:val="00B23D79"/>
    <w:rsid w:val="00B23EA6"/>
    <w:rsid w:val="00B23F2E"/>
    <w:rsid w:val="00B241E1"/>
    <w:rsid w:val="00B24227"/>
    <w:rsid w:val="00B242FB"/>
    <w:rsid w:val="00B2431C"/>
    <w:rsid w:val="00B243A6"/>
    <w:rsid w:val="00B243B9"/>
    <w:rsid w:val="00B2480C"/>
    <w:rsid w:val="00B24886"/>
    <w:rsid w:val="00B248AC"/>
    <w:rsid w:val="00B2499D"/>
    <w:rsid w:val="00B249D9"/>
    <w:rsid w:val="00B24B7D"/>
    <w:rsid w:val="00B24C0E"/>
    <w:rsid w:val="00B24C75"/>
    <w:rsid w:val="00B24D02"/>
    <w:rsid w:val="00B24D6E"/>
    <w:rsid w:val="00B24DAD"/>
    <w:rsid w:val="00B24DC8"/>
    <w:rsid w:val="00B2513A"/>
    <w:rsid w:val="00B251D0"/>
    <w:rsid w:val="00B2526C"/>
    <w:rsid w:val="00B254BB"/>
    <w:rsid w:val="00B254FB"/>
    <w:rsid w:val="00B256C9"/>
    <w:rsid w:val="00B256FF"/>
    <w:rsid w:val="00B2570B"/>
    <w:rsid w:val="00B2572B"/>
    <w:rsid w:val="00B25760"/>
    <w:rsid w:val="00B257D6"/>
    <w:rsid w:val="00B2597B"/>
    <w:rsid w:val="00B259C1"/>
    <w:rsid w:val="00B259E7"/>
    <w:rsid w:val="00B25BCD"/>
    <w:rsid w:val="00B25CC6"/>
    <w:rsid w:val="00B25D71"/>
    <w:rsid w:val="00B25DDC"/>
    <w:rsid w:val="00B25E5E"/>
    <w:rsid w:val="00B25EF1"/>
    <w:rsid w:val="00B25F36"/>
    <w:rsid w:val="00B25F77"/>
    <w:rsid w:val="00B25F89"/>
    <w:rsid w:val="00B26069"/>
    <w:rsid w:val="00B2617C"/>
    <w:rsid w:val="00B2625A"/>
    <w:rsid w:val="00B264F3"/>
    <w:rsid w:val="00B267F4"/>
    <w:rsid w:val="00B2684D"/>
    <w:rsid w:val="00B268DC"/>
    <w:rsid w:val="00B2691F"/>
    <w:rsid w:val="00B26A15"/>
    <w:rsid w:val="00B26A34"/>
    <w:rsid w:val="00B26B78"/>
    <w:rsid w:val="00B26DCD"/>
    <w:rsid w:val="00B26E78"/>
    <w:rsid w:val="00B26E7A"/>
    <w:rsid w:val="00B26EF5"/>
    <w:rsid w:val="00B26F4C"/>
    <w:rsid w:val="00B26F7E"/>
    <w:rsid w:val="00B26FE3"/>
    <w:rsid w:val="00B270D0"/>
    <w:rsid w:val="00B27106"/>
    <w:rsid w:val="00B27180"/>
    <w:rsid w:val="00B2740D"/>
    <w:rsid w:val="00B27524"/>
    <w:rsid w:val="00B27602"/>
    <w:rsid w:val="00B27645"/>
    <w:rsid w:val="00B27809"/>
    <w:rsid w:val="00B278F0"/>
    <w:rsid w:val="00B27B03"/>
    <w:rsid w:val="00B27B4C"/>
    <w:rsid w:val="00B27B50"/>
    <w:rsid w:val="00B27B9F"/>
    <w:rsid w:val="00B27D6C"/>
    <w:rsid w:val="00B27DFB"/>
    <w:rsid w:val="00B27E01"/>
    <w:rsid w:val="00B27E5B"/>
    <w:rsid w:val="00B27EB2"/>
    <w:rsid w:val="00B3009C"/>
    <w:rsid w:val="00B3010C"/>
    <w:rsid w:val="00B301E0"/>
    <w:rsid w:val="00B301EA"/>
    <w:rsid w:val="00B302EC"/>
    <w:rsid w:val="00B304CA"/>
    <w:rsid w:val="00B305B3"/>
    <w:rsid w:val="00B306AE"/>
    <w:rsid w:val="00B30759"/>
    <w:rsid w:val="00B30819"/>
    <w:rsid w:val="00B308A9"/>
    <w:rsid w:val="00B30905"/>
    <w:rsid w:val="00B30908"/>
    <w:rsid w:val="00B30A57"/>
    <w:rsid w:val="00B30B8A"/>
    <w:rsid w:val="00B30BA0"/>
    <w:rsid w:val="00B30BB6"/>
    <w:rsid w:val="00B30BD2"/>
    <w:rsid w:val="00B30BD8"/>
    <w:rsid w:val="00B30C37"/>
    <w:rsid w:val="00B30C6D"/>
    <w:rsid w:val="00B30D73"/>
    <w:rsid w:val="00B30DF1"/>
    <w:rsid w:val="00B30EAC"/>
    <w:rsid w:val="00B30ECE"/>
    <w:rsid w:val="00B30F06"/>
    <w:rsid w:val="00B30F72"/>
    <w:rsid w:val="00B30F76"/>
    <w:rsid w:val="00B31037"/>
    <w:rsid w:val="00B311F6"/>
    <w:rsid w:val="00B31229"/>
    <w:rsid w:val="00B312DC"/>
    <w:rsid w:val="00B31427"/>
    <w:rsid w:val="00B3147C"/>
    <w:rsid w:val="00B314B5"/>
    <w:rsid w:val="00B31505"/>
    <w:rsid w:val="00B315E5"/>
    <w:rsid w:val="00B31604"/>
    <w:rsid w:val="00B31895"/>
    <w:rsid w:val="00B31A35"/>
    <w:rsid w:val="00B31C72"/>
    <w:rsid w:val="00B31C73"/>
    <w:rsid w:val="00B31DFA"/>
    <w:rsid w:val="00B3211C"/>
    <w:rsid w:val="00B32180"/>
    <w:rsid w:val="00B32215"/>
    <w:rsid w:val="00B32217"/>
    <w:rsid w:val="00B3221C"/>
    <w:rsid w:val="00B32383"/>
    <w:rsid w:val="00B3244B"/>
    <w:rsid w:val="00B32469"/>
    <w:rsid w:val="00B3247F"/>
    <w:rsid w:val="00B3248C"/>
    <w:rsid w:val="00B32613"/>
    <w:rsid w:val="00B326AB"/>
    <w:rsid w:val="00B3295B"/>
    <w:rsid w:val="00B32A48"/>
    <w:rsid w:val="00B32AB9"/>
    <w:rsid w:val="00B32C14"/>
    <w:rsid w:val="00B32C5E"/>
    <w:rsid w:val="00B32C6B"/>
    <w:rsid w:val="00B32CA3"/>
    <w:rsid w:val="00B32D42"/>
    <w:rsid w:val="00B32D56"/>
    <w:rsid w:val="00B32E6A"/>
    <w:rsid w:val="00B32F4A"/>
    <w:rsid w:val="00B3304A"/>
    <w:rsid w:val="00B330BD"/>
    <w:rsid w:val="00B33237"/>
    <w:rsid w:val="00B3324E"/>
    <w:rsid w:val="00B33468"/>
    <w:rsid w:val="00B334E0"/>
    <w:rsid w:val="00B33676"/>
    <w:rsid w:val="00B33773"/>
    <w:rsid w:val="00B337E4"/>
    <w:rsid w:val="00B3380D"/>
    <w:rsid w:val="00B33A28"/>
    <w:rsid w:val="00B33AEC"/>
    <w:rsid w:val="00B33C25"/>
    <w:rsid w:val="00B33C85"/>
    <w:rsid w:val="00B33CFB"/>
    <w:rsid w:val="00B34098"/>
    <w:rsid w:val="00B340D8"/>
    <w:rsid w:val="00B340E1"/>
    <w:rsid w:val="00B34141"/>
    <w:rsid w:val="00B341D8"/>
    <w:rsid w:val="00B34222"/>
    <w:rsid w:val="00B346C1"/>
    <w:rsid w:val="00B346D6"/>
    <w:rsid w:val="00B347F2"/>
    <w:rsid w:val="00B34827"/>
    <w:rsid w:val="00B3489F"/>
    <w:rsid w:val="00B34A65"/>
    <w:rsid w:val="00B34B83"/>
    <w:rsid w:val="00B34C63"/>
    <w:rsid w:val="00B34D1E"/>
    <w:rsid w:val="00B34D25"/>
    <w:rsid w:val="00B34DFE"/>
    <w:rsid w:val="00B34F49"/>
    <w:rsid w:val="00B34F6D"/>
    <w:rsid w:val="00B35117"/>
    <w:rsid w:val="00B35198"/>
    <w:rsid w:val="00B35241"/>
    <w:rsid w:val="00B35426"/>
    <w:rsid w:val="00B3544C"/>
    <w:rsid w:val="00B3558F"/>
    <w:rsid w:val="00B355E7"/>
    <w:rsid w:val="00B356FA"/>
    <w:rsid w:val="00B35718"/>
    <w:rsid w:val="00B357AF"/>
    <w:rsid w:val="00B357F7"/>
    <w:rsid w:val="00B35806"/>
    <w:rsid w:val="00B35818"/>
    <w:rsid w:val="00B3593D"/>
    <w:rsid w:val="00B35B19"/>
    <w:rsid w:val="00B35B5A"/>
    <w:rsid w:val="00B35C6B"/>
    <w:rsid w:val="00B35D5B"/>
    <w:rsid w:val="00B35D66"/>
    <w:rsid w:val="00B35D83"/>
    <w:rsid w:val="00B35F46"/>
    <w:rsid w:val="00B36011"/>
    <w:rsid w:val="00B36026"/>
    <w:rsid w:val="00B36127"/>
    <w:rsid w:val="00B36169"/>
    <w:rsid w:val="00B3619D"/>
    <w:rsid w:val="00B362BC"/>
    <w:rsid w:val="00B364C0"/>
    <w:rsid w:val="00B3654D"/>
    <w:rsid w:val="00B3657F"/>
    <w:rsid w:val="00B3665C"/>
    <w:rsid w:val="00B3674B"/>
    <w:rsid w:val="00B3678A"/>
    <w:rsid w:val="00B36791"/>
    <w:rsid w:val="00B3687D"/>
    <w:rsid w:val="00B368CF"/>
    <w:rsid w:val="00B36A5A"/>
    <w:rsid w:val="00B36AC5"/>
    <w:rsid w:val="00B36AC9"/>
    <w:rsid w:val="00B36B70"/>
    <w:rsid w:val="00B36CC0"/>
    <w:rsid w:val="00B36DAE"/>
    <w:rsid w:val="00B36E00"/>
    <w:rsid w:val="00B36E5A"/>
    <w:rsid w:val="00B370EB"/>
    <w:rsid w:val="00B37215"/>
    <w:rsid w:val="00B3724D"/>
    <w:rsid w:val="00B3732C"/>
    <w:rsid w:val="00B37381"/>
    <w:rsid w:val="00B373E3"/>
    <w:rsid w:val="00B3745D"/>
    <w:rsid w:val="00B374BF"/>
    <w:rsid w:val="00B37681"/>
    <w:rsid w:val="00B37782"/>
    <w:rsid w:val="00B3782E"/>
    <w:rsid w:val="00B378D6"/>
    <w:rsid w:val="00B37AC4"/>
    <w:rsid w:val="00B37B2F"/>
    <w:rsid w:val="00B37B43"/>
    <w:rsid w:val="00B37B9C"/>
    <w:rsid w:val="00B37BB0"/>
    <w:rsid w:val="00B37C43"/>
    <w:rsid w:val="00B37C58"/>
    <w:rsid w:val="00B37CEF"/>
    <w:rsid w:val="00B37DB4"/>
    <w:rsid w:val="00B37DBC"/>
    <w:rsid w:val="00B37DF7"/>
    <w:rsid w:val="00B37E3C"/>
    <w:rsid w:val="00B37E86"/>
    <w:rsid w:val="00B37E91"/>
    <w:rsid w:val="00B37F42"/>
    <w:rsid w:val="00B37FF5"/>
    <w:rsid w:val="00B400DC"/>
    <w:rsid w:val="00B4017B"/>
    <w:rsid w:val="00B40244"/>
    <w:rsid w:val="00B40290"/>
    <w:rsid w:val="00B4043E"/>
    <w:rsid w:val="00B40471"/>
    <w:rsid w:val="00B404C6"/>
    <w:rsid w:val="00B406E8"/>
    <w:rsid w:val="00B407D1"/>
    <w:rsid w:val="00B407EE"/>
    <w:rsid w:val="00B40986"/>
    <w:rsid w:val="00B40A45"/>
    <w:rsid w:val="00B40B12"/>
    <w:rsid w:val="00B40BC7"/>
    <w:rsid w:val="00B40C4F"/>
    <w:rsid w:val="00B40C63"/>
    <w:rsid w:val="00B40D14"/>
    <w:rsid w:val="00B40D34"/>
    <w:rsid w:val="00B40E66"/>
    <w:rsid w:val="00B4102B"/>
    <w:rsid w:val="00B4116F"/>
    <w:rsid w:val="00B41174"/>
    <w:rsid w:val="00B412CD"/>
    <w:rsid w:val="00B41330"/>
    <w:rsid w:val="00B41392"/>
    <w:rsid w:val="00B41406"/>
    <w:rsid w:val="00B41415"/>
    <w:rsid w:val="00B4144D"/>
    <w:rsid w:val="00B41468"/>
    <w:rsid w:val="00B414BB"/>
    <w:rsid w:val="00B414BC"/>
    <w:rsid w:val="00B416B3"/>
    <w:rsid w:val="00B41863"/>
    <w:rsid w:val="00B4196A"/>
    <w:rsid w:val="00B41987"/>
    <w:rsid w:val="00B419AB"/>
    <w:rsid w:val="00B41C3C"/>
    <w:rsid w:val="00B41C4B"/>
    <w:rsid w:val="00B41D85"/>
    <w:rsid w:val="00B41DD3"/>
    <w:rsid w:val="00B41DD9"/>
    <w:rsid w:val="00B41F73"/>
    <w:rsid w:val="00B41FE0"/>
    <w:rsid w:val="00B42142"/>
    <w:rsid w:val="00B42189"/>
    <w:rsid w:val="00B421F9"/>
    <w:rsid w:val="00B422A6"/>
    <w:rsid w:val="00B422C5"/>
    <w:rsid w:val="00B42518"/>
    <w:rsid w:val="00B42805"/>
    <w:rsid w:val="00B42828"/>
    <w:rsid w:val="00B428BF"/>
    <w:rsid w:val="00B429B8"/>
    <w:rsid w:val="00B42A02"/>
    <w:rsid w:val="00B42ADD"/>
    <w:rsid w:val="00B42AF7"/>
    <w:rsid w:val="00B42B7B"/>
    <w:rsid w:val="00B42B89"/>
    <w:rsid w:val="00B42BC8"/>
    <w:rsid w:val="00B42BFB"/>
    <w:rsid w:val="00B42CDD"/>
    <w:rsid w:val="00B42CDE"/>
    <w:rsid w:val="00B42E8D"/>
    <w:rsid w:val="00B42ECD"/>
    <w:rsid w:val="00B43059"/>
    <w:rsid w:val="00B43159"/>
    <w:rsid w:val="00B4316C"/>
    <w:rsid w:val="00B431DE"/>
    <w:rsid w:val="00B432AC"/>
    <w:rsid w:val="00B4338B"/>
    <w:rsid w:val="00B43407"/>
    <w:rsid w:val="00B43439"/>
    <w:rsid w:val="00B43446"/>
    <w:rsid w:val="00B43449"/>
    <w:rsid w:val="00B435A9"/>
    <w:rsid w:val="00B43771"/>
    <w:rsid w:val="00B438C0"/>
    <w:rsid w:val="00B43971"/>
    <w:rsid w:val="00B43AB3"/>
    <w:rsid w:val="00B43B8B"/>
    <w:rsid w:val="00B43BAC"/>
    <w:rsid w:val="00B43DE9"/>
    <w:rsid w:val="00B43E24"/>
    <w:rsid w:val="00B43EAB"/>
    <w:rsid w:val="00B43EC6"/>
    <w:rsid w:val="00B43F06"/>
    <w:rsid w:val="00B43F15"/>
    <w:rsid w:val="00B44029"/>
    <w:rsid w:val="00B44083"/>
    <w:rsid w:val="00B440CB"/>
    <w:rsid w:val="00B441CB"/>
    <w:rsid w:val="00B44436"/>
    <w:rsid w:val="00B446DA"/>
    <w:rsid w:val="00B44871"/>
    <w:rsid w:val="00B44887"/>
    <w:rsid w:val="00B44892"/>
    <w:rsid w:val="00B44A39"/>
    <w:rsid w:val="00B44AE1"/>
    <w:rsid w:val="00B44B10"/>
    <w:rsid w:val="00B44BB7"/>
    <w:rsid w:val="00B44C3F"/>
    <w:rsid w:val="00B44C66"/>
    <w:rsid w:val="00B44D62"/>
    <w:rsid w:val="00B44D69"/>
    <w:rsid w:val="00B44E9C"/>
    <w:rsid w:val="00B44EC3"/>
    <w:rsid w:val="00B44EDA"/>
    <w:rsid w:val="00B44FB6"/>
    <w:rsid w:val="00B450C5"/>
    <w:rsid w:val="00B450EB"/>
    <w:rsid w:val="00B452B4"/>
    <w:rsid w:val="00B45331"/>
    <w:rsid w:val="00B45345"/>
    <w:rsid w:val="00B45372"/>
    <w:rsid w:val="00B453C7"/>
    <w:rsid w:val="00B4558E"/>
    <w:rsid w:val="00B456E7"/>
    <w:rsid w:val="00B45721"/>
    <w:rsid w:val="00B45754"/>
    <w:rsid w:val="00B457D9"/>
    <w:rsid w:val="00B457F0"/>
    <w:rsid w:val="00B457F3"/>
    <w:rsid w:val="00B458B6"/>
    <w:rsid w:val="00B4591B"/>
    <w:rsid w:val="00B45934"/>
    <w:rsid w:val="00B45970"/>
    <w:rsid w:val="00B459A9"/>
    <w:rsid w:val="00B459F9"/>
    <w:rsid w:val="00B45C3A"/>
    <w:rsid w:val="00B45E3C"/>
    <w:rsid w:val="00B45E7E"/>
    <w:rsid w:val="00B45EEE"/>
    <w:rsid w:val="00B45F4C"/>
    <w:rsid w:val="00B4611B"/>
    <w:rsid w:val="00B46321"/>
    <w:rsid w:val="00B46336"/>
    <w:rsid w:val="00B463C9"/>
    <w:rsid w:val="00B464B0"/>
    <w:rsid w:val="00B464E5"/>
    <w:rsid w:val="00B46573"/>
    <w:rsid w:val="00B46598"/>
    <w:rsid w:val="00B465AD"/>
    <w:rsid w:val="00B4674F"/>
    <w:rsid w:val="00B468F0"/>
    <w:rsid w:val="00B46907"/>
    <w:rsid w:val="00B46A91"/>
    <w:rsid w:val="00B46A93"/>
    <w:rsid w:val="00B46AAC"/>
    <w:rsid w:val="00B46BD0"/>
    <w:rsid w:val="00B46C7B"/>
    <w:rsid w:val="00B46CA2"/>
    <w:rsid w:val="00B46D7C"/>
    <w:rsid w:val="00B46DC1"/>
    <w:rsid w:val="00B4719E"/>
    <w:rsid w:val="00B471B9"/>
    <w:rsid w:val="00B471BB"/>
    <w:rsid w:val="00B472D7"/>
    <w:rsid w:val="00B472E2"/>
    <w:rsid w:val="00B4734A"/>
    <w:rsid w:val="00B475BB"/>
    <w:rsid w:val="00B47643"/>
    <w:rsid w:val="00B47674"/>
    <w:rsid w:val="00B47787"/>
    <w:rsid w:val="00B477C8"/>
    <w:rsid w:val="00B4785E"/>
    <w:rsid w:val="00B4786F"/>
    <w:rsid w:val="00B4790B"/>
    <w:rsid w:val="00B4795D"/>
    <w:rsid w:val="00B4796C"/>
    <w:rsid w:val="00B47A85"/>
    <w:rsid w:val="00B47B54"/>
    <w:rsid w:val="00B47C60"/>
    <w:rsid w:val="00B47CA6"/>
    <w:rsid w:val="00B47D11"/>
    <w:rsid w:val="00B47DA0"/>
    <w:rsid w:val="00B47E37"/>
    <w:rsid w:val="00B47E59"/>
    <w:rsid w:val="00B47F5C"/>
    <w:rsid w:val="00B47F99"/>
    <w:rsid w:val="00B47FAC"/>
    <w:rsid w:val="00B50048"/>
    <w:rsid w:val="00B5010A"/>
    <w:rsid w:val="00B50146"/>
    <w:rsid w:val="00B501E9"/>
    <w:rsid w:val="00B50330"/>
    <w:rsid w:val="00B5035E"/>
    <w:rsid w:val="00B5036A"/>
    <w:rsid w:val="00B50380"/>
    <w:rsid w:val="00B50580"/>
    <w:rsid w:val="00B50682"/>
    <w:rsid w:val="00B50924"/>
    <w:rsid w:val="00B50A43"/>
    <w:rsid w:val="00B50B84"/>
    <w:rsid w:val="00B50BCF"/>
    <w:rsid w:val="00B50CDA"/>
    <w:rsid w:val="00B50FAD"/>
    <w:rsid w:val="00B50FAE"/>
    <w:rsid w:val="00B5102A"/>
    <w:rsid w:val="00B51070"/>
    <w:rsid w:val="00B51404"/>
    <w:rsid w:val="00B51525"/>
    <w:rsid w:val="00B515BD"/>
    <w:rsid w:val="00B515CC"/>
    <w:rsid w:val="00B515DD"/>
    <w:rsid w:val="00B515EF"/>
    <w:rsid w:val="00B5169F"/>
    <w:rsid w:val="00B516A7"/>
    <w:rsid w:val="00B516EB"/>
    <w:rsid w:val="00B51889"/>
    <w:rsid w:val="00B518AD"/>
    <w:rsid w:val="00B518FD"/>
    <w:rsid w:val="00B51A15"/>
    <w:rsid w:val="00B51A63"/>
    <w:rsid w:val="00B51B31"/>
    <w:rsid w:val="00B51B4D"/>
    <w:rsid w:val="00B51BC9"/>
    <w:rsid w:val="00B51E6F"/>
    <w:rsid w:val="00B51EEA"/>
    <w:rsid w:val="00B51FCE"/>
    <w:rsid w:val="00B52214"/>
    <w:rsid w:val="00B52244"/>
    <w:rsid w:val="00B525CB"/>
    <w:rsid w:val="00B52614"/>
    <w:rsid w:val="00B526FA"/>
    <w:rsid w:val="00B52743"/>
    <w:rsid w:val="00B528D5"/>
    <w:rsid w:val="00B52917"/>
    <w:rsid w:val="00B52949"/>
    <w:rsid w:val="00B5295A"/>
    <w:rsid w:val="00B52965"/>
    <w:rsid w:val="00B529B7"/>
    <w:rsid w:val="00B52A6E"/>
    <w:rsid w:val="00B52ACA"/>
    <w:rsid w:val="00B52B91"/>
    <w:rsid w:val="00B52BEA"/>
    <w:rsid w:val="00B52E3A"/>
    <w:rsid w:val="00B52FA9"/>
    <w:rsid w:val="00B53067"/>
    <w:rsid w:val="00B53080"/>
    <w:rsid w:val="00B530A4"/>
    <w:rsid w:val="00B53244"/>
    <w:rsid w:val="00B53380"/>
    <w:rsid w:val="00B5338C"/>
    <w:rsid w:val="00B536CB"/>
    <w:rsid w:val="00B53707"/>
    <w:rsid w:val="00B537A3"/>
    <w:rsid w:val="00B53A50"/>
    <w:rsid w:val="00B53B91"/>
    <w:rsid w:val="00B53DFB"/>
    <w:rsid w:val="00B53E13"/>
    <w:rsid w:val="00B53E48"/>
    <w:rsid w:val="00B53E5F"/>
    <w:rsid w:val="00B53F3C"/>
    <w:rsid w:val="00B53F44"/>
    <w:rsid w:val="00B53F76"/>
    <w:rsid w:val="00B53FB5"/>
    <w:rsid w:val="00B53FD0"/>
    <w:rsid w:val="00B5403B"/>
    <w:rsid w:val="00B5431E"/>
    <w:rsid w:val="00B543E2"/>
    <w:rsid w:val="00B54444"/>
    <w:rsid w:val="00B545CE"/>
    <w:rsid w:val="00B545F4"/>
    <w:rsid w:val="00B54795"/>
    <w:rsid w:val="00B5480B"/>
    <w:rsid w:val="00B548AC"/>
    <w:rsid w:val="00B549B6"/>
    <w:rsid w:val="00B54A3F"/>
    <w:rsid w:val="00B54D8B"/>
    <w:rsid w:val="00B54DA4"/>
    <w:rsid w:val="00B54E20"/>
    <w:rsid w:val="00B54EF8"/>
    <w:rsid w:val="00B551FF"/>
    <w:rsid w:val="00B552B3"/>
    <w:rsid w:val="00B55509"/>
    <w:rsid w:val="00B55696"/>
    <w:rsid w:val="00B556E7"/>
    <w:rsid w:val="00B55727"/>
    <w:rsid w:val="00B55750"/>
    <w:rsid w:val="00B557B6"/>
    <w:rsid w:val="00B558A5"/>
    <w:rsid w:val="00B55A46"/>
    <w:rsid w:val="00B55B41"/>
    <w:rsid w:val="00B55B76"/>
    <w:rsid w:val="00B55D15"/>
    <w:rsid w:val="00B55D96"/>
    <w:rsid w:val="00B55E6F"/>
    <w:rsid w:val="00B55F2E"/>
    <w:rsid w:val="00B55FC9"/>
    <w:rsid w:val="00B55FD9"/>
    <w:rsid w:val="00B56163"/>
    <w:rsid w:val="00B561F4"/>
    <w:rsid w:val="00B562FC"/>
    <w:rsid w:val="00B5634E"/>
    <w:rsid w:val="00B56360"/>
    <w:rsid w:val="00B5647D"/>
    <w:rsid w:val="00B5650F"/>
    <w:rsid w:val="00B5654D"/>
    <w:rsid w:val="00B56687"/>
    <w:rsid w:val="00B56691"/>
    <w:rsid w:val="00B56701"/>
    <w:rsid w:val="00B5670E"/>
    <w:rsid w:val="00B5671D"/>
    <w:rsid w:val="00B567EC"/>
    <w:rsid w:val="00B5684D"/>
    <w:rsid w:val="00B56887"/>
    <w:rsid w:val="00B569DC"/>
    <w:rsid w:val="00B56A0D"/>
    <w:rsid w:val="00B56A4E"/>
    <w:rsid w:val="00B56A82"/>
    <w:rsid w:val="00B56C13"/>
    <w:rsid w:val="00B56C20"/>
    <w:rsid w:val="00B56C9B"/>
    <w:rsid w:val="00B56D72"/>
    <w:rsid w:val="00B56D7A"/>
    <w:rsid w:val="00B56DCB"/>
    <w:rsid w:val="00B56DF3"/>
    <w:rsid w:val="00B56EF7"/>
    <w:rsid w:val="00B56F2C"/>
    <w:rsid w:val="00B57098"/>
    <w:rsid w:val="00B57105"/>
    <w:rsid w:val="00B5712B"/>
    <w:rsid w:val="00B57131"/>
    <w:rsid w:val="00B5715D"/>
    <w:rsid w:val="00B57183"/>
    <w:rsid w:val="00B571E9"/>
    <w:rsid w:val="00B5720B"/>
    <w:rsid w:val="00B573AA"/>
    <w:rsid w:val="00B5740E"/>
    <w:rsid w:val="00B57463"/>
    <w:rsid w:val="00B57526"/>
    <w:rsid w:val="00B575E7"/>
    <w:rsid w:val="00B577DB"/>
    <w:rsid w:val="00B57895"/>
    <w:rsid w:val="00B578DA"/>
    <w:rsid w:val="00B578FB"/>
    <w:rsid w:val="00B579E2"/>
    <w:rsid w:val="00B57A54"/>
    <w:rsid w:val="00B57A6A"/>
    <w:rsid w:val="00B57AA9"/>
    <w:rsid w:val="00B57ABC"/>
    <w:rsid w:val="00B57B74"/>
    <w:rsid w:val="00B57BFA"/>
    <w:rsid w:val="00B57C21"/>
    <w:rsid w:val="00B57DA1"/>
    <w:rsid w:val="00B57DDD"/>
    <w:rsid w:val="00B57F58"/>
    <w:rsid w:val="00B601F4"/>
    <w:rsid w:val="00B6031E"/>
    <w:rsid w:val="00B60375"/>
    <w:rsid w:val="00B60475"/>
    <w:rsid w:val="00B60529"/>
    <w:rsid w:val="00B60598"/>
    <w:rsid w:val="00B606FC"/>
    <w:rsid w:val="00B607D3"/>
    <w:rsid w:val="00B60861"/>
    <w:rsid w:val="00B609A1"/>
    <w:rsid w:val="00B60A88"/>
    <w:rsid w:val="00B60CCC"/>
    <w:rsid w:val="00B60DED"/>
    <w:rsid w:val="00B60EEB"/>
    <w:rsid w:val="00B60FE0"/>
    <w:rsid w:val="00B61078"/>
    <w:rsid w:val="00B613DE"/>
    <w:rsid w:val="00B61467"/>
    <w:rsid w:val="00B614A3"/>
    <w:rsid w:val="00B61502"/>
    <w:rsid w:val="00B6162B"/>
    <w:rsid w:val="00B61682"/>
    <w:rsid w:val="00B6176A"/>
    <w:rsid w:val="00B617AE"/>
    <w:rsid w:val="00B617C4"/>
    <w:rsid w:val="00B617D2"/>
    <w:rsid w:val="00B617E7"/>
    <w:rsid w:val="00B61907"/>
    <w:rsid w:val="00B61968"/>
    <w:rsid w:val="00B61BB7"/>
    <w:rsid w:val="00B61C81"/>
    <w:rsid w:val="00B61CDE"/>
    <w:rsid w:val="00B61D4D"/>
    <w:rsid w:val="00B61DBD"/>
    <w:rsid w:val="00B61E59"/>
    <w:rsid w:val="00B61EAB"/>
    <w:rsid w:val="00B61FB7"/>
    <w:rsid w:val="00B621CE"/>
    <w:rsid w:val="00B6254A"/>
    <w:rsid w:val="00B625F9"/>
    <w:rsid w:val="00B62622"/>
    <w:rsid w:val="00B62707"/>
    <w:rsid w:val="00B6282D"/>
    <w:rsid w:val="00B62901"/>
    <w:rsid w:val="00B62B87"/>
    <w:rsid w:val="00B62D16"/>
    <w:rsid w:val="00B62D3C"/>
    <w:rsid w:val="00B62DB2"/>
    <w:rsid w:val="00B62E36"/>
    <w:rsid w:val="00B62E7B"/>
    <w:rsid w:val="00B62FB0"/>
    <w:rsid w:val="00B63242"/>
    <w:rsid w:val="00B632AE"/>
    <w:rsid w:val="00B634C0"/>
    <w:rsid w:val="00B63558"/>
    <w:rsid w:val="00B63580"/>
    <w:rsid w:val="00B635E1"/>
    <w:rsid w:val="00B636D4"/>
    <w:rsid w:val="00B637CC"/>
    <w:rsid w:val="00B63812"/>
    <w:rsid w:val="00B638A4"/>
    <w:rsid w:val="00B63914"/>
    <w:rsid w:val="00B6395A"/>
    <w:rsid w:val="00B63B07"/>
    <w:rsid w:val="00B63B70"/>
    <w:rsid w:val="00B63C7E"/>
    <w:rsid w:val="00B63CAE"/>
    <w:rsid w:val="00B63CC1"/>
    <w:rsid w:val="00B63D13"/>
    <w:rsid w:val="00B63F8E"/>
    <w:rsid w:val="00B63FA0"/>
    <w:rsid w:val="00B64086"/>
    <w:rsid w:val="00B640AD"/>
    <w:rsid w:val="00B6427F"/>
    <w:rsid w:val="00B64284"/>
    <w:rsid w:val="00B64362"/>
    <w:rsid w:val="00B64406"/>
    <w:rsid w:val="00B645B8"/>
    <w:rsid w:val="00B645E8"/>
    <w:rsid w:val="00B646AF"/>
    <w:rsid w:val="00B646C8"/>
    <w:rsid w:val="00B647D2"/>
    <w:rsid w:val="00B6487A"/>
    <w:rsid w:val="00B64889"/>
    <w:rsid w:val="00B64895"/>
    <w:rsid w:val="00B6489C"/>
    <w:rsid w:val="00B64A30"/>
    <w:rsid w:val="00B64ABF"/>
    <w:rsid w:val="00B64AC3"/>
    <w:rsid w:val="00B64B80"/>
    <w:rsid w:val="00B64BCF"/>
    <w:rsid w:val="00B64CC5"/>
    <w:rsid w:val="00B64D74"/>
    <w:rsid w:val="00B64DA5"/>
    <w:rsid w:val="00B64DC1"/>
    <w:rsid w:val="00B64E2C"/>
    <w:rsid w:val="00B64E93"/>
    <w:rsid w:val="00B64FA3"/>
    <w:rsid w:val="00B6506F"/>
    <w:rsid w:val="00B650C3"/>
    <w:rsid w:val="00B65247"/>
    <w:rsid w:val="00B653A7"/>
    <w:rsid w:val="00B654EA"/>
    <w:rsid w:val="00B65635"/>
    <w:rsid w:val="00B65807"/>
    <w:rsid w:val="00B65866"/>
    <w:rsid w:val="00B65930"/>
    <w:rsid w:val="00B65991"/>
    <w:rsid w:val="00B65A05"/>
    <w:rsid w:val="00B65A76"/>
    <w:rsid w:val="00B65ADD"/>
    <w:rsid w:val="00B65BDE"/>
    <w:rsid w:val="00B65CAF"/>
    <w:rsid w:val="00B65D8B"/>
    <w:rsid w:val="00B65DBE"/>
    <w:rsid w:val="00B65DD4"/>
    <w:rsid w:val="00B65E07"/>
    <w:rsid w:val="00B65E3D"/>
    <w:rsid w:val="00B65EC9"/>
    <w:rsid w:val="00B65F6C"/>
    <w:rsid w:val="00B65F75"/>
    <w:rsid w:val="00B65F9E"/>
    <w:rsid w:val="00B65FEF"/>
    <w:rsid w:val="00B660BA"/>
    <w:rsid w:val="00B66189"/>
    <w:rsid w:val="00B6619A"/>
    <w:rsid w:val="00B661A8"/>
    <w:rsid w:val="00B661F4"/>
    <w:rsid w:val="00B66411"/>
    <w:rsid w:val="00B6642C"/>
    <w:rsid w:val="00B66453"/>
    <w:rsid w:val="00B6657C"/>
    <w:rsid w:val="00B665AB"/>
    <w:rsid w:val="00B6661B"/>
    <w:rsid w:val="00B667A2"/>
    <w:rsid w:val="00B668EF"/>
    <w:rsid w:val="00B6691B"/>
    <w:rsid w:val="00B66995"/>
    <w:rsid w:val="00B66A07"/>
    <w:rsid w:val="00B66AA0"/>
    <w:rsid w:val="00B66AF4"/>
    <w:rsid w:val="00B66B4F"/>
    <w:rsid w:val="00B66C41"/>
    <w:rsid w:val="00B66C59"/>
    <w:rsid w:val="00B66D1F"/>
    <w:rsid w:val="00B66D52"/>
    <w:rsid w:val="00B66E24"/>
    <w:rsid w:val="00B66F9A"/>
    <w:rsid w:val="00B66FF4"/>
    <w:rsid w:val="00B672D5"/>
    <w:rsid w:val="00B67496"/>
    <w:rsid w:val="00B675C2"/>
    <w:rsid w:val="00B67630"/>
    <w:rsid w:val="00B67635"/>
    <w:rsid w:val="00B67666"/>
    <w:rsid w:val="00B6768E"/>
    <w:rsid w:val="00B67690"/>
    <w:rsid w:val="00B67837"/>
    <w:rsid w:val="00B67844"/>
    <w:rsid w:val="00B67A90"/>
    <w:rsid w:val="00B67C1A"/>
    <w:rsid w:val="00B67C86"/>
    <w:rsid w:val="00B67D31"/>
    <w:rsid w:val="00B67E13"/>
    <w:rsid w:val="00B67E3D"/>
    <w:rsid w:val="00B7011D"/>
    <w:rsid w:val="00B701B4"/>
    <w:rsid w:val="00B70235"/>
    <w:rsid w:val="00B70329"/>
    <w:rsid w:val="00B703F4"/>
    <w:rsid w:val="00B705DB"/>
    <w:rsid w:val="00B706E1"/>
    <w:rsid w:val="00B70854"/>
    <w:rsid w:val="00B70914"/>
    <w:rsid w:val="00B7093D"/>
    <w:rsid w:val="00B709C5"/>
    <w:rsid w:val="00B70A34"/>
    <w:rsid w:val="00B70AB5"/>
    <w:rsid w:val="00B70B46"/>
    <w:rsid w:val="00B70B47"/>
    <w:rsid w:val="00B70B74"/>
    <w:rsid w:val="00B70CD5"/>
    <w:rsid w:val="00B70D9E"/>
    <w:rsid w:val="00B70E36"/>
    <w:rsid w:val="00B710DB"/>
    <w:rsid w:val="00B7128E"/>
    <w:rsid w:val="00B71492"/>
    <w:rsid w:val="00B715BD"/>
    <w:rsid w:val="00B71740"/>
    <w:rsid w:val="00B7179E"/>
    <w:rsid w:val="00B71856"/>
    <w:rsid w:val="00B7190D"/>
    <w:rsid w:val="00B71948"/>
    <w:rsid w:val="00B71AFF"/>
    <w:rsid w:val="00B71D46"/>
    <w:rsid w:val="00B71E40"/>
    <w:rsid w:val="00B71FFC"/>
    <w:rsid w:val="00B720F6"/>
    <w:rsid w:val="00B72173"/>
    <w:rsid w:val="00B722D5"/>
    <w:rsid w:val="00B723A5"/>
    <w:rsid w:val="00B72441"/>
    <w:rsid w:val="00B724B9"/>
    <w:rsid w:val="00B72583"/>
    <w:rsid w:val="00B72663"/>
    <w:rsid w:val="00B7278A"/>
    <w:rsid w:val="00B72872"/>
    <w:rsid w:val="00B72AD9"/>
    <w:rsid w:val="00B72AFA"/>
    <w:rsid w:val="00B72B17"/>
    <w:rsid w:val="00B72DAE"/>
    <w:rsid w:val="00B72DBC"/>
    <w:rsid w:val="00B72DD5"/>
    <w:rsid w:val="00B72E14"/>
    <w:rsid w:val="00B72E9D"/>
    <w:rsid w:val="00B72F71"/>
    <w:rsid w:val="00B72FC3"/>
    <w:rsid w:val="00B7300A"/>
    <w:rsid w:val="00B730CB"/>
    <w:rsid w:val="00B7313A"/>
    <w:rsid w:val="00B73256"/>
    <w:rsid w:val="00B73350"/>
    <w:rsid w:val="00B73468"/>
    <w:rsid w:val="00B7352F"/>
    <w:rsid w:val="00B73663"/>
    <w:rsid w:val="00B73724"/>
    <w:rsid w:val="00B73736"/>
    <w:rsid w:val="00B73814"/>
    <w:rsid w:val="00B739B3"/>
    <w:rsid w:val="00B73A30"/>
    <w:rsid w:val="00B73A9B"/>
    <w:rsid w:val="00B73BA7"/>
    <w:rsid w:val="00B73BFE"/>
    <w:rsid w:val="00B73CA8"/>
    <w:rsid w:val="00B73CAB"/>
    <w:rsid w:val="00B73D19"/>
    <w:rsid w:val="00B73D31"/>
    <w:rsid w:val="00B73D7D"/>
    <w:rsid w:val="00B73D86"/>
    <w:rsid w:val="00B73E29"/>
    <w:rsid w:val="00B73F86"/>
    <w:rsid w:val="00B74053"/>
    <w:rsid w:val="00B7407B"/>
    <w:rsid w:val="00B74225"/>
    <w:rsid w:val="00B7434F"/>
    <w:rsid w:val="00B74389"/>
    <w:rsid w:val="00B74487"/>
    <w:rsid w:val="00B744C6"/>
    <w:rsid w:val="00B745A5"/>
    <w:rsid w:val="00B7468A"/>
    <w:rsid w:val="00B7474B"/>
    <w:rsid w:val="00B74825"/>
    <w:rsid w:val="00B748D6"/>
    <w:rsid w:val="00B748E1"/>
    <w:rsid w:val="00B74918"/>
    <w:rsid w:val="00B7499A"/>
    <w:rsid w:val="00B74A0E"/>
    <w:rsid w:val="00B74A88"/>
    <w:rsid w:val="00B74AC3"/>
    <w:rsid w:val="00B74B16"/>
    <w:rsid w:val="00B74B8F"/>
    <w:rsid w:val="00B74BFA"/>
    <w:rsid w:val="00B74C93"/>
    <w:rsid w:val="00B74CCC"/>
    <w:rsid w:val="00B74D31"/>
    <w:rsid w:val="00B74EB2"/>
    <w:rsid w:val="00B74FE0"/>
    <w:rsid w:val="00B750B0"/>
    <w:rsid w:val="00B751B1"/>
    <w:rsid w:val="00B75207"/>
    <w:rsid w:val="00B7523B"/>
    <w:rsid w:val="00B7531A"/>
    <w:rsid w:val="00B75345"/>
    <w:rsid w:val="00B7536C"/>
    <w:rsid w:val="00B75452"/>
    <w:rsid w:val="00B7545E"/>
    <w:rsid w:val="00B75595"/>
    <w:rsid w:val="00B755F3"/>
    <w:rsid w:val="00B757F6"/>
    <w:rsid w:val="00B75818"/>
    <w:rsid w:val="00B7588E"/>
    <w:rsid w:val="00B758CE"/>
    <w:rsid w:val="00B758D5"/>
    <w:rsid w:val="00B759C0"/>
    <w:rsid w:val="00B759E5"/>
    <w:rsid w:val="00B75A0A"/>
    <w:rsid w:val="00B75BF4"/>
    <w:rsid w:val="00B75C48"/>
    <w:rsid w:val="00B75C67"/>
    <w:rsid w:val="00B75CD8"/>
    <w:rsid w:val="00B75D71"/>
    <w:rsid w:val="00B75E07"/>
    <w:rsid w:val="00B75EF9"/>
    <w:rsid w:val="00B75FC8"/>
    <w:rsid w:val="00B76030"/>
    <w:rsid w:val="00B760C7"/>
    <w:rsid w:val="00B76206"/>
    <w:rsid w:val="00B76228"/>
    <w:rsid w:val="00B76368"/>
    <w:rsid w:val="00B764B6"/>
    <w:rsid w:val="00B764C9"/>
    <w:rsid w:val="00B7656A"/>
    <w:rsid w:val="00B76772"/>
    <w:rsid w:val="00B76787"/>
    <w:rsid w:val="00B769A3"/>
    <w:rsid w:val="00B76A6E"/>
    <w:rsid w:val="00B76B6F"/>
    <w:rsid w:val="00B76BC4"/>
    <w:rsid w:val="00B76C22"/>
    <w:rsid w:val="00B76C8C"/>
    <w:rsid w:val="00B76CC4"/>
    <w:rsid w:val="00B76CF4"/>
    <w:rsid w:val="00B76DFA"/>
    <w:rsid w:val="00B76E69"/>
    <w:rsid w:val="00B76E86"/>
    <w:rsid w:val="00B76F69"/>
    <w:rsid w:val="00B76FEE"/>
    <w:rsid w:val="00B770FD"/>
    <w:rsid w:val="00B77120"/>
    <w:rsid w:val="00B771DC"/>
    <w:rsid w:val="00B771F1"/>
    <w:rsid w:val="00B7723C"/>
    <w:rsid w:val="00B7729D"/>
    <w:rsid w:val="00B7730F"/>
    <w:rsid w:val="00B773A7"/>
    <w:rsid w:val="00B7747B"/>
    <w:rsid w:val="00B774DB"/>
    <w:rsid w:val="00B77544"/>
    <w:rsid w:val="00B775A6"/>
    <w:rsid w:val="00B775BE"/>
    <w:rsid w:val="00B775D0"/>
    <w:rsid w:val="00B77687"/>
    <w:rsid w:val="00B776DB"/>
    <w:rsid w:val="00B77731"/>
    <w:rsid w:val="00B7773C"/>
    <w:rsid w:val="00B777BF"/>
    <w:rsid w:val="00B777F2"/>
    <w:rsid w:val="00B7781B"/>
    <w:rsid w:val="00B779B4"/>
    <w:rsid w:val="00B77A36"/>
    <w:rsid w:val="00B77B3D"/>
    <w:rsid w:val="00B77BBF"/>
    <w:rsid w:val="00B77C4C"/>
    <w:rsid w:val="00B77C58"/>
    <w:rsid w:val="00B77CB1"/>
    <w:rsid w:val="00B77CE2"/>
    <w:rsid w:val="00B77D04"/>
    <w:rsid w:val="00B77E2B"/>
    <w:rsid w:val="00B77E68"/>
    <w:rsid w:val="00B77E92"/>
    <w:rsid w:val="00B8002F"/>
    <w:rsid w:val="00B8004F"/>
    <w:rsid w:val="00B80259"/>
    <w:rsid w:val="00B802C2"/>
    <w:rsid w:val="00B80365"/>
    <w:rsid w:val="00B803AD"/>
    <w:rsid w:val="00B803C9"/>
    <w:rsid w:val="00B803E2"/>
    <w:rsid w:val="00B804A4"/>
    <w:rsid w:val="00B8055A"/>
    <w:rsid w:val="00B80605"/>
    <w:rsid w:val="00B80644"/>
    <w:rsid w:val="00B80752"/>
    <w:rsid w:val="00B80830"/>
    <w:rsid w:val="00B808BD"/>
    <w:rsid w:val="00B8095F"/>
    <w:rsid w:val="00B80AD4"/>
    <w:rsid w:val="00B80B01"/>
    <w:rsid w:val="00B80CC9"/>
    <w:rsid w:val="00B80DC5"/>
    <w:rsid w:val="00B80E0F"/>
    <w:rsid w:val="00B80E27"/>
    <w:rsid w:val="00B80FA8"/>
    <w:rsid w:val="00B80FB3"/>
    <w:rsid w:val="00B81051"/>
    <w:rsid w:val="00B81150"/>
    <w:rsid w:val="00B81196"/>
    <w:rsid w:val="00B811C2"/>
    <w:rsid w:val="00B812E1"/>
    <w:rsid w:val="00B814F7"/>
    <w:rsid w:val="00B81543"/>
    <w:rsid w:val="00B815FD"/>
    <w:rsid w:val="00B8174D"/>
    <w:rsid w:val="00B8175C"/>
    <w:rsid w:val="00B8190B"/>
    <w:rsid w:val="00B81A16"/>
    <w:rsid w:val="00B81A71"/>
    <w:rsid w:val="00B81BE9"/>
    <w:rsid w:val="00B81D30"/>
    <w:rsid w:val="00B81DC7"/>
    <w:rsid w:val="00B820A4"/>
    <w:rsid w:val="00B8211E"/>
    <w:rsid w:val="00B821CA"/>
    <w:rsid w:val="00B82206"/>
    <w:rsid w:val="00B82322"/>
    <w:rsid w:val="00B824FC"/>
    <w:rsid w:val="00B82694"/>
    <w:rsid w:val="00B826AF"/>
    <w:rsid w:val="00B82728"/>
    <w:rsid w:val="00B827E2"/>
    <w:rsid w:val="00B8289F"/>
    <w:rsid w:val="00B828D3"/>
    <w:rsid w:val="00B82967"/>
    <w:rsid w:val="00B82982"/>
    <w:rsid w:val="00B829D6"/>
    <w:rsid w:val="00B82B53"/>
    <w:rsid w:val="00B82C55"/>
    <w:rsid w:val="00B82D3C"/>
    <w:rsid w:val="00B82D7E"/>
    <w:rsid w:val="00B82EDE"/>
    <w:rsid w:val="00B82F61"/>
    <w:rsid w:val="00B830DC"/>
    <w:rsid w:val="00B8319D"/>
    <w:rsid w:val="00B83267"/>
    <w:rsid w:val="00B83359"/>
    <w:rsid w:val="00B83447"/>
    <w:rsid w:val="00B834BC"/>
    <w:rsid w:val="00B83529"/>
    <w:rsid w:val="00B83563"/>
    <w:rsid w:val="00B8360C"/>
    <w:rsid w:val="00B836E0"/>
    <w:rsid w:val="00B83712"/>
    <w:rsid w:val="00B837B3"/>
    <w:rsid w:val="00B837BC"/>
    <w:rsid w:val="00B83829"/>
    <w:rsid w:val="00B83866"/>
    <w:rsid w:val="00B838A2"/>
    <w:rsid w:val="00B83902"/>
    <w:rsid w:val="00B83950"/>
    <w:rsid w:val="00B83982"/>
    <w:rsid w:val="00B83989"/>
    <w:rsid w:val="00B839B9"/>
    <w:rsid w:val="00B83A4A"/>
    <w:rsid w:val="00B83A51"/>
    <w:rsid w:val="00B83A8B"/>
    <w:rsid w:val="00B83B64"/>
    <w:rsid w:val="00B83BBF"/>
    <w:rsid w:val="00B83C68"/>
    <w:rsid w:val="00B83F01"/>
    <w:rsid w:val="00B8404A"/>
    <w:rsid w:val="00B8407A"/>
    <w:rsid w:val="00B840A3"/>
    <w:rsid w:val="00B8413B"/>
    <w:rsid w:val="00B8417C"/>
    <w:rsid w:val="00B8424F"/>
    <w:rsid w:val="00B84467"/>
    <w:rsid w:val="00B84485"/>
    <w:rsid w:val="00B844EC"/>
    <w:rsid w:val="00B84575"/>
    <w:rsid w:val="00B846B2"/>
    <w:rsid w:val="00B8496A"/>
    <w:rsid w:val="00B84981"/>
    <w:rsid w:val="00B8498F"/>
    <w:rsid w:val="00B84BD5"/>
    <w:rsid w:val="00B84D24"/>
    <w:rsid w:val="00B84D96"/>
    <w:rsid w:val="00B850B6"/>
    <w:rsid w:val="00B850BE"/>
    <w:rsid w:val="00B852BC"/>
    <w:rsid w:val="00B8541D"/>
    <w:rsid w:val="00B854FC"/>
    <w:rsid w:val="00B8570B"/>
    <w:rsid w:val="00B8575B"/>
    <w:rsid w:val="00B858A9"/>
    <w:rsid w:val="00B858D6"/>
    <w:rsid w:val="00B85947"/>
    <w:rsid w:val="00B85987"/>
    <w:rsid w:val="00B85A0A"/>
    <w:rsid w:val="00B85A32"/>
    <w:rsid w:val="00B85AB0"/>
    <w:rsid w:val="00B85AB6"/>
    <w:rsid w:val="00B85B5D"/>
    <w:rsid w:val="00B85B8B"/>
    <w:rsid w:val="00B85DFC"/>
    <w:rsid w:val="00B85E58"/>
    <w:rsid w:val="00B85E84"/>
    <w:rsid w:val="00B85EC8"/>
    <w:rsid w:val="00B85F4D"/>
    <w:rsid w:val="00B85F88"/>
    <w:rsid w:val="00B85F96"/>
    <w:rsid w:val="00B85FA8"/>
    <w:rsid w:val="00B8609E"/>
    <w:rsid w:val="00B861B4"/>
    <w:rsid w:val="00B86377"/>
    <w:rsid w:val="00B86440"/>
    <w:rsid w:val="00B869E0"/>
    <w:rsid w:val="00B86BB8"/>
    <w:rsid w:val="00B86BBC"/>
    <w:rsid w:val="00B86C0B"/>
    <w:rsid w:val="00B86CD3"/>
    <w:rsid w:val="00B86CDF"/>
    <w:rsid w:val="00B86CE6"/>
    <w:rsid w:val="00B86D46"/>
    <w:rsid w:val="00B86D53"/>
    <w:rsid w:val="00B86D6C"/>
    <w:rsid w:val="00B86D8F"/>
    <w:rsid w:val="00B86DF0"/>
    <w:rsid w:val="00B86E42"/>
    <w:rsid w:val="00B86E89"/>
    <w:rsid w:val="00B86FDE"/>
    <w:rsid w:val="00B870E0"/>
    <w:rsid w:val="00B870FA"/>
    <w:rsid w:val="00B871C2"/>
    <w:rsid w:val="00B871DF"/>
    <w:rsid w:val="00B87284"/>
    <w:rsid w:val="00B87362"/>
    <w:rsid w:val="00B87470"/>
    <w:rsid w:val="00B8757B"/>
    <w:rsid w:val="00B876B0"/>
    <w:rsid w:val="00B8773B"/>
    <w:rsid w:val="00B878D7"/>
    <w:rsid w:val="00B87A47"/>
    <w:rsid w:val="00B87A58"/>
    <w:rsid w:val="00B87C96"/>
    <w:rsid w:val="00B87D87"/>
    <w:rsid w:val="00B87DC2"/>
    <w:rsid w:val="00B87EB9"/>
    <w:rsid w:val="00B87EF4"/>
    <w:rsid w:val="00B87EFD"/>
    <w:rsid w:val="00B87F20"/>
    <w:rsid w:val="00B90020"/>
    <w:rsid w:val="00B9019E"/>
    <w:rsid w:val="00B90290"/>
    <w:rsid w:val="00B903F2"/>
    <w:rsid w:val="00B90461"/>
    <w:rsid w:val="00B904F3"/>
    <w:rsid w:val="00B90511"/>
    <w:rsid w:val="00B905A7"/>
    <w:rsid w:val="00B906CE"/>
    <w:rsid w:val="00B9074C"/>
    <w:rsid w:val="00B907BE"/>
    <w:rsid w:val="00B907F6"/>
    <w:rsid w:val="00B908EF"/>
    <w:rsid w:val="00B90A89"/>
    <w:rsid w:val="00B90BDA"/>
    <w:rsid w:val="00B90CDB"/>
    <w:rsid w:val="00B90D89"/>
    <w:rsid w:val="00B90DB6"/>
    <w:rsid w:val="00B90EAD"/>
    <w:rsid w:val="00B90EF6"/>
    <w:rsid w:val="00B90F17"/>
    <w:rsid w:val="00B91163"/>
    <w:rsid w:val="00B911B2"/>
    <w:rsid w:val="00B911BE"/>
    <w:rsid w:val="00B91370"/>
    <w:rsid w:val="00B913E2"/>
    <w:rsid w:val="00B915C7"/>
    <w:rsid w:val="00B91621"/>
    <w:rsid w:val="00B91642"/>
    <w:rsid w:val="00B917AE"/>
    <w:rsid w:val="00B9182D"/>
    <w:rsid w:val="00B91881"/>
    <w:rsid w:val="00B91920"/>
    <w:rsid w:val="00B91C14"/>
    <w:rsid w:val="00B91CCA"/>
    <w:rsid w:val="00B91D18"/>
    <w:rsid w:val="00B91D7A"/>
    <w:rsid w:val="00B91E7B"/>
    <w:rsid w:val="00B91E90"/>
    <w:rsid w:val="00B91F9A"/>
    <w:rsid w:val="00B91FFC"/>
    <w:rsid w:val="00B921BA"/>
    <w:rsid w:val="00B921F9"/>
    <w:rsid w:val="00B9241A"/>
    <w:rsid w:val="00B924B0"/>
    <w:rsid w:val="00B92626"/>
    <w:rsid w:val="00B92649"/>
    <w:rsid w:val="00B92A39"/>
    <w:rsid w:val="00B92A3C"/>
    <w:rsid w:val="00B92A95"/>
    <w:rsid w:val="00B92B6C"/>
    <w:rsid w:val="00B92C37"/>
    <w:rsid w:val="00B92C55"/>
    <w:rsid w:val="00B92D52"/>
    <w:rsid w:val="00B92F44"/>
    <w:rsid w:val="00B93029"/>
    <w:rsid w:val="00B930BB"/>
    <w:rsid w:val="00B93132"/>
    <w:rsid w:val="00B93198"/>
    <w:rsid w:val="00B9330A"/>
    <w:rsid w:val="00B933D5"/>
    <w:rsid w:val="00B9357D"/>
    <w:rsid w:val="00B935AE"/>
    <w:rsid w:val="00B935EB"/>
    <w:rsid w:val="00B93691"/>
    <w:rsid w:val="00B936EE"/>
    <w:rsid w:val="00B93743"/>
    <w:rsid w:val="00B93782"/>
    <w:rsid w:val="00B9386A"/>
    <w:rsid w:val="00B93935"/>
    <w:rsid w:val="00B93A24"/>
    <w:rsid w:val="00B93ACC"/>
    <w:rsid w:val="00B93AE5"/>
    <w:rsid w:val="00B93C6D"/>
    <w:rsid w:val="00B93D04"/>
    <w:rsid w:val="00B93D0A"/>
    <w:rsid w:val="00B93DB9"/>
    <w:rsid w:val="00B93E1A"/>
    <w:rsid w:val="00B93E26"/>
    <w:rsid w:val="00B93EB1"/>
    <w:rsid w:val="00B94035"/>
    <w:rsid w:val="00B94119"/>
    <w:rsid w:val="00B941CE"/>
    <w:rsid w:val="00B94203"/>
    <w:rsid w:val="00B9426F"/>
    <w:rsid w:val="00B94402"/>
    <w:rsid w:val="00B9446A"/>
    <w:rsid w:val="00B944C9"/>
    <w:rsid w:val="00B94675"/>
    <w:rsid w:val="00B946BA"/>
    <w:rsid w:val="00B94736"/>
    <w:rsid w:val="00B947C5"/>
    <w:rsid w:val="00B94855"/>
    <w:rsid w:val="00B948C0"/>
    <w:rsid w:val="00B948EB"/>
    <w:rsid w:val="00B94912"/>
    <w:rsid w:val="00B94997"/>
    <w:rsid w:val="00B94D4B"/>
    <w:rsid w:val="00B94D9C"/>
    <w:rsid w:val="00B94DE4"/>
    <w:rsid w:val="00B94E5A"/>
    <w:rsid w:val="00B94F44"/>
    <w:rsid w:val="00B95004"/>
    <w:rsid w:val="00B9502A"/>
    <w:rsid w:val="00B95085"/>
    <w:rsid w:val="00B95226"/>
    <w:rsid w:val="00B952E4"/>
    <w:rsid w:val="00B9538D"/>
    <w:rsid w:val="00B95509"/>
    <w:rsid w:val="00B95566"/>
    <w:rsid w:val="00B956F8"/>
    <w:rsid w:val="00B95762"/>
    <w:rsid w:val="00B95776"/>
    <w:rsid w:val="00B958F4"/>
    <w:rsid w:val="00B95AD0"/>
    <w:rsid w:val="00B95BF3"/>
    <w:rsid w:val="00B95C00"/>
    <w:rsid w:val="00B95CC5"/>
    <w:rsid w:val="00B95D03"/>
    <w:rsid w:val="00B95E0C"/>
    <w:rsid w:val="00B95E33"/>
    <w:rsid w:val="00B95F3B"/>
    <w:rsid w:val="00B960B0"/>
    <w:rsid w:val="00B960BA"/>
    <w:rsid w:val="00B960CF"/>
    <w:rsid w:val="00B960F3"/>
    <w:rsid w:val="00B96112"/>
    <w:rsid w:val="00B9616E"/>
    <w:rsid w:val="00B96256"/>
    <w:rsid w:val="00B9643B"/>
    <w:rsid w:val="00B9663A"/>
    <w:rsid w:val="00B96800"/>
    <w:rsid w:val="00B968F6"/>
    <w:rsid w:val="00B9692A"/>
    <w:rsid w:val="00B96A3F"/>
    <w:rsid w:val="00B96B80"/>
    <w:rsid w:val="00B96C12"/>
    <w:rsid w:val="00B96D33"/>
    <w:rsid w:val="00B96DED"/>
    <w:rsid w:val="00B96E0D"/>
    <w:rsid w:val="00B96E80"/>
    <w:rsid w:val="00B96F0C"/>
    <w:rsid w:val="00B97057"/>
    <w:rsid w:val="00B97084"/>
    <w:rsid w:val="00B97224"/>
    <w:rsid w:val="00B97274"/>
    <w:rsid w:val="00B9746E"/>
    <w:rsid w:val="00B9747D"/>
    <w:rsid w:val="00B9768C"/>
    <w:rsid w:val="00B976C4"/>
    <w:rsid w:val="00B976DA"/>
    <w:rsid w:val="00B978C2"/>
    <w:rsid w:val="00B97A26"/>
    <w:rsid w:val="00B97A93"/>
    <w:rsid w:val="00B97AF8"/>
    <w:rsid w:val="00B97BA9"/>
    <w:rsid w:val="00B97D05"/>
    <w:rsid w:val="00B97DFE"/>
    <w:rsid w:val="00B97E61"/>
    <w:rsid w:val="00B97EC1"/>
    <w:rsid w:val="00B97F62"/>
    <w:rsid w:val="00B97F6E"/>
    <w:rsid w:val="00B97FBE"/>
    <w:rsid w:val="00BA0004"/>
    <w:rsid w:val="00BA00C7"/>
    <w:rsid w:val="00BA025A"/>
    <w:rsid w:val="00BA02A0"/>
    <w:rsid w:val="00BA032B"/>
    <w:rsid w:val="00BA0351"/>
    <w:rsid w:val="00BA036A"/>
    <w:rsid w:val="00BA0375"/>
    <w:rsid w:val="00BA0382"/>
    <w:rsid w:val="00BA039B"/>
    <w:rsid w:val="00BA0561"/>
    <w:rsid w:val="00BA0585"/>
    <w:rsid w:val="00BA061B"/>
    <w:rsid w:val="00BA07AE"/>
    <w:rsid w:val="00BA094C"/>
    <w:rsid w:val="00BA09CD"/>
    <w:rsid w:val="00BA0A36"/>
    <w:rsid w:val="00BA0B2A"/>
    <w:rsid w:val="00BA0B38"/>
    <w:rsid w:val="00BA0C35"/>
    <w:rsid w:val="00BA0C42"/>
    <w:rsid w:val="00BA0CF9"/>
    <w:rsid w:val="00BA0DD4"/>
    <w:rsid w:val="00BA105A"/>
    <w:rsid w:val="00BA10A9"/>
    <w:rsid w:val="00BA110C"/>
    <w:rsid w:val="00BA119D"/>
    <w:rsid w:val="00BA1243"/>
    <w:rsid w:val="00BA12D2"/>
    <w:rsid w:val="00BA12ED"/>
    <w:rsid w:val="00BA143C"/>
    <w:rsid w:val="00BA1472"/>
    <w:rsid w:val="00BA14D8"/>
    <w:rsid w:val="00BA1598"/>
    <w:rsid w:val="00BA164B"/>
    <w:rsid w:val="00BA16EC"/>
    <w:rsid w:val="00BA173E"/>
    <w:rsid w:val="00BA175A"/>
    <w:rsid w:val="00BA17B1"/>
    <w:rsid w:val="00BA1841"/>
    <w:rsid w:val="00BA1917"/>
    <w:rsid w:val="00BA1ADA"/>
    <w:rsid w:val="00BA1BCE"/>
    <w:rsid w:val="00BA1CDC"/>
    <w:rsid w:val="00BA1D28"/>
    <w:rsid w:val="00BA1F1D"/>
    <w:rsid w:val="00BA1FA8"/>
    <w:rsid w:val="00BA1FC8"/>
    <w:rsid w:val="00BA1FCA"/>
    <w:rsid w:val="00BA2073"/>
    <w:rsid w:val="00BA2098"/>
    <w:rsid w:val="00BA20A9"/>
    <w:rsid w:val="00BA2125"/>
    <w:rsid w:val="00BA2178"/>
    <w:rsid w:val="00BA21E5"/>
    <w:rsid w:val="00BA220A"/>
    <w:rsid w:val="00BA221A"/>
    <w:rsid w:val="00BA2237"/>
    <w:rsid w:val="00BA2279"/>
    <w:rsid w:val="00BA22E3"/>
    <w:rsid w:val="00BA23BD"/>
    <w:rsid w:val="00BA244A"/>
    <w:rsid w:val="00BA252D"/>
    <w:rsid w:val="00BA26EE"/>
    <w:rsid w:val="00BA270B"/>
    <w:rsid w:val="00BA2829"/>
    <w:rsid w:val="00BA2A3C"/>
    <w:rsid w:val="00BA2A8A"/>
    <w:rsid w:val="00BA2A94"/>
    <w:rsid w:val="00BA2BBB"/>
    <w:rsid w:val="00BA2CFD"/>
    <w:rsid w:val="00BA2D18"/>
    <w:rsid w:val="00BA2E2E"/>
    <w:rsid w:val="00BA2FDF"/>
    <w:rsid w:val="00BA323C"/>
    <w:rsid w:val="00BA3243"/>
    <w:rsid w:val="00BA32A8"/>
    <w:rsid w:val="00BA34AB"/>
    <w:rsid w:val="00BA34B9"/>
    <w:rsid w:val="00BA36A9"/>
    <w:rsid w:val="00BA39B4"/>
    <w:rsid w:val="00BA3A78"/>
    <w:rsid w:val="00BA3C07"/>
    <w:rsid w:val="00BA3CD2"/>
    <w:rsid w:val="00BA3CFF"/>
    <w:rsid w:val="00BA3D37"/>
    <w:rsid w:val="00BA3D94"/>
    <w:rsid w:val="00BA4038"/>
    <w:rsid w:val="00BA40DA"/>
    <w:rsid w:val="00BA41BF"/>
    <w:rsid w:val="00BA4307"/>
    <w:rsid w:val="00BA432D"/>
    <w:rsid w:val="00BA43EA"/>
    <w:rsid w:val="00BA4405"/>
    <w:rsid w:val="00BA442D"/>
    <w:rsid w:val="00BA4446"/>
    <w:rsid w:val="00BA44C1"/>
    <w:rsid w:val="00BA4503"/>
    <w:rsid w:val="00BA4589"/>
    <w:rsid w:val="00BA46F9"/>
    <w:rsid w:val="00BA472C"/>
    <w:rsid w:val="00BA476C"/>
    <w:rsid w:val="00BA47B6"/>
    <w:rsid w:val="00BA480A"/>
    <w:rsid w:val="00BA4892"/>
    <w:rsid w:val="00BA4994"/>
    <w:rsid w:val="00BA49C0"/>
    <w:rsid w:val="00BA4A15"/>
    <w:rsid w:val="00BA4AAE"/>
    <w:rsid w:val="00BA4BAE"/>
    <w:rsid w:val="00BA4BF6"/>
    <w:rsid w:val="00BA4BF9"/>
    <w:rsid w:val="00BA4CFB"/>
    <w:rsid w:val="00BA4E2C"/>
    <w:rsid w:val="00BA4E9E"/>
    <w:rsid w:val="00BA50E9"/>
    <w:rsid w:val="00BA5174"/>
    <w:rsid w:val="00BA5272"/>
    <w:rsid w:val="00BA5307"/>
    <w:rsid w:val="00BA5409"/>
    <w:rsid w:val="00BA549A"/>
    <w:rsid w:val="00BA5510"/>
    <w:rsid w:val="00BA5557"/>
    <w:rsid w:val="00BA568F"/>
    <w:rsid w:val="00BA56B3"/>
    <w:rsid w:val="00BA56E6"/>
    <w:rsid w:val="00BA5792"/>
    <w:rsid w:val="00BA57B9"/>
    <w:rsid w:val="00BA58E7"/>
    <w:rsid w:val="00BA5AA2"/>
    <w:rsid w:val="00BA5C72"/>
    <w:rsid w:val="00BA5DF6"/>
    <w:rsid w:val="00BA5E99"/>
    <w:rsid w:val="00BA5F10"/>
    <w:rsid w:val="00BA5FA7"/>
    <w:rsid w:val="00BA61D3"/>
    <w:rsid w:val="00BA61F7"/>
    <w:rsid w:val="00BA630A"/>
    <w:rsid w:val="00BA6333"/>
    <w:rsid w:val="00BA644C"/>
    <w:rsid w:val="00BA645F"/>
    <w:rsid w:val="00BA6497"/>
    <w:rsid w:val="00BA65DF"/>
    <w:rsid w:val="00BA65E3"/>
    <w:rsid w:val="00BA6610"/>
    <w:rsid w:val="00BA66E4"/>
    <w:rsid w:val="00BA66FA"/>
    <w:rsid w:val="00BA6756"/>
    <w:rsid w:val="00BA6832"/>
    <w:rsid w:val="00BA684C"/>
    <w:rsid w:val="00BA685E"/>
    <w:rsid w:val="00BA686E"/>
    <w:rsid w:val="00BA68E7"/>
    <w:rsid w:val="00BA6B26"/>
    <w:rsid w:val="00BA6B30"/>
    <w:rsid w:val="00BA6C08"/>
    <w:rsid w:val="00BA6D57"/>
    <w:rsid w:val="00BA6F5D"/>
    <w:rsid w:val="00BA6FBA"/>
    <w:rsid w:val="00BA70FC"/>
    <w:rsid w:val="00BA7266"/>
    <w:rsid w:val="00BA732D"/>
    <w:rsid w:val="00BA7451"/>
    <w:rsid w:val="00BA75C5"/>
    <w:rsid w:val="00BA7704"/>
    <w:rsid w:val="00BA77AB"/>
    <w:rsid w:val="00BA7835"/>
    <w:rsid w:val="00BA783F"/>
    <w:rsid w:val="00BA784B"/>
    <w:rsid w:val="00BA78FB"/>
    <w:rsid w:val="00BA7B81"/>
    <w:rsid w:val="00BA7C3F"/>
    <w:rsid w:val="00BA7CAE"/>
    <w:rsid w:val="00BA7CCB"/>
    <w:rsid w:val="00BA7CDD"/>
    <w:rsid w:val="00BA7D8A"/>
    <w:rsid w:val="00BA7DD0"/>
    <w:rsid w:val="00BA7EBE"/>
    <w:rsid w:val="00BA7F45"/>
    <w:rsid w:val="00BA7F98"/>
    <w:rsid w:val="00BAA2ED"/>
    <w:rsid w:val="00BB00C0"/>
    <w:rsid w:val="00BB011E"/>
    <w:rsid w:val="00BB0208"/>
    <w:rsid w:val="00BB02A9"/>
    <w:rsid w:val="00BB04CA"/>
    <w:rsid w:val="00BB04DE"/>
    <w:rsid w:val="00BB05B3"/>
    <w:rsid w:val="00BB0732"/>
    <w:rsid w:val="00BB0791"/>
    <w:rsid w:val="00BB0794"/>
    <w:rsid w:val="00BB081E"/>
    <w:rsid w:val="00BB08B5"/>
    <w:rsid w:val="00BB0912"/>
    <w:rsid w:val="00BB0AED"/>
    <w:rsid w:val="00BB0BAD"/>
    <w:rsid w:val="00BB0DE5"/>
    <w:rsid w:val="00BB0F42"/>
    <w:rsid w:val="00BB0FA9"/>
    <w:rsid w:val="00BB1092"/>
    <w:rsid w:val="00BB1135"/>
    <w:rsid w:val="00BB1166"/>
    <w:rsid w:val="00BB11B3"/>
    <w:rsid w:val="00BB1209"/>
    <w:rsid w:val="00BB1226"/>
    <w:rsid w:val="00BB1248"/>
    <w:rsid w:val="00BB12FE"/>
    <w:rsid w:val="00BB13BC"/>
    <w:rsid w:val="00BB13CD"/>
    <w:rsid w:val="00BB14A6"/>
    <w:rsid w:val="00BB1511"/>
    <w:rsid w:val="00BB1541"/>
    <w:rsid w:val="00BB15A6"/>
    <w:rsid w:val="00BB15D0"/>
    <w:rsid w:val="00BB17AB"/>
    <w:rsid w:val="00BB190C"/>
    <w:rsid w:val="00BB19C3"/>
    <w:rsid w:val="00BB1A12"/>
    <w:rsid w:val="00BB1C81"/>
    <w:rsid w:val="00BB1CA2"/>
    <w:rsid w:val="00BB1D3B"/>
    <w:rsid w:val="00BB1D77"/>
    <w:rsid w:val="00BB200D"/>
    <w:rsid w:val="00BB20C2"/>
    <w:rsid w:val="00BB2136"/>
    <w:rsid w:val="00BB217F"/>
    <w:rsid w:val="00BB2245"/>
    <w:rsid w:val="00BB2485"/>
    <w:rsid w:val="00BB24F5"/>
    <w:rsid w:val="00BB2526"/>
    <w:rsid w:val="00BB255E"/>
    <w:rsid w:val="00BB26F6"/>
    <w:rsid w:val="00BB27AF"/>
    <w:rsid w:val="00BB282F"/>
    <w:rsid w:val="00BB2872"/>
    <w:rsid w:val="00BB2917"/>
    <w:rsid w:val="00BB2ABE"/>
    <w:rsid w:val="00BB2BD4"/>
    <w:rsid w:val="00BB2C32"/>
    <w:rsid w:val="00BB2EA1"/>
    <w:rsid w:val="00BB2EDE"/>
    <w:rsid w:val="00BB2EED"/>
    <w:rsid w:val="00BB2F43"/>
    <w:rsid w:val="00BB2FBB"/>
    <w:rsid w:val="00BB3241"/>
    <w:rsid w:val="00BB332B"/>
    <w:rsid w:val="00BB33F2"/>
    <w:rsid w:val="00BB3478"/>
    <w:rsid w:val="00BB3582"/>
    <w:rsid w:val="00BB35F7"/>
    <w:rsid w:val="00BB3673"/>
    <w:rsid w:val="00BB36F5"/>
    <w:rsid w:val="00BB376E"/>
    <w:rsid w:val="00BB37BB"/>
    <w:rsid w:val="00BB3860"/>
    <w:rsid w:val="00BB3939"/>
    <w:rsid w:val="00BB3A8A"/>
    <w:rsid w:val="00BB3C21"/>
    <w:rsid w:val="00BB3C2D"/>
    <w:rsid w:val="00BB3D30"/>
    <w:rsid w:val="00BB3E9F"/>
    <w:rsid w:val="00BB3EA3"/>
    <w:rsid w:val="00BB3EEA"/>
    <w:rsid w:val="00BB3F95"/>
    <w:rsid w:val="00BB4006"/>
    <w:rsid w:val="00BB4115"/>
    <w:rsid w:val="00BB4126"/>
    <w:rsid w:val="00BB413D"/>
    <w:rsid w:val="00BB414E"/>
    <w:rsid w:val="00BB41B8"/>
    <w:rsid w:val="00BB41DA"/>
    <w:rsid w:val="00BB420A"/>
    <w:rsid w:val="00BB42E0"/>
    <w:rsid w:val="00BB436E"/>
    <w:rsid w:val="00BB43CC"/>
    <w:rsid w:val="00BB45BE"/>
    <w:rsid w:val="00BB45D0"/>
    <w:rsid w:val="00BB45ED"/>
    <w:rsid w:val="00BB4694"/>
    <w:rsid w:val="00BB47B0"/>
    <w:rsid w:val="00BB4801"/>
    <w:rsid w:val="00BB485D"/>
    <w:rsid w:val="00BB48D1"/>
    <w:rsid w:val="00BB4AC9"/>
    <w:rsid w:val="00BB4B6B"/>
    <w:rsid w:val="00BB4B86"/>
    <w:rsid w:val="00BB4B8D"/>
    <w:rsid w:val="00BB4BEF"/>
    <w:rsid w:val="00BB4C86"/>
    <w:rsid w:val="00BB4D69"/>
    <w:rsid w:val="00BB4E11"/>
    <w:rsid w:val="00BB4E61"/>
    <w:rsid w:val="00BB4F93"/>
    <w:rsid w:val="00BB4FF6"/>
    <w:rsid w:val="00BB503D"/>
    <w:rsid w:val="00BB5072"/>
    <w:rsid w:val="00BB5161"/>
    <w:rsid w:val="00BB51BE"/>
    <w:rsid w:val="00BB521C"/>
    <w:rsid w:val="00BB52C9"/>
    <w:rsid w:val="00BB5359"/>
    <w:rsid w:val="00BB547F"/>
    <w:rsid w:val="00BB54A0"/>
    <w:rsid w:val="00BB5593"/>
    <w:rsid w:val="00BB55A3"/>
    <w:rsid w:val="00BB55D5"/>
    <w:rsid w:val="00BB5658"/>
    <w:rsid w:val="00BB567F"/>
    <w:rsid w:val="00BB56FF"/>
    <w:rsid w:val="00BB571F"/>
    <w:rsid w:val="00BB5893"/>
    <w:rsid w:val="00BB5935"/>
    <w:rsid w:val="00BB59E6"/>
    <w:rsid w:val="00BB5A15"/>
    <w:rsid w:val="00BB5B0D"/>
    <w:rsid w:val="00BB5C3D"/>
    <w:rsid w:val="00BB5C61"/>
    <w:rsid w:val="00BB5CF7"/>
    <w:rsid w:val="00BB5D3F"/>
    <w:rsid w:val="00BB5D5C"/>
    <w:rsid w:val="00BB5DA1"/>
    <w:rsid w:val="00BB6022"/>
    <w:rsid w:val="00BB603F"/>
    <w:rsid w:val="00BB6234"/>
    <w:rsid w:val="00BB625B"/>
    <w:rsid w:val="00BB6603"/>
    <w:rsid w:val="00BB66E0"/>
    <w:rsid w:val="00BB67E0"/>
    <w:rsid w:val="00BB6947"/>
    <w:rsid w:val="00BB6968"/>
    <w:rsid w:val="00BB69D5"/>
    <w:rsid w:val="00BB6B5A"/>
    <w:rsid w:val="00BB6BD4"/>
    <w:rsid w:val="00BB6D14"/>
    <w:rsid w:val="00BB6E23"/>
    <w:rsid w:val="00BB6F12"/>
    <w:rsid w:val="00BB6F4C"/>
    <w:rsid w:val="00BB6F63"/>
    <w:rsid w:val="00BB6F9D"/>
    <w:rsid w:val="00BB6FEC"/>
    <w:rsid w:val="00BB7029"/>
    <w:rsid w:val="00BB7077"/>
    <w:rsid w:val="00BB70AE"/>
    <w:rsid w:val="00BB72DC"/>
    <w:rsid w:val="00BB7312"/>
    <w:rsid w:val="00BB7322"/>
    <w:rsid w:val="00BB7323"/>
    <w:rsid w:val="00BB7786"/>
    <w:rsid w:val="00BB784F"/>
    <w:rsid w:val="00BB787D"/>
    <w:rsid w:val="00BB78CC"/>
    <w:rsid w:val="00BB78DE"/>
    <w:rsid w:val="00BB7909"/>
    <w:rsid w:val="00BB7912"/>
    <w:rsid w:val="00BB7956"/>
    <w:rsid w:val="00BB7997"/>
    <w:rsid w:val="00BB7B30"/>
    <w:rsid w:val="00BB7C7A"/>
    <w:rsid w:val="00BB7D1A"/>
    <w:rsid w:val="00BB7D1C"/>
    <w:rsid w:val="00BB7DEA"/>
    <w:rsid w:val="00BB7E1E"/>
    <w:rsid w:val="00BB7E5E"/>
    <w:rsid w:val="00BB7F2D"/>
    <w:rsid w:val="00BB7FBE"/>
    <w:rsid w:val="00BC0015"/>
    <w:rsid w:val="00BC025A"/>
    <w:rsid w:val="00BC02FB"/>
    <w:rsid w:val="00BC04DF"/>
    <w:rsid w:val="00BC0580"/>
    <w:rsid w:val="00BC05B5"/>
    <w:rsid w:val="00BC065F"/>
    <w:rsid w:val="00BC0683"/>
    <w:rsid w:val="00BC07AD"/>
    <w:rsid w:val="00BC07F1"/>
    <w:rsid w:val="00BC0A81"/>
    <w:rsid w:val="00BC0A98"/>
    <w:rsid w:val="00BC0B9B"/>
    <w:rsid w:val="00BC0E97"/>
    <w:rsid w:val="00BC0F26"/>
    <w:rsid w:val="00BC100D"/>
    <w:rsid w:val="00BC10EE"/>
    <w:rsid w:val="00BC1178"/>
    <w:rsid w:val="00BC1187"/>
    <w:rsid w:val="00BC1191"/>
    <w:rsid w:val="00BC11F3"/>
    <w:rsid w:val="00BC1267"/>
    <w:rsid w:val="00BC13A8"/>
    <w:rsid w:val="00BC13C1"/>
    <w:rsid w:val="00BC1402"/>
    <w:rsid w:val="00BC1452"/>
    <w:rsid w:val="00BC148E"/>
    <w:rsid w:val="00BC1616"/>
    <w:rsid w:val="00BC1655"/>
    <w:rsid w:val="00BC18C3"/>
    <w:rsid w:val="00BC19D0"/>
    <w:rsid w:val="00BC1A2A"/>
    <w:rsid w:val="00BC1AA1"/>
    <w:rsid w:val="00BC1AE4"/>
    <w:rsid w:val="00BC1BA5"/>
    <w:rsid w:val="00BC1CB8"/>
    <w:rsid w:val="00BC1CD7"/>
    <w:rsid w:val="00BC1D82"/>
    <w:rsid w:val="00BC1E33"/>
    <w:rsid w:val="00BC1E55"/>
    <w:rsid w:val="00BC1E78"/>
    <w:rsid w:val="00BC1E7F"/>
    <w:rsid w:val="00BC219D"/>
    <w:rsid w:val="00BC24C4"/>
    <w:rsid w:val="00BC24E4"/>
    <w:rsid w:val="00BC2559"/>
    <w:rsid w:val="00BC25DC"/>
    <w:rsid w:val="00BC25E1"/>
    <w:rsid w:val="00BC25FC"/>
    <w:rsid w:val="00BC2729"/>
    <w:rsid w:val="00BC2832"/>
    <w:rsid w:val="00BC28D5"/>
    <w:rsid w:val="00BC2923"/>
    <w:rsid w:val="00BC29F9"/>
    <w:rsid w:val="00BC2A21"/>
    <w:rsid w:val="00BC2C2B"/>
    <w:rsid w:val="00BC2C3D"/>
    <w:rsid w:val="00BC2D64"/>
    <w:rsid w:val="00BC2D66"/>
    <w:rsid w:val="00BC2D71"/>
    <w:rsid w:val="00BC2D78"/>
    <w:rsid w:val="00BC2F71"/>
    <w:rsid w:val="00BC2F81"/>
    <w:rsid w:val="00BC3005"/>
    <w:rsid w:val="00BC308B"/>
    <w:rsid w:val="00BC30EB"/>
    <w:rsid w:val="00BC30FC"/>
    <w:rsid w:val="00BC32F6"/>
    <w:rsid w:val="00BC334B"/>
    <w:rsid w:val="00BC3392"/>
    <w:rsid w:val="00BC33B9"/>
    <w:rsid w:val="00BC3555"/>
    <w:rsid w:val="00BC358F"/>
    <w:rsid w:val="00BC35EE"/>
    <w:rsid w:val="00BC35F1"/>
    <w:rsid w:val="00BC3638"/>
    <w:rsid w:val="00BC3689"/>
    <w:rsid w:val="00BC36A1"/>
    <w:rsid w:val="00BC37D2"/>
    <w:rsid w:val="00BC3803"/>
    <w:rsid w:val="00BC38BC"/>
    <w:rsid w:val="00BC39D4"/>
    <w:rsid w:val="00BC3B39"/>
    <w:rsid w:val="00BC3BB3"/>
    <w:rsid w:val="00BC3BC3"/>
    <w:rsid w:val="00BC3CF1"/>
    <w:rsid w:val="00BC3D25"/>
    <w:rsid w:val="00BC3D45"/>
    <w:rsid w:val="00BC3D90"/>
    <w:rsid w:val="00BC3E10"/>
    <w:rsid w:val="00BC3E6E"/>
    <w:rsid w:val="00BC3EFD"/>
    <w:rsid w:val="00BC4226"/>
    <w:rsid w:val="00BC42AC"/>
    <w:rsid w:val="00BC440F"/>
    <w:rsid w:val="00BC4511"/>
    <w:rsid w:val="00BC4538"/>
    <w:rsid w:val="00BC4589"/>
    <w:rsid w:val="00BC465B"/>
    <w:rsid w:val="00BC4737"/>
    <w:rsid w:val="00BC479E"/>
    <w:rsid w:val="00BC48C3"/>
    <w:rsid w:val="00BC4944"/>
    <w:rsid w:val="00BC4A12"/>
    <w:rsid w:val="00BC4AD8"/>
    <w:rsid w:val="00BC4B01"/>
    <w:rsid w:val="00BC4B72"/>
    <w:rsid w:val="00BC4DEF"/>
    <w:rsid w:val="00BC4ED9"/>
    <w:rsid w:val="00BC500F"/>
    <w:rsid w:val="00BC502B"/>
    <w:rsid w:val="00BC5036"/>
    <w:rsid w:val="00BC504C"/>
    <w:rsid w:val="00BC5069"/>
    <w:rsid w:val="00BC50FE"/>
    <w:rsid w:val="00BC510C"/>
    <w:rsid w:val="00BC51C6"/>
    <w:rsid w:val="00BC51D1"/>
    <w:rsid w:val="00BC52C3"/>
    <w:rsid w:val="00BC5344"/>
    <w:rsid w:val="00BC5383"/>
    <w:rsid w:val="00BC53C7"/>
    <w:rsid w:val="00BC5402"/>
    <w:rsid w:val="00BC541B"/>
    <w:rsid w:val="00BC55C4"/>
    <w:rsid w:val="00BC560C"/>
    <w:rsid w:val="00BC56A4"/>
    <w:rsid w:val="00BC56BD"/>
    <w:rsid w:val="00BC5912"/>
    <w:rsid w:val="00BC593A"/>
    <w:rsid w:val="00BC5AC1"/>
    <w:rsid w:val="00BC5AC2"/>
    <w:rsid w:val="00BC5ACF"/>
    <w:rsid w:val="00BC5AF1"/>
    <w:rsid w:val="00BC5B02"/>
    <w:rsid w:val="00BC5B6E"/>
    <w:rsid w:val="00BC5CAC"/>
    <w:rsid w:val="00BC5CE5"/>
    <w:rsid w:val="00BC5D5D"/>
    <w:rsid w:val="00BC5DB9"/>
    <w:rsid w:val="00BC5E5E"/>
    <w:rsid w:val="00BC5F92"/>
    <w:rsid w:val="00BC5FAA"/>
    <w:rsid w:val="00BC620F"/>
    <w:rsid w:val="00BC62E8"/>
    <w:rsid w:val="00BC62EC"/>
    <w:rsid w:val="00BC6527"/>
    <w:rsid w:val="00BC65BC"/>
    <w:rsid w:val="00BC6673"/>
    <w:rsid w:val="00BC66A3"/>
    <w:rsid w:val="00BC6857"/>
    <w:rsid w:val="00BC68FA"/>
    <w:rsid w:val="00BC6A57"/>
    <w:rsid w:val="00BC6CF3"/>
    <w:rsid w:val="00BC6F46"/>
    <w:rsid w:val="00BC6F7A"/>
    <w:rsid w:val="00BC701B"/>
    <w:rsid w:val="00BC7034"/>
    <w:rsid w:val="00BC7055"/>
    <w:rsid w:val="00BC70A3"/>
    <w:rsid w:val="00BC721A"/>
    <w:rsid w:val="00BC725F"/>
    <w:rsid w:val="00BC7310"/>
    <w:rsid w:val="00BC73E2"/>
    <w:rsid w:val="00BC757B"/>
    <w:rsid w:val="00BC7653"/>
    <w:rsid w:val="00BC768B"/>
    <w:rsid w:val="00BC76F0"/>
    <w:rsid w:val="00BC76FC"/>
    <w:rsid w:val="00BC771A"/>
    <w:rsid w:val="00BC774D"/>
    <w:rsid w:val="00BC7798"/>
    <w:rsid w:val="00BC77F7"/>
    <w:rsid w:val="00BC7858"/>
    <w:rsid w:val="00BC7988"/>
    <w:rsid w:val="00BC79F6"/>
    <w:rsid w:val="00BC7A7F"/>
    <w:rsid w:val="00BC7BF9"/>
    <w:rsid w:val="00BC7C48"/>
    <w:rsid w:val="00BC7C50"/>
    <w:rsid w:val="00BC7CAB"/>
    <w:rsid w:val="00BC7F42"/>
    <w:rsid w:val="00BCAB2D"/>
    <w:rsid w:val="00BD0004"/>
    <w:rsid w:val="00BD00BF"/>
    <w:rsid w:val="00BD0137"/>
    <w:rsid w:val="00BD0222"/>
    <w:rsid w:val="00BD02B5"/>
    <w:rsid w:val="00BD02C7"/>
    <w:rsid w:val="00BD030A"/>
    <w:rsid w:val="00BD0403"/>
    <w:rsid w:val="00BD0460"/>
    <w:rsid w:val="00BD0479"/>
    <w:rsid w:val="00BD0502"/>
    <w:rsid w:val="00BD05E5"/>
    <w:rsid w:val="00BD072A"/>
    <w:rsid w:val="00BD081B"/>
    <w:rsid w:val="00BD0822"/>
    <w:rsid w:val="00BD0A4D"/>
    <w:rsid w:val="00BD0AF4"/>
    <w:rsid w:val="00BD0B99"/>
    <w:rsid w:val="00BD0C52"/>
    <w:rsid w:val="00BD0C93"/>
    <w:rsid w:val="00BD0CA4"/>
    <w:rsid w:val="00BD0DE4"/>
    <w:rsid w:val="00BD0E66"/>
    <w:rsid w:val="00BD0E77"/>
    <w:rsid w:val="00BD0F77"/>
    <w:rsid w:val="00BD107D"/>
    <w:rsid w:val="00BD1198"/>
    <w:rsid w:val="00BD11A8"/>
    <w:rsid w:val="00BD121D"/>
    <w:rsid w:val="00BD129A"/>
    <w:rsid w:val="00BD141F"/>
    <w:rsid w:val="00BD148B"/>
    <w:rsid w:val="00BD1580"/>
    <w:rsid w:val="00BD15BD"/>
    <w:rsid w:val="00BD15C2"/>
    <w:rsid w:val="00BD1677"/>
    <w:rsid w:val="00BD17AC"/>
    <w:rsid w:val="00BD17C2"/>
    <w:rsid w:val="00BD181A"/>
    <w:rsid w:val="00BD18BB"/>
    <w:rsid w:val="00BD1938"/>
    <w:rsid w:val="00BD19F6"/>
    <w:rsid w:val="00BD1B90"/>
    <w:rsid w:val="00BD1C07"/>
    <w:rsid w:val="00BD1CA4"/>
    <w:rsid w:val="00BD1D5E"/>
    <w:rsid w:val="00BD1D78"/>
    <w:rsid w:val="00BD1E4C"/>
    <w:rsid w:val="00BD1E55"/>
    <w:rsid w:val="00BD1E61"/>
    <w:rsid w:val="00BD1F83"/>
    <w:rsid w:val="00BD200A"/>
    <w:rsid w:val="00BD20D9"/>
    <w:rsid w:val="00BD2333"/>
    <w:rsid w:val="00BD233A"/>
    <w:rsid w:val="00BD2422"/>
    <w:rsid w:val="00BD24FD"/>
    <w:rsid w:val="00BD285A"/>
    <w:rsid w:val="00BD2A1C"/>
    <w:rsid w:val="00BD2AB9"/>
    <w:rsid w:val="00BD2B24"/>
    <w:rsid w:val="00BD2B5C"/>
    <w:rsid w:val="00BD2BDC"/>
    <w:rsid w:val="00BD2C7E"/>
    <w:rsid w:val="00BD2E5C"/>
    <w:rsid w:val="00BD2F0F"/>
    <w:rsid w:val="00BD2FEE"/>
    <w:rsid w:val="00BD3000"/>
    <w:rsid w:val="00BD307A"/>
    <w:rsid w:val="00BD30A8"/>
    <w:rsid w:val="00BD32A7"/>
    <w:rsid w:val="00BD33FE"/>
    <w:rsid w:val="00BD340B"/>
    <w:rsid w:val="00BD3423"/>
    <w:rsid w:val="00BD356A"/>
    <w:rsid w:val="00BD3610"/>
    <w:rsid w:val="00BD36CB"/>
    <w:rsid w:val="00BD37AB"/>
    <w:rsid w:val="00BD37BD"/>
    <w:rsid w:val="00BD3937"/>
    <w:rsid w:val="00BD394C"/>
    <w:rsid w:val="00BD3A0C"/>
    <w:rsid w:val="00BD3A8A"/>
    <w:rsid w:val="00BD3BC5"/>
    <w:rsid w:val="00BD3C70"/>
    <w:rsid w:val="00BD3C8A"/>
    <w:rsid w:val="00BD3D1B"/>
    <w:rsid w:val="00BD3E03"/>
    <w:rsid w:val="00BD3E4F"/>
    <w:rsid w:val="00BD3E89"/>
    <w:rsid w:val="00BD3E8F"/>
    <w:rsid w:val="00BD3EEB"/>
    <w:rsid w:val="00BD3F1B"/>
    <w:rsid w:val="00BD3F6B"/>
    <w:rsid w:val="00BD3FC9"/>
    <w:rsid w:val="00BD4040"/>
    <w:rsid w:val="00BD4129"/>
    <w:rsid w:val="00BD418F"/>
    <w:rsid w:val="00BD424A"/>
    <w:rsid w:val="00BD43B3"/>
    <w:rsid w:val="00BD443A"/>
    <w:rsid w:val="00BD44AC"/>
    <w:rsid w:val="00BD4615"/>
    <w:rsid w:val="00BD4620"/>
    <w:rsid w:val="00BD4780"/>
    <w:rsid w:val="00BD4881"/>
    <w:rsid w:val="00BD48E2"/>
    <w:rsid w:val="00BD48FF"/>
    <w:rsid w:val="00BD49F5"/>
    <w:rsid w:val="00BD4AF4"/>
    <w:rsid w:val="00BD4B92"/>
    <w:rsid w:val="00BD4BB7"/>
    <w:rsid w:val="00BD4C22"/>
    <w:rsid w:val="00BD4C4C"/>
    <w:rsid w:val="00BD4DD5"/>
    <w:rsid w:val="00BD4F22"/>
    <w:rsid w:val="00BD5019"/>
    <w:rsid w:val="00BD523A"/>
    <w:rsid w:val="00BD523F"/>
    <w:rsid w:val="00BD532F"/>
    <w:rsid w:val="00BD539F"/>
    <w:rsid w:val="00BD53B0"/>
    <w:rsid w:val="00BD5445"/>
    <w:rsid w:val="00BD5544"/>
    <w:rsid w:val="00BD5584"/>
    <w:rsid w:val="00BD55A3"/>
    <w:rsid w:val="00BD55D5"/>
    <w:rsid w:val="00BD55E4"/>
    <w:rsid w:val="00BD5617"/>
    <w:rsid w:val="00BD57F1"/>
    <w:rsid w:val="00BD584A"/>
    <w:rsid w:val="00BD5958"/>
    <w:rsid w:val="00BD5A14"/>
    <w:rsid w:val="00BD5AE4"/>
    <w:rsid w:val="00BD5B1D"/>
    <w:rsid w:val="00BD5C03"/>
    <w:rsid w:val="00BD5C2D"/>
    <w:rsid w:val="00BD5C9A"/>
    <w:rsid w:val="00BD5CEA"/>
    <w:rsid w:val="00BD5D1E"/>
    <w:rsid w:val="00BD5D96"/>
    <w:rsid w:val="00BD5F71"/>
    <w:rsid w:val="00BD5FD3"/>
    <w:rsid w:val="00BD6019"/>
    <w:rsid w:val="00BD6065"/>
    <w:rsid w:val="00BD60D3"/>
    <w:rsid w:val="00BD6226"/>
    <w:rsid w:val="00BD6255"/>
    <w:rsid w:val="00BD62ED"/>
    <w:rsid w:val="00BD6382"/>
    <w:rsid w:val="00BD6409"/>
    <w:rsid w:val="00BD644B"/>
    <w:rsid w:val="00BD6454"/>
    <w:rsid w:val="00BD651F"/>
    <w:rsid w:val="00BD6547"/>
    <w:rsid w:val="00BD65D7"/>
    <w:rsid w:val="00BD6650"/>
    <w:rsid w:val="00BD6665"/>
    <w:rsid w:val="00BD66F1"/>
    <w:rsid w:val="00BD6713"/>
    <w:rsid w:val="00BD6718"/>
    <w:rsid w:val="00BD67A8"/>
    <w:rsid w:val="00BD67D4"/>
    <w:rsid w:val="00BD6893"/>
    <w:rsid w:val="00BD68D1"/>
    <w:rsid w:val="00BD6952"/>
    <w:rsid w:val="00BD697E"/>
    <w:rsid w:val="00BD69F7"/>
    <w:rsid w:val="00BD6A4A"/>
    <w:rsid w:val="00BD6A52"/>
    <w:rsid w:val="00BD6B27"/>
    <w:rsid w:val="00BD6B4B"/>
    <w:rsid w:val="00BD6C19"/>
    <w:rsid w:val="00BD6D98"/>
    <w:rsid w:val="00BD6DAA"/>
    <w:rsid w:val="00BD6E49"/>
    <w:rsid w:val="00BD6ED5"/>
    <w:rsid w:val="00BD70BC"/>
    <w:rsid w:val="00BD71AD"/>
    <w:rsid w:val="00BD7279"/>
    <w:rsid w:val="00BD72D5"/>
    <w:rsid w:val="00BD7422"/>
    <w:rsid w:val="00BD7616"/>
    <w:rsid w:val="00BD7671"/>
    <w:rsid w:val="00BD7827"/>
    <w:rsid w:val="00BD7853"/>
    <w:rsid w:val="00BD7897"/>
    <w:rsid w:val="00BD78C8"/>
    <w:rsid w:val="00BD7926"/>
    <w:rsid w:val="00BD798F"/>
    <w:rsid w:val="00BD7AB0"/>
    <w:rsid w:val="00BD7CA2"/>
    <w:rsid w:val="00BD7CC6"/>
    <w:rsid w:val="00BD7CD0"/>
    <w:rsid w:val="00BD7D4D"/>
    <w:rsid w:val="00BD7D5B"/>
    <w:rsid w:val="00BD7E84"/>
    <w:rsid w:val="00BD7E90"/>
    <w:rsid w:val="00BD7FA3"/>
    <w:rsid w:val="00BE01DA"/>
    <w:rsid w:val="00BE027E"/>
    <w:rsid w:val="00BE0280"/>
    <w:rsid w:val="00BE0297"/>
    <w:rsid w:val="00BE032F"/>
    <w:rsid w:val="00BE03AB"/>
    <w:rsid w:val="00BE0563"/>
    <w:rsid w:val="00BE068E"/>
    <w:rsid w:val="00BE0A67"/>
    <w:rsid w:val="00BE0BC0"/>
    <w:rsid w:val="00BE0BF2"/>
    <w:rsid w:val="00BE0C87"/>
    <w:rsid w:val="00BE0CBA"/>
    <w:rsid w:val="00BE0D3A"/>
    <w:rsid w:val="00BE0DE1"/>
    <w:rsid w:val="00BE0E2D"/>
    <w:rsid w:val="00BE0EA3"/>
    <w:rsid w:val="00BE0F22"/>
    <w:rsid w:val="00BE10B7"/>
    <w:rsid w:val="00BE1353"/>
    <w:rsid w:val="00BE13B0"/>
    <w:rsid w:val="00BE1442"/>
    <w:rsid w:val="00BE1444"/>
    <w:rsid w:val="00BE151A"/>
    <w:rsid w:val="00BE1526"/>
    <w:rsid w:val="00BE1589"/>
    <w:rsid w:val="00BE1601"/>
    <w:rsid w:val="00BE19D9"/>
    <w:rsid w:val="00BE1ABB"/>
    <w:rsid w:val="00BE1B77"/>
    <w:rsid w:val="00BE1B96"/>
    <w:rsid w:val="00BE1D51"/>
    <w:rsid w:val="00BE1D55"/>
    <w:rsid w:val="00BE1E1E"/>
    <w:rsid w:val="00BE1FEF"/>
    <w:rsid w:val="00BE1FF3"/>
    <w:rsid w:val="00BE2152"/>
    <w:rsid w:val="00BE2153"/>
    <w:rsid w:val="00BE2264"/>
    <w:rsid w:val="00BE227A"/>
    <w:rsid w:val="00BE22B9"/>
    <w:rsid w:val="00BE22F7"/>
    <w:rsid w:val="00BE2868"/>
    <w:rsid w:val="00BE2C92"/>
    <w:rsid w:val="00BE2D59"/>
    <w:rsid w:val="00BE2EAD"/>
    <w:rsid w:val="00BE2FE1"/>
    <w:rsid w:val="00BE30E0"/>
    <w:rsid w:val="00BE325F"/>
    <w:rsid w:val="00BE32A1"/>
    <w:rsid w:val="00BE32B9"/>
    <w:rsid w:val="00BE32C9"/>
    <w:rsid w:val="00BE32D0"/>
    <w:rsid w:val="00BE330B"/>
    <w:rsid w:val="00BE3355"/>
    <w:rsid w:val="00BE3378"/>
    <w:rsid w:val="00BE34C9"/>
    <w:rsid w:val="00BE365C"/>
    <w:rsid w:val="00BE366C"/>
    <w:rsid w:val="00BE36A4"/>
    <w:rsid w:val="00BE36BD"/>
    <w:rsid w:val="00BE36C3"/>
    <w:rsid w:val="00BE38D0"/>
    <w:rsid w:val="00BE38D1"/>
    <w:rsid w:val="00BE390E"/>
    <w:rsid w:val="00BE3955"/>
    <w:rsid w:val="00BE39EC"/>
    <w:rsid w:val="00BE3A10"/>
    <w:rsid w:val="00BE3A11"/>
    <w:rsid w:val="00BE3A80"/>
    <w:rsid w:val="00BE3AA4"/>
    <w:rsid w:val="00BE3B10"/>
    <w:rsid w:val="00BE3BA4"/>
    <w:rsid w:val="00BE3BD7"/>
    <w:rsid w:val="00BE3D18"/>
    <w:rsid w:val="00BE3E77"/>
    <w:rsid w:val="00BE3EBA"/>
    <w:rsid w:val="00BE4060"/>
    <w:rsid w:val="00BE426B"/>
    <w:rsid w:val="00BE429D"/>
    <w:rsid w:val="00BE4400"/>
    <w:rsid w:val="00BE4705"/>
    <w:rsid w:val="00BE4843"/>
    <w:rsid w:val="00BE4845"/>
    <w:rsid w:val="00BE488E"/>
    <w:rsid w:val="00BE4905"/>
    <w:rsid w:val="00BE4933"/>
    <w:rsid w:val="00BE4A9F"/>
    <w:rsid w:val="00BE4AE7"/>
    <w:rsid w:val="00BE4BEA"/>
    <w:rsid w:val="00BE4C4F"/>
    <w:rsid w:val="00BE4C7F"/>
    <w:rsid w:val="00BE4D89"/>
    <w:rsid w:val="00BE4EE8"/>
    <w:rsid w:val="00BE4EFA"/>
    <w:rsid w:val="00BE4EFB"/>
    <w:rsid w:val="00BE4F29"/>
    <w:rsid w:val="00BE4FD8"/>
    <w:rsid w:val="00BE5045"/>
    <w:rsid w:val="00BE506C"/>
    <w:rsid w:val="00BE50EA"/>
    <w:rsid w:val="00BE50F6"/>
    <w:rsid w:val="00BE523D"/>
    <w:rsid w:val="00BE5248"/>
    <w:rsid w:val="00BE5282"/>
    <w:rsid w:val="00BE544C"/>
    <w:rsid w:val="00BE561A"/>
    <w:rsid w:val="00BE5623"/>
    <w:rsid w:val="00BE5647"/>
    <w:rsid w:val="00BE5691"/>
    <w:rsid w:val="00BE56DD"/>
    <w:rsid w:val="00BE57C5"/>
    <w:rsid w:val="00BE5B4E"/>
    <w:rsid w:val="00BE5CB0"/>
    <w:rsid w:val="00BE5D66"/>
    <w:rsid w:val="00BE5E4D"/>
    <w:rsid w:val="00BE604A"/>
    <w:rsid w:val="00BE611B"/>
    <w:rsid w:val="00BE61EF"/>
    <w:rsid w:val="00BE623D"/>
    <w:rsid w:val="00BE6373"/>
    <w:rsid w:val="00BE637A"/>
    <w:rsid w:val="00BE652A"/>
    <w:rsid w:val="00BE6619"/>
    <w:rsid w:val="00BE672F"/>
    <w:rsid w:val="00BE67C4"/>
    <w:rsid w:val="00BE67D2"/>
    <w:rsid w:val="00BE67D5"/>
    <w:rsid w:val="00BE686A"/>
    <w:rsid w:val="00BE6AC3"/>
    <w:rsid w:val="00BE6B99"/>
    <w:rsid w:val="00BE6B9E"/>
    <w:rsid w:val="00BE6D11"/>
    <w:rsid w:val="00BE6DC6"/>
    <w:rsid w:val="00BE6F89"/>
    <w:rsid w:val="00BE7073"/>
    <w:rsid w:val="00BE7180"/>
    <w:rsid w:val="00BE718F"/>
    <w:rsid w:val="00BE729C"/>
    <w:rsid w:val="00BE73AD"/>
    <w:rsid w:val="00BE73F8"/>
    <w:rsid w:val="00BE744A"/>
    <w:rsid w:val="00BE752C"/>
    <w:rsid w:val="00BE7615"/>
    <w:rsid w:val="00BE77E5"/>
    <w:rsid w:val="00BE78FE"/>
    <w:rsid w:val="00BE79F0"/>
    <w:rsid w:val="00BE7BCA"/>
    <w:rsid w:val="00BE7C80"/>
    <w:rsid w:val="00BE7CCF"/>
    <w:rsid w:val="00BE7D77"/>
    <w:rsid w:val="00BE7E2B"/>
    <w:rsid w:val="00BE7E35"/>
    <w:rsid w:val="00BE7F7B"/>
    <w:rsid w:val="00BF0263"/>
    <w:rsid w:val="00BF027F"/>
    <w:rsid w:val="00BF02BB"/>
    <w:rsid w:val="00BF03AD"/>
    <w:rsid w:val="00BF0414"/>
    <w:rsid w:val="00BF0437"/>
    <w:rsid w:val="00BF043A"/>
    <w:rsid w:val="00BF04F1"/>
    <w:rsid w:val="00BF0500"/>
    <w:rsid w:val="00BF0511"/>
    <w:rsid w:val="00BF05AF"/>
    <w:rsid w:val="00BF0658"/>
    <w:rsid w:val="00BF0747"/>
    <w:rsid w:val="00BF0795"/>
    <w:rsid w:val="00BF07A2"/>
    <w:rsid w:val="00BF0843"/>
    <w:rsid w:val="00BF0881"/>
    <w:rsid w:val="00BF08E8"/>
    <w:rsid w:val="00BF091A"/>
    <w:rsid w:val="00BF0ACB"/>
    <w:rsid w:val="00BF0C1F"/>
    <w:rsid w:val="00BF0C89"/>
    <w:rsid w:val="00BF0E1F"/>
    <w:rsid w:val="00BF1070"/>
    <w:rsid w:val="00BF1074"/>
    <w:rsid w:val="00BF107F"/>
    <w:rsid w:val="00BF108C"/>
    <w:rsid w:val="00BF10BA"/>
    <w:rsid w:val="00BF1129"/>
    <w:rsid w:val="00BF1188"/>
    <w:rsid w:val="00BF11B4"/>
    <w:rsid w:val="00BF11F4"/>
    <w:rsid w:val="00BF12BD"/>
    <w:rsid w:val="00BF13EE"/>
    <w:rsid w:val="00BF1530"/>
    <w:rsid w:val="00BF1547"/>
    <w:rsid w:val="00BF185B"/>
    <w:rsid w:val="00BF1A6F"/>
    <w:rsid w:val="00BF1AB6"/>
    <w:rsid w:val="00BF1B95"/>
    <w:rsid w:val="00BF1E10"/>
    <w:rsid w:val="00BF1EB8"/>
    <w:rsid w:val="00BF212A"/>
    <w:rsid w:val="00BF21C6"/>
    <w:rsid w:val="00BF228D"/>
    <w:rsid w:val="00BF249E"/>
    <w:rsid w:val="00BF24C2"/>
    <w:rsid w:val="00BF24D7"/>
    <w:rsid w:val="00BF2523"/>
    <w:rsid w:val="00BF264A"/>
    <w:rsid w:val="00BF2657"/>
    <w:rsid w:val="00BF26BB"/>
    <w:rsid w:val="00BF26D2"/>
    <w:rsid w:val="00BF2712"/>
    <w:rsid w:val="00BF2956"/>
    <w:rsid w:val="00BF29FE"/>
    <w:rsid w:val="00BF2A2C"/>
    <w:rsid w:val="00BF2AD2"/>
    <w:rsid w:val="00BF2EC1"/>
    <w:rsid w:val="00BF2F02"/>
    <w:rsid w:val="00BF2F38"/>
    <w:rsid w:val="00BF31C5"/>
    <w:rsid w:val="00BF31CD"/>
    <w:rsid w:val="00BF31E9"/>
    <w:rsid w:val="00BF31FB"/>
    <w:rsid w:val="00BF32C9"/>
    <w:rsid w:val="00BF32F2"/>
    <w:rsid w:val="00BF3306"/>
    <w:rsid w:val="00BF3320"/>
    <w:rsid w:val="00BF3468"/>
    <w:rsid w:val="00BF353B"/>
    <w:rsid w:val="00BF3610"/>
    <w:rsid w:val="00BF3634"/>
    <w:rsid w:val="00BF3636"/>
    <w:rsid w:val="00BF36D3"/>
    <w:rsid w:val="00BF3721"/>
    <w:rsid w:val="00BF37BE"/>
    <w:rsid w:val="00BF37C0"/>
    <w:rsid w:val="00BF37D7"/>
    <w:rsid w:val="00BF3A98"/>
    <w:rsid w:val="00BF3B1A"/>
    <w:rsid w:val="00BF3D48"/>
    <w:rsid w:val="00BF3F4D"/>
    <w:rsid w:val="00BF3F8E"/>
    <w:rsid w:val="00BF3FBF"/>
    <w:rsid w:val="00BF3FCA"/>
    <w:rsid w:val="00BF4004"/>
    <w:rsid w:val="00BF40B1"/>
    <w:rsid w:val="00BF4152"/>
    <w:rsid w:val="00BF466B"/>
    <w:rsid w:val="00BF4708"/>
    <w:rsid w:val="00BF47E6"/>
    <w:rsid w:val="00BF490D"/>
    <w:rsid w:val="00BF4A1F"/>
    <w:rsid w:val="00BF4B9A"/>
    <w:rsid w:val="00BF4BC0"/>
    <w:rsid w:val="00BF4C6A"/>
    <w:rsid w:val="00BF4CA3"/>
    <w:rsid w:val="00BF4DC9"/>
    <w:rsid w:val="00BF4DF9"/>
    <w:rsid w:val="00BF4E55"/>
    <w:rsid w:val="00BF4FA6"/>
    <w:rsid w:val="00BF500A"/>
    <w:rsid w:val="00BF52AE"/>
    <w:rsid w:val="00BF53AC"/>
    <w:rsid w:val="00BF55AD"/>
    <w:rsid w:val="00BF5646"/>
    <w:rsid w:val="00BF586B"/>
    <w:rsid w:val="00BF5A22"/>
    <w:rsid w:val="00BF5AEC"/>
    <w:rsid w:val="00BF5B1F"/>
    <w:rsid w:val="00BF5C50"/>
    <w:rsid w:val="00BF5DFB"/>
    <w:rsid w:val="00BF5EB1"/>
    <w:rsid w:val="00BF5F7B"/>
    <w:rsid w:val="00BF62E6"/>
    <w:rsid w:val="00BF62EA"/>
    <w:rsid w:val="00BF630E"/>
    <w:rsid w:val="00BF6558"/>
    <w:rsid w:val="00BF664E"/>
    <w:rsid w:val="00BF6858"/>
    <w:rsid w:val="00BF6880"/>
    <w:rsid w:val="00BF6C32"/>
    <w:rsid w:val="00BF6C5D"/>
    <w:rsid w:val="00BF6D0A"/>
    <w:rsid w:val="00BF6DC9"/>
    <w:rsid w:val="00BF6E0E"/>
    <w:rsid w:val="00BF6E48"/>
    <w:rsid w:val="00BF6FC6"/>
    <w:rsid w:val="00BF7039"/>
    <w:rsid w:val="00BF70E0"/>
    <w:rsid w:val="00BF7100"/>
    <w:rsid w:val="00BF7246"/>
    <w:rsid w:val="00BF7408"/>
    <w:rsid w:val="00BF7569"/>
    <w:rsid w:val="00BF7570"/>
    <w:rsid w:val="00BF75FB"/>
    <w:rsid w:val="00BF76E0"/>
    <w:rsid w:val="00BF773E"/>
    <w:rsid w:val="00BF7817"/>
    <w:rsid w:val="00BF7880"/>
    <w:rsid w:val="00BF7981"/>
    <w:rsid w:val="00BF7AEC"/>
    <w:rsid w:val="00BF7B0B"/>
    <w:rsid w:val="00BF7B66"/>
    <w:rsid w:val="00BF7B9E"/>
    <w:rsid w:val="00BF7C70"/>
    <w:rsid w:val="00BF7C7A"/>
    <w:rsid w:val="00BF7C84"/>
    <w:rsid w:val="00BF7CC4"/>
    <w:rsid w:val="00BF7CC9"/>
    <w:rsid w:val="00BF7D57"/>
    <w:rsid w:val="00BF7D5A"/>
    <w:rsid w:val="00BF7EBB"/>
    <w:rsid w:val="00BF7F74"/>
    <w:rsid w:val="00C00158"/>
    <w:rsid w:val="00C00178"/>
    <w:rsid w:val="00C0028F"/>
    <w:rsid w:val="00C002AF"/>
    <w:rsid w:val="00C003A9"/>
    <w:rsid w:val="00C003C5"/>
    <w:rsid w:val="00C003DF"/>
    <w:rsid w:val="00C00417"/>
    <w:rsid w:val="00C004F4"/>
    <w:rsid w:val="00C007C1"/>
    <w:rsid w:val="00C0082A"/>
    <w:rsid w:val="00C00847"/>
    <w:rsid w:val="00C008D6"/>
    <w:rsid w:val="00C009E8"/>
    <w:rsid w:val="00C009FA"/>
    <w:rsid w:val="00C00A69"/>
    <w:rsid w:val="00C00B9F"/>
    <w:rsid w:val="00C00CCE"/>
    <w:rsid w:val="00C00E64"/>
    <w:rsid w:val="00C00FB8"/>
    <w:rsid w:val="00C010B0"/>
    <w:rsid w:val="00C0113F"/>
    <w:rsid w:val="00C0119B"/>
    <w:rsid w:val="00C01326"/>
    <w:rsid w:val="00C0135A"/>
    <w:rsid w:val="00C01480"/>
    <w:rsid w:val="00C01549"/>
    <w:rsid w:val="00C0155B"/>
    <w:rsid w:val="00C015D1"/>
    <w:rsid w:val="00C01611"/>
    <w:rsid w:val="00C01621"/>
    <w:rsid w:val="00C01A83"/>
    <w:rsid w:val="00C01B9D"/>
    <w:rsid w:val="00C01BB3"/>
    <w:rsid w:val="00C01BDB"/>
    <w:rsid w:val="00C01DDC"/>
    <w:rsid w:val="00C01E1A"/>
    <w:rsid w:val="00C01E91"/>
    <w:rsid w:val="00C01F28"/>
    <w:rsid w:val="00C01F38"/>
    <w:rsid w:val="00C01FAA"/>
    <w:rsid w:val="00C02046"/>
    <w:rsid w:val="00C022C4"/>
    <w:rsid w:val="00C02519"/>
    <w:rsid w:val="00C025C2"/>
    <w:rsid w:val="00C025E0"/>
    <w:rsid w:val="00C0263A"/>
    <w:rsid w:val="00C02687"/>
    <w:rsid w:val="00C0275E"/>
    <w:rsid w:val="00C027B0"/>
    <w:rsid w:val="00C027F8"/>
    <w:rsid w:val="00C02892"/>
    <w:rsid w:val="00C028B2"/>
    <w:rsid w:val="00C028BC"/>
    <w:rsid w:val="00C0297F"/>
    <w:rsid w:val="00C029B3"/>
    <w:rsid w:val="00C02A48"/>
    <w:rsid w:val="00C02B0D"/>
    <w:rsid w:val="00C02BD1"/>
    <w:rsid w:val="00C02C88"/>
    <w:rsid w:val="00C02CDC"/>
    <w:rsid w:val="00C02D19"/>
    <w:rsid w:val="00C02D2F"/>
    <w:rsid w:val="00C02D6C"/>
    <w:rsid w:val="00C02D98"/>
    <w:rsid w:val="00C02DB4"/>
    <w:rsid w:val="00C02DDA"/>
    <w:rsid w:val="00C02DE0"/>
    <w:rsid w:val="00C02E84"/>
    <w:rsid w:val="00C02EED"/>
    <w:rsid w:val="00C02F1F"/>
    <w:rsid w:val="00C02F97"/>
    <w:rsid w:val="00C02F9C"/>
    <w:rsid w:val="00C03141"/>
    <w:rsid w:val="00C0315D"/>
    <w:rsid w:val="00C0318D"/>
    <w:rsid w:val="00C03296"/>
    <w:rsid w:val="00C033B1"/>
    <w:rsid w:val="00C034FA"/>
    <w:rsid w:val="00C03604"/>
    <w:rsid w:val="00C03612"/>
    <w:rsid w:val="00C03756"/>
    <w:rsid w:val="00C03899"/>
    <w:rsid w:val="00C038B9"/>
    <w:rsid w:val="00C038F1"/>
    <w:rsid w:val="00C039E4"/>
    <w:rsid w:val="00C03A1E"/>
    <w:rsid w:val="00C03AAA"/>
    <w:rsid w:val="00C03AB2"/>
    <w:rsid w:val="00C03B06"/>
    <w:rsid w:val="00C03B31"/>
    <w:rsid w:val="00C03BB2"/>
    <w:rsid w:val="00C03C64"/>
    <w:rsid w:val="00C03C9B"/>
    <w:rsid w:val="00C03FDA"/>
    <w:rsid w:val="00C04136"/>
    <w:rsid w:val="00C041A8"/>
    <w:rsid w:val="00C04234"/>
    <w:rsid w:val="00C04242"/>
    <w:rsid w:val="00C04267"/>
    <w:rsid w:val="00C042E1"/>
    <w:rsid w:val="00C04386"/>
    <w:rsid w:val="00C04398"/>
    <w:rsid w:val="00C04463"/>
    <w:rsid w:val="00C0450E"/>
    <w:rsid w:val="00C04672"/>
    <w:rsid w:val="00C04723"/>
    <w:rsid w:val="00C048F9"/>
    <w:rsid w:val="00C04A6C"/>
    <w:rsid w:val="00C04A78"/>
    <w:rsid w:val="00C04B67"/>
    <w:rsid w:val="00C04CA0"/>
    <w:rsid w:val="00C04CE0"/>
    <w:rsid w:val="00C04CFB"/>
    <w:rsid w:val="00C04D9B"/>
    <w:rsid w:val="00C04EA0"/>
    <w:rsid w:val="00C04EE0"/>
    <w:rsid w:val="00C04F42"/>
    <w:rsid w:val="00C04FAF"/>
    <w:rsid w:val="00C050CA"/>
    <w:rsid w:val="00C0511E"/>
    <w:rsid w:val="00C05182"/>
    <w:rsid w:val="00C051B7"/>
    <w:rsid w:val="00C0525D"/>
    <w:rsid w:val="00C05279"/>
    <w:rsid w:val="00C0536C"/>
    <w:rsid w:val="00C05450"/>
    <w:rsid w:val="00C05464"/>
    <w:rsid w:val="00C05477"/>
    <w:rsid w:val="00C0550A"/>
    <w:rsid w:val="00C058AC"/>
    <w:rsid w:val="00C05A97"/>
    <w:rsid w:val="00C05A9D"/>
    <w:rsid w:val="00C05AA7"/>
    <w:rsid w:val="00C05B58"/>
    <w:rsid w:val="00C05B6E"/>
    <w:rsid w:val="00C05CAA"/>
    <w:rsid w:val="00C05DD1"/>
    <w:rsid w:val="00C05DF7"/>
    <w:rsid w:val="00C05F6B"/>
    <w:rsid w:val="00C062B9"/>
    <w:rsid w:val="00C06357"/>
    <w:rsid w:val="00C063A6"/>
    <w:rsid w:val="00C063D7"/>
    <w:rsid w:val="00C06449"/>
    <w:rsid w:val="00C064E1"/>
    <w:rsid w:val="00C06592"/>
    <w:rsid w:val="00C065BB"/>
    <w:rsid w:val="00C065BD"/>
    <w:rsid w:val="00C0664F"/>
    <w:rsid w:val="00C06814"/>
    <w:rsid w:val="00C06831"/>
    <w:rsid w:val="00C0687C"/>
    <w:rsid w:val="00C068B4"/>
    <w:rsid w:val="00C06B7C"/>
    <w:rsid w:val="00C06BE8"/>
    <w:rsid w:val="00C06C10"/>
    <w:rsid w:val="00C06CAD"/>
    <w:rsid w:val="00C06F72"/>
    <w:rsid w:val="00C070C0"/>
    <w:rsid w:val="00C07145"/>
    <w:rsid w:val="00C0719C"/>
    <w:rsid w:val="00C07469"/>
    <w:rsid w:val="00C07496"/>
    <w:rsid w:val="00C074C1"/>
    <w:rsid w:val="00C075D1"/>
    <w:rsid w:val="00C07A7B"/>
    <w:rsid w:val="00C07B54"/>
    <w:rsid w:val="00C07C13"/>
    <w:rsid w:val="00C07ED6"/>
    <w:rsid w:val="00C10213"/>
    <w:rsid w:val="00C103BF"/>
    <w:rsid w:val="00C103C1"/>
    <w:rsid w:val="00C1042D"/>
    <w:rsid w:val="00C10515"/>
    <w:rsid w:val="00C105A2"/>
    <w:rsid w:val="00C106B9"/>
    <w:rsid w:val="00C106C5"/>
    <w:rsid w:val="00C10795"/>
    <w:rsid w:val="00C10956"/>
    <w:rsid w:val="00C1096B"/>
    <w:rsid w:val="00C1097B"/>
    <w:rsid w:val="00C109F8"/>
    <w:rsid w:val="00C10C09"/>
    <w:rsid w:val="00C10C1F"/>
    <w:rsid w:val="00C10C2D"/>
    <w:rsid w:val="00C10C4F"/>
    <w:rsid w:val="00C10CA5"/>
    <w:rsid w:val="00C10DDE"/>
    <w:rsid w:val="00C10E1D"/>
    <w:rsid w:val="00C11070"/>
    <w:rsid w:val="00C110A8"/>
    <w:rsid w:val="00C11163"/>
    <w:rsid w:val="00C11282"/>
    <w:rsid w:val="00C11292"/>
    <w:rsid w:val="00C112C4"/>
    <w:rsid w:val="00C113A2"/>
    <w:rsid w:val="00C114AD"/>
    <w:rsid w:val="00C114DE"/>
    <w:rsid w:val="00C1153C"/>
    <w:rsid w:val="00C116A1"/>
    <w:rsid w:val="00C1171D"/>
    <w:rsid w:val="00C117DD"/>
    <w:rsid w:val="00C118A9"/>
    <w:rsid w:val="00C11A51"/>
    <w:rsid w:val="00C11A87"/>
    <w:rsid w:val="00C11B1E"/>
    <w:rsid w:val="00C11F56"/>
    <w:rsid w:val="00C1207C"/>
    <w:rsid w:val="00C1209C"/>
    <w:rsid w:val="00C120A6"/>
    <w:rsid w:val="00C120DB"/>
    <w:rsid w:val="00C12162"/>
    <w:rsid w:val="00C1228D"/>
    <w:rsid w:val="00C122E0"/>
    <w:rsid w:val="00C124B6"/>
    <w:rsid w:val="00C124E0"/>
    <w:rsid w:val="00C1252B"/>
    <w:rsid w:val="00C12582"/>
    <w:rsid w:val="00C125F1"/>
    <w:rsid w:val="00C1260E"/>
    <w:rsid w:val="00C1265E"/>
    <w:rsid w:val="00C12670"/>
    <w:rsid w:val="00C1275F"/>
    <w:rsid w:val="00C128F8"/>
    <w:rsid w:val="00C12A13"/>
    <w:rsid w:val="00C12A21"/>
    <w:rsid w:val="00C12A28"/>
    <w:rsid w:val="00C12AAD"/>
    <w:rsid w:val="00C12ACE"/>
    <w:rsid w:val="00C12BBD"/>
    <w:rsid w:val="00C12C05"/>
    <w:rsid w:val="00C12C25"/>
    <w:rsid w:val="00C12C42"/>
    <w:rsid w:val="00C12C65"/>
    <w:rsid w:val="00C12CB5"/>
    <w:rsid w:val="00C12F3B"/>
    <w:rsid w:val="00C12F51"/>
    <w:rsid w:val="00C12FF1"/>
    <w:rsid w:val="00C130C4"/>
    <w:rsid w:val="00C13119"/>
    <w:rsid w:val="00C131AF"/>
    <w:rsid w:val="00C1322E"/>
    <w:rsid w:val="00C132BF"/>
    <w:rsid w:val="00C133A3"/>
    <w:rsid w:val="00C133C9"/>
    <w:rsid w:val="00C13514"/>
    <w:rsid w:val="00C13528"/>
    <w:rsid w:val="00C13552"/>
    <w:rsid w:val="00C13564"/>
    <w:rsid w:val="00C135F8"/>
    <w:rsid w:val="00C136DE"/>
    <w:rsid w:val="00C137F6"/>
    <w:rsid w:val="00C138AF"/>
    <w:rsid w:val="00C13950"/>
    <w:rsid w:val="00C13992"/>
    <w:rsid w:val="00C139A4"/>
    <w:rsid w:val="00C13A43"/>
    <w:rsid w:val="00C13ADB"/>
    <w:rsid w:val="00C13AE7"/>
    <w:rsid w:val="00C13B7C"/>
    <w:rsid w:val="00C13B8E"/>
    <w:rsid w:val="00C13BE8"/>
    <w:rsid w:val="00C13C3E"/>
    <w:rsid w:val="00C13CF8"/>
    <w:rsid w:val="00C13D57"/>
    <w:rsid w:val="00C13DEB"/>
    <w:rsid w:val="00C13F21"/>
    <w:rsid w:val="00C13FAA"/>
    <w:rsid w:val="00C140F0"/>
    <w:rsid w:val="00C1415E"/>
    <w:rsid w:val="00C14190"/>
    <w:rsid w:val="00C1421E"/>
    <w:rsid w:val="00C1425E"/>
    <w:rsid w:val="00C143CC"/>
    <w:rsid w:val="00C144E8"/>
    <w:rsid w:val="00C14718"/>
    <w:rsid w:val="00C1477F"/>
    <w:rsid w:val="00C149DF"/>
    <w:rsid w:val="00C14AB5"/>
    <w:rsid w:val="00C14B2C"/>
    <w:rsid w:val="00C14D1C"/>
    <w:rsid w:val="00C14DB0"/>
    <w:rsid w:val="00C14EC9"/>
    <w:rsid w:val="00C14ECD"/>
    <w:rsid w:val="00C14F51"/>
    <w:rsid w:val="00C14F99"/>
    <w:rsid w:val="00C14FCF"/>
    <w:rsid w:val="00C15087"/>
    <w:rsid w:val="00C1512E"/>
    <w:rsid w:val="00C15316"/>
    <w:rsid w:val="00C1537D"/>
    <w:rsid w:val="00C1550C"/>
    <w:rsid w:val="00C15547"/>
    <w:rsid w:val="00C1563C"/>
    <w:rsid w:val="00C15807"/>
    <w:rsid w:val="00C15841"/>
    <w:rsid w:val="00C158D8"/>
    <w:rsid w:val="00C158F4"/>
    <w:rsid w:val="00C15945"/>
    <w:rsid w:val="00C15ACD"/>
    <w:rsid w:val="00C15ADA"/>
    <w:rsid w:val="00C15C06"/>
    <w:rsid w:val="00C15CFC"/>
    <w:rsid w:val="00C15D51"/>
    <w:rsid w:val="00C15D87"/>
    <w:rsid w:val="00C15EAF"/>
    <w:rsid w:val="00C1603F"/>
    <w:rsid w:val="00C160CA"/>
    <w:rsid w:val="00C161C7"/>
    <w:rsid w:val="00C16373"/>
    <w:rsid w:val="00C163FD"/>
    <w:rsid w:val="00C16593"/>
    <w:rsid w:val="00C1665F"/>
    <w:rsid w:val="00C1670C"/>
    <w:rsid w:val="00C1680D"/>
    <w:rsid w:val="00C1683D"/>
    <w:rsid w:val="00C1698D"/>
    <w:rsid w:val="00C16A85"/>
    <w:rsid w:val="00C16AC7"/>
    <w:rsid w:val="00C16C45"/>
    <w:rsid w:val="00C16C7A"/>
    <w:rsid w:val="00C16CA7"/>
    <w:rsid w:val="00C16D0B"/>
    <w:rsid w:val="00C16D3E"/>
    <w:rsid w:val="00C16EC1"/>
    <w:rsid w:val="00C17156"/>
    <w:rsid w:val="00C17168"/>
    <w:rsid w:val="00C1717C"/>
    <w:rsid w:val="00C173CE"/>
    <w:rsid w:val="00C17484"/>
    <w:rsid w:val="00C17487"/>
    <w:rsid w:val="00C17536"/>
    <w:rsid w:val="00C175F8"/>
    <w:rsid w:val="00C1761B"/>
    <w:rsid w:val="00C1774F"/>
    <w:rsid w:val="00C17946"/>
    <w:rsid w:val="00C1795D"/>
    <w:rsid w:val="00C179CB"/>
    <w:rsid w:val="00C17B9F"/>
    <w:rsid w:val="00C17BAD"/>
    <w:rsid w:val="00C17C14"/>
    <w:rsid w:val="00C17CFC"/>
    <w:rsid w:val="00C17DC9"/>
    <w:rsid w:val="00C17E59"/>
    <w:rsid w:val="00C17E89"/>
    <w:rsid w:val="00C17EF2"/>
    <w:rsid w:val="00C2010C"/>
    <w:rsid w:val="00C2010F"/>
    <w:rsid w:val="00C201D5"/>
    <w:rsid w:val="00C20280"/>
    <w:rsid w:val="00C20296"/>
    <w:rsid w:val="00C202A0"/>
    <w:rsid w:val="00C202B4"/>
    <w:rsid w:val="00C202D1"/>
    <w:rsid w:val="00C203C4"/>
    <w:rsid w:val="00C20565"/>
    <w:rsid w:val="00C20760"/>
    <w:rsid w:val="00C207AD"/>
    <w:rsid w:val="00C2080A"/>
    <w:rsid w:val="00C20A18"/>
    <w:rsid w:val="00C20B1F"/>
    <w:rsid w:val="00C20B4C"/>
    <w:rsid w:val="00C20B82"/>
    <w:rsid w:val="00C20C02"/>
    <w:rsid w:val="00C20C2C"/>
    <w:rsid w:val="00C20C49"/>
    <w:rsid w:val="00C20CD7"/>
    <w:rsid w:val="00C20DB9"/>
    <w:rsid w:val="00C20E7D"/>
    <w:rsid w:val="00C21094"/>
    <w:rsid w:val="00C212A9"/>
    <w:rsid w:val="00C21319"/>
    <w:rsid w:val="00C21448"/>
    <w:rsid w:val="00C21463"/>
    <w:rsid w:val="00C21469"/>
    <w:rsid w:val="00C21505"/>
    <w:rsid w:val="00C2197D"/>
    <w:rsid w:val="00C21B19"/>
    <w:rsid w:val="00C21B2A"/>
    <w:rsid w:val="00C21B5A"/>
    <w:rsid w:val="00C21D98"/>
    <w:rsid w:val="00C21DE3"/>
    <w:rsid w:val="00C21ECA"/>
    <w:rsid w:val="00C21ED6"/>
    <w:rsid w:val="00C21F6F"/>
    <w:rsid w:val="00C21F94"/>
    <w:rsid w:val="00C21F9E"/>
    <w:rsid w:val="00C21FFB"/>
    <w:rsid w:val="00C22063"/>
    <w:rsid w:val="00C2206D"/>
    <w:rsid w:val="00C22259"/>
    <w:rsid w:val="00C222C5"/>
    <w:rsid w:val="00C2237D"/>
    <w:rsid w:val="00C2239D"/>
    <w:rsid w:val="00C2259B"/>
    <w:rsid w:val="00C2263C"/>
    <w:rsid w:val="00C22653"/>
    <w:rsid w:val="00C226E5"/>
    <w:rsid w:val="00C226F9"/>
    <w:rsid w:val="00C22929"/>
    <w:rsid w:val="00C22A4D"/>
    <w:rsid w:val="00C22A77"/>
    <w:rsid w:val="00C22ADA"/>
    <w:rsid w:val="00C22AEA"/>
    <w:rsid w:val="00C22C33"/>
    <w:rsid w:val="00C22F0D"/>
    <w:rsid w:val="00C22FFC"/>
    <w:rsid w:val="00C23054"/>
    <w:rsid w:val="00C2306E"/>
    <w:rsid w:val="00C23174"/>
    <w:rsid w:val="00C23179"/>
    <w:rsid w:val="00C23199"/>
    <w:rsid w:val="00C231DE"/>
    <w:rsid w:val="00C23401"/>
    <w:rsid w:val="00C2353E"/>
    <w:rsid w:val="00C23724"/>
    <w:rsid w:val="00C237DE"/>
    <w:rsid w:val="00C2385C"/>
    <w:rsid w:val="00C23A62"/>
    <w:rsid w:val="00C23A8B"/>
    <w:rsid w:val="00C23B43"/>
    <w:rsid w:val="00C23BEE"/>
    <w:rsid w:val="00C23E12"/>
    <w:rsid w:val="00C23E32"/>
    <w:rsid w:val="00C23EDB"/>
    <w:rsid w:val="00C23F28"/>
    <w:rsid w:val="00C23FBD"/>
    <w:rsid w:val="00C24027"/>
    <w:rsid w:val="00C24137"/>
    <w:rsid w:val="00C24163"/>
    <w:rsid w:val="00C2421B"/>
    <w:rsid w:val="00C24297"/>
    <w:rsid w:val="00C242AC"/>
    <w:rsid w:val="00C242ED"/>
    <w:rsid w:val="00C2448C"/>
    <w:rsid w:val="00C24495"/>
    <w:rsid w:val="00C244BA"/>
    <w:rsid w:val="00C246AE"/>
    <w:rsid w:val="00C24741"/>
    <w:rsid w:val="00C24821"/>
    <w:rsid w:val="00C248A8"/>
    <w:rsid w:val="00C248F2"/>
    <w:rsid w:val="00C24917"/>
    <w:rsid w:val="00C24923"/>
    <w:rsid w:val="00C2498F"/>
    <w:rsid w:val="00C24A31"/>
    <w:rsid w:val="00C24B8F"/>
    <w:rsid w:val="00C24C55"/>
    <w:rsid w:val="00C24C6A"/>
    <w:rsid w:val="00C24C7D"/>
    <w:rsid w:val="00C24E2E"/>
    <w:rsid w:val="00C24E9C"/>
    <w:rsid w:val="00C24F73"/>
    <w:rsid w:val="00C25272"/>
    <w:rsid w:val="00C252ED"/>
    <w:rsid w:val="00C253D2"/>
    <w:rsid w:val="00C2554C"/>
    <w:rsid w:val="00C25645"/>
    <w:rsid w:val="00C256A1"/>
    <w:rsid w:val="00C25726"/>
    <w:rsid w:val="00C2589B"/>
    <w:rsid w:val="00C258EF"/>
    <w:rsid w:val="00C25948"/>
    <w:rsid w:val="00C2599D"/>
    <w:rsid w:val="00C25A2D"/>
    <w:rsid w:val="00C25A93"/>
    <w:rsid w:val="00C25C28"/>
    <w:rsid w:val="00C25C5D"/>
    <w:rsid w:val="00C25C92"/>
    <w:rsid w:val="00C25D1C"/>
    <w:rsid w:val="00C25E14"/>
    <w:rsid w:val="00C25E81"/>
    <w:rsid w:val="00C25F5D"/>
    <w:rsid w:val="00C25F6D"/>
    <w:rsid w:val="00C25F7B"/>
    <w:rsid w:val="00C25FEE"/>
    <w:rsid w:val="00C2609F"/>
    <w:rsid w:val="00C261C1"/>
    <w:rsid w:val="00C26211"/>
    <w:rsid w:val="00C26286"/>
    <w:rsid w:val="00C262CE"/>
    <w:rsid w:val="00C2643B"/>
    <w:rsid w:val="00C264A4"/>
    <w:rsid w:val="00C26505"/>
    <w:rsid w:val="00C26527"/>
    <w:rsid w:val="00C26604"/>
    <w:rsid w:val="00C26674"/>
    <w:rsid w:val="00C26706"/>
    <w:rsid w:val="00C26778"/>
    <w:rsid w:val="00C26798"/>
    <w:rsid w:val="00C26805"/>
    <w:rsid w:val="00C2684F"/>
    <w:rsid w:val="00C2689A"/>
    <w:rsid w:val="00C268C8"/>
    <w:rsid w:val="00C26947"/>
    <w:rsid w:val="00C2696D"/>
    <w:rsid w:val="00C269C2"/>
    <w:rsid w:val="00C26AEB"/>
    <w:rsid w:val="00C26B31"/>
    <w:rsid w:val="00C26CC4"/>
    <w:rsid w:val="00C26D1E"/>
    <w:rsid w:val="00C26D36"/>
    <w:rsid w:val="00C26F19"/>
    <w:rsid w:val="00C26F70"/>
    <w:rsid w:val="00C26FBE"/>
    <w:rsid w:val="00C270BE"/>
    <w:rsid w:val="00C271B7"/>
    <w:rsid w:val="00C27202"/>
    <w:rsid w:val="00C272C9"/>
    <w:rsid w:val="00C273E1"/>
    <w:rsid w:val="00C2757E"/>
    <w:rsid w:val="00C2758B"/>
    <w:rsid w:val="00C275AC"/>
    <w:rsid w:val="00C276F7"/>
    <w:rsid w:val="00C27751"/>
    <w:rsid w:val="00C2782E"/>
    <w:rsid w:val="00C27866"/>
    <w:rsid w:val="00C278DE"/>
    <w:rsid w:val="00C27941"/>
    <w:rsid w:val="00C279AD"/>
    <w:rsid w:val="00C279F8"/>
    <w:rsid w:val="00C27A5E"/>
    <w:rsid w:val="00C27B79"/>
    <w:rsid w:val="00C27D2B"/>
    <w:rsid w:val="00C27D86"/>
    <w:rsid w:val="00C27DE4"/>
    <w:rsid w:val="00C27E8B"/>
    <w:rsid w:val="00C27ED6"/>
    <w:rsid w:val="00C27F30"/>
    <w:rsid w:val="00C27F96"/>
    <w:rsid w:val="00C3007C"/>
    <w:rsid w:val="00C3008F"/>
    <w:rsid w:val="00C300E3"/>
    <w:rsid w:val="00C301F2"/>
    <w:rsid w:val="00C30372"/>
    <w:rsid w:val="00C3048C"/>
    <w:rsid w:val="00C3048F"/>
    <w:rsid w:val="00C30559"/>
    <w:rsid w:val="00C3059A"/>
    <w:rsid w:val="00C3067E"/>
    <w:rsid w:val="00C306CE"/>
    <w:rsid w:val="00C30725"/>
    <w:rsid w:val="00C30930"/>
    <w:rsid w:val="00C30965"/>
    <w:rsid w:val="00C30B42"/>
    <w:rsid w:val="00C30C8F"/>
    <w:rsid w:val="00C30D35"/>
    <w:rsid w:val="00C30DFE"/>
    <w:rsid w:val="00C30F19"/>
    <w:rsid w:val="00C30FA8"/>
    <w:rsid w:val="00C31009"/>
    <w:rsid w:val="00C310D4"/>
    <w:rsid w:val="00C3116A"/>
    <w:rsid w:val="00C311B5"/>
    <w:rsid w:val="00C3120F"/>
    <w:rsid w:val="00C312F6"/>
    <w:rsid w:val="00C313E5"/>
    <w:rsid w:val="00C31498"/>
    <w:rsid w:val="00C31563"/>
    <w:rsid w:val="00C315F7"/>
    <w:rsid w:val="00C3182B"/>
    <w:rsid w:val="00C31883"/>
    <w:rsid w:val="00C318D8"/>
    <w:rsid w:val="00C31969"/>
    <w:rsid w:val="00C3197A"/>
    <w:rsid w:val="00C31A4B"/>
    <w:rsid w:val="00C31B60"/>
    <w:rsid w:val="00C31BFF"/>
    <w:rsid w:val="00C31CBD"/>
    <w:rsid w:val="00C31E76"/>
    <w:rsid w:val="00C31ED6"/>
    <w:rsid w:val="00C31FD4"/>
    <w:rsid w:val="00C32070"/>
    <w:rsid w:val="00C3212D"/>
    <w:rsid w:val="00C32257"/>
    <w:rsid w:val="00C32409"/>
    <w:rsid w:val="00C3241C"/>
    <w:rsid w:val="00C3248B"/>
    <w:rsid w:val="00C324CB"/>
    <w:rsid w:val="00C327D3"/>
    <w:rsid w:val="00C328F8"/>
    <w:rsid w:val="00C32933"/>
    <w:rsid w:val="00C32A6F"/>
    <w:rsid w:val="00C32B1A"/>
    <w:rsid w:val="00C32B3E"/>
    <w:rsid w:val="00C32B6F"/>
    <w:rsid w:val="00C32B7B"/>
    <w:rsid w:val="00C32B94"/>
    <w:rsid w:val="00C32C6B"/>
    <w:rsid w:val="00C32D90"/>
    <w:rsid w:val="00C32E76"/>
    <w:rsid w:val="00C32EF7"/>
    <w:rsid w:val="00C32F5B"/>
    <w:rsid w:val="00C32F85"/>
    <w:rsid w:val="00C32FB1"/>
    <w:rsid w:val="00C33028"/>
    <w:rsid w:val="00C330AE"/>
    <w:rsid w:val="00C332AD"/>
    <w:rsid w:val="00C33358"/>
    <w:rsid w:val="00C33456"/>
    <w:rsid w:val="00C33482"/>
    <w:rsid w:val="00C334A6"/>
    <w:rsid w:val="00C3351A"/>
    <w:rsid w:val="00C335FC"/>
    <w:rsid w:val="00C336B8"/>
    <w:rsid w:val="00C336C7"/>
    <w:rsid w:val="00C33739"/>
    <w:rsid w:val="00C33776"/>
    <w:rsid w:val="00C337BB"/>
    <w:rsid w:val="00C337E3"/>
    <w:rsid w:val="00C33865"/>
    <w:rsid w:val="00C339D5"/>
    <w:rsid w:val="00C33A5D"/>
    <w:rsid w:val="00C33B29"/>
    <w:rsid w:val="00C33B3E"/>
    <w:rsid w:val="00C33BC8"/>
    <w:rsid w:val="00C33C48"/>
    <w:rsid w:val="00C33CA6"/>
    <w:rsid w:val="00C33CFE"/>
    <w:rsid w:val="00C33DC2"/>
    <w:rsid w:val="00C33DCC"/>
    <w:rsid w:val="00C340D7"/>
    <w:rsid w:val="00C341BC"/>
    <w:rsid w:val="00C34220"/>
    <w:rsid w:val="00C3428C"/>
    <w:rsid w:val="00C343F5"/>
    <w:rsid w:val="00C3442C"/>
    <w:rsid w:val="00C3463F"/>
    <w:rsid w:val="00C346D8"/>
    <w:rsid w:val="00C34875"/>
    <w:rsid w:val="00C34929"/>
    <w:rsid w:val="00C34938"/>
    <w:rsid w:val="00C34963"/>
    <w:rsid w:val="00C349D4"/>
    <w:rsid w:val="00C34A03"/>
    <w:rsid w:val="00C34A2E"/>
    <w:rsid w:val="00C34A50"/>
    <w:rsid w:val="00C34C35"/>
    <w:rsid w:val="00C34CD2"/>
    <w:rsid w:val="00C34DAA"/>
    <w:rsid w:val="00C34F0D"/>
    <w:rsid w:val="00C34F93"/>
    <w:rsid w:val="00C34FDA"/>
    <w:rsid w:val="00C350DC"/>
    <w:rsid w:val="00C3529B"/>
    <w:rsid w:val="00C35314"/>
    <w:rsid w:val="00C353B3"/>
    <w:rsid w:val="00C356E3"/>
    <w:rsid w:val="00C357D0"/>
    <w:rsid w:val="00C3583A"/>
    <w:rsid w:val="00C35892"/>
    <w:rsid w:val="00C35898"/>
    <w:rsid w:val="00C358F7"/>
    <w:rsid w:val="00C35934"/>
    <w:rsid w:val="00C35A87"/>
    <w:rsid w:val="00C35B9E"/>
    <w:rsid w:val="00C35C37"/>
    <w:rsid w:val="00C35C64"/>
    <w:rsid w:val="00C35CED"/>
    <w:rsid w:val="00C35D3F"/>
    <w:rsid w:val="00C35D51"/>
    <w:rsid w:val="00C35D75"/>
    <w:rsid w:val="00C35E0E"/>
    <w:rsid w:val="00C35E9D"/>
    <w:rsid w:val="00C35EAB"/>
    <w:rsid w:val="00C35F33"/>
    <w:rsid w:val="00C35FF3"/>
    <w:rsid w:val="00C3601B"/>
    <w:rsid w:val="00C36065"/>
    <w:rsid w:val="00C36125"/>
    <w:rsid w:val="00C362B5"/>
    <w:rsid w:val="00C36354"/>
    <w:rsid w:val="00C3640D"/>
    <w:rsid w:val="00C364E9"/>
    <w:rsid w:val="00C36548"/>
    <w:rsid w:val="00C36658"/>
    <w:rsid w:val="00C366C8"/>
    <w:rsid w:val="00C366F5"/>
    <w:rsid w:val="00C367D4"/>
    <w:rsid w:val="00C36840"/>
    <w:rsid w:val="00C3685C"/>
    <w:rsid w:val="00C368E0"/>
    <w:rsid w:val="00C3695E"/>
    <w:rsid w:val="00C36B54"/>
    <w:rsid w:val="00C36B78"/>
    <w:rsid w:val="00C36BB6"/>
    <w:rsid w:val="00C36D86"/>
    <w:rsid w:val="00C36D9D"/>
    <w:rsid w:val="00C36DA1"/>
    <w:rsid w:val="00C36EB4"/>
    <w:rsid w:val="00C36F1A"/>
    <w:rsid w:val="00C36F8D"/>
    <w:rsid w:val="00C3705F"/>
    <w:rsid w:val="00C37067"/>
    <w:rsid w:val="00C37086"/>
    <w:rsid w:val="00C3709D"/>
    <w:rsid w:val="00C37182"/>
    <w:rsid w:val="00C371CA"/>
    <w:rsid w:val="00C37290"/>
    <w:rsid w:val="00C372A0"/>
    <w:rsid w:val="00C37328"/>
    <w:rsid w:val="00C373D5"/>
    <w:rsid w:val="00C373EF"/>
    <w:rsid w:val="00C37443"/>
    <w:rsid w:val="00C37457"/>
    <w:rsid w:val="00C374EB"/>
    <w:rsid w:val="00C3754E"/>
    <w:rsid w:val="00C3769C"/>
    <w:rsid w:val="00C376A3"/>
    <w:rsid w:val="00C37726"/>
    <w:rsid w:val="00C377C7"/>
    <w:rsid w:val="00C3781B"/>
    <w:rsid w:val="00C378F1"/>
    <w:rsid w:val="00C379E0"/>
    <w:rsid w:val="00C37AD2"/>
    <w:rsid w:val="00C37B9A"/>
    <w:rsid w:val="00C37CA9"/>
    <w:rsid w:val="00C37D17"/>
    <w:rsid w:val="00C37EC3"/>
    <w:rsid w:val="00C37ECB"/>
    <w:rsid w:val="00C37EDF"/>
    <w:rsid w:val="00C37EE6"/>
    <w:rsid w:val="00C37F2D"/>
    <w:rsid w:val="00C37F9C"/>
    <w:rsid w:val="00C400AF"/>
    <w:rsid w:val="00C4012C"/>
    <w:rsid w:val="00C401EF"/>
    <w:rsid w:val="00C40341"/>
    <w:rsid w:val="00C4036F"/>
    <w:rsid w:val="00C4045C"/>
    <w:rsid w:val="00C405D5"/>
    <w:rsid w:val="00C4072C"/>
    <w:rsid w:val="00C4079B"/>
    <w:rsid w:val="00C40830"/>
    <w:rsid w:val="00C40A1C"/>
    <w:rsid w:val="00C40ADC"/>
    <w:rsid w:val="00C40BE3"/>
    <w:rsid w:val="00C40D9F"/>
    <w:rsid w:val="00C40E1F"/>
    <w:rsid w:val="00C40E4F"/>
    <w:rsid w:val="00C40E58"/>
    <w:rsid w:val="00C40FB8"/>
    <w:rsid w:val="00C41065"/>
    <w:rsid w:val="00C411A3"/>
    <w:rsid w:val="00C411AD"/>
    <w:rsid w:val="00C4131E"/>
    <w:rsid w:val="00C414BF"/>
    <w:rsid w:val="00C415B2"/>
    <w:rsid w:val="00C416BC"/>
    <w:rsid w:val="00C416EC"/>
    <w:rsid w:val="00C417EE"/>
    <w:rsid w:val="00C41837"/>
    <w:rsid w:val="00C418D6"/>
    <w:rsid w:val="00C419B7"/>
    <w:rsid w:val="00C419CF"/>
    <w:rsid w:val="00C419DE"/>
    <w:rsid w:val="00C419E2"/>
    <w:rsid w:val="00C41B5C"/>
    <w:rsid w:val="00C41BBB"/>
    <w:rsid w:val="00C41D57"/>
    <w:rsid w:val="00C41E57"/>
    <w:rsid w:val="00C41F98"/>
    <w:rsid w:val="00C42128"/>
    <w:rsid w:val="00C4226D"/>
    <w:rsid w:val="00C42534"/>
    <w:rsid w:val="00C42540"/>
    <w:rsid w:val="00C42612"/>
    <w:rsid w:val="00C42696"/>
    <w:rsid w:val="00C427E1"/>
    <w:rsid w:val="00C4289F"/>
    <w:rsid w:val="00C428E6"/>
    <w:rsid w:val="00C42934"/>
    <w:rsid w:val="00C42A6E"/>
    <w:rsid w:val="00C42CF0"/>
    <w:rsid w:val="00C42D65"/>
    <w:rsid w:val="00C42EA7"/>
    <w:rsid w:val="00C42EFA"/>
    <w:rsid w:val="00C42FF5"/>
    <w:rsid w:val="00C4315F"/>
    <w:rsid w:val="00C432B1"/>
    <w:rsid w:val="00C433C3"/>
    <w:rsid w:val="00C433FA"/>
    <w:rsid w:val="00C4351C"/>
    <w:rsid w:val="00C435AA"/>
    <w:rsid w:val="00C436B6"/>
    <w:rsid w:val="00C4395D"/>
    <w:rsid w:val="00C43ABD"/>
    <w:rsid w:val="00C43B08"/>
    <w:rsid w:val="00C43BAD"/>
    <w:rsid w:val="00C43BC6"/>
    <w:rsid w:val="00C43CD6"/>
    <w:rsid w:val="00C43D19"/>
    <w:rsid w:val="00C43D69"/>
    <w:rsid w:val="00C43DA1"/>
    <w:rsid w:val="00C43DB6"/>
    <w:rsid w:val="00C43F47"/>
    <w:rsid w:val="00C44006"/>
    <w:rsid w:val="00C44061"/>
    <w:rsid w:val="00C4406C"/>
    <w:rsid w:val="00C44095"/>
    <w:rsid w:val="00C44096"/>
    <w:rsid w:val="00C44099"/>
    <w:rsid w:val="00C44190"/>
    <w:rsid w:val="00C441D4"/>
    <w:rsid w:val="00C441E0"/>
    <w:rsid w:val="00C44213"/>
    <w:rsid w:val="00C44291"/>
    <w:rsid w:val="00C443F0"/>
    <w:rsid w:val="00C445DB"/>
    <w:rsid w:val="00C445EB"/>
    <w:rsid w:val="00C44677"/>
    <w:rsid w:val="00C446FC"/>
    <w:rsid w:val="00C4479C"/>
    <w:rsid w:val="00C44802"/>
    <w:rsid w:val="00C4482E"/>
    <w:rsid w:val="00C44883"/>
    <w:rsid w:val="00C448AC"/>
    <w:rsid w:val="00C448E9"/>
    <w:rsid w:val="00C44A27"/>
    <w:rsid w:val="00C44A6B"/>
    <w:rsid w:val="00C44AA3"/>
    <w:rsid w:val="00C44B29"/>
    <w:rsid w:val="00C44BFC"/>
    <w:rsid w:val="00C44C92"/>
    <w:rsid w:val="00C44EA2"/>
    <w:rsid w:val="00C44ED4"/>
    <w:rsid w:val="00C44F7A"/>
    <w:rsid w:val="00C44F94"/>
    <w:rsid w:val="00C44FA8"/>
    <w:rsid w:val="00C44FFB"/>
    <w:rsid w:val="00C450A5"/>
    <w:rsid w:val="00C450BD"/>
    <w:rsid w:val="00C450BF"/>
    <w:rsid w:val="00C451A2"/>
    <w:rsid w:val="00C4520D"/>
    <w:rsid w:val="00C45274"/>
    <w:rsid w:val="00C45284"/>
    <w:rsid w:val="00C4544A"/>
    <w:rsid w:val="00C45548"/>
    <w:rsid w:val="00C455F7"/>
    <w:rsid w:val="00C458B9"/>
    <w:rsid w:val="00C45A8C"/>
    <w:rsid w:val="00C45B44"/>
    <w:rsid w:val="00C45B72"/>
    <w:rsid w:val="00C45BB2"/>
    <w:rsid w:val="00C45C0B"/>
    <w:rsid w:val="00C45E41"/>
    <w:rsid w:val="00C45E78"/>
    <w:rsid w:val="00C45F79"/>
    <w:rsid w:val="00C46200"/>
    <w:rsid w:val="00C4622E"/>
    <w:rsid w:val="00C46366"/>
    <w:rsid w:val="00C463CE"/>
    <w:rsid w:val="00C463F8"/>
    <w:rsid w:val="00C46492"/>
    <w:rsid w:val="00C464FB"/>
    <w:rsid w:val="00C46635"/>
    <w:rsid w:val="00C46695"/>
    <w:rsid w:val="00C4669E"/>
    <w:rsid w:val="00C46798"/>
    <w:rsid w:val="00C467B3"/>
    <w:rsid w:val="00C468A3"/>
    <w:rsid w:val="00C46965"/>
    <w:rsid w:val="00C469A6"/>
    <w:rsid w:val="00C469B1"/>
    <w:rsid w:val="00C46AE8"/>
    <w:rsid w:val="00C46B13"/>
    <w:rsid w:val="00C46B1C"/>
    <w:rsid w:val="00C46B3C"/>
    <w:rsid w:val="00C46B99"/>
    <w:rsid w:val="00C46CE8"/>
    <w:rsid w:val="00C46CFF"/>
    <w:rsid w:val="00C46E75"/>
    <w:rsid w:val="00C46EAF"/>
    <w:rsid w:val="00C46F39"/>
    <w:rsid w:val="00C46FFF"/>
    <w:rsid w:val="00C47006"/>
    <w:rsid w:val="00C47055"/>
    <w:rsid w:val="00C47256"/>
    <w:rsid w:val="00C47392"/>
    <w:rsid w:val="00C473FE"/>
    <w:rsid w:val="00C4744F"/>
    <w:rsid w:val="00C47482"/>
    <w:rsid w:val="00C4755B"/>
    <w:rsid w:val="00C475C0"/>
    <w:rsid w:val="00C475F2"/>
    <w:rsid w:val="00C476FB"/>
    <w:rsid w:val="00C47760"/>
    <w:rsid w:val="00C47795"/>
    <w:rsid w:val="00C478DB"/>
    <w:rsid w:val="00C47916"/>
    <w:rsid w:val="00C47B4D"/>
    <w:rsid w:val="00C47B6A"/>
    <w:rsid w:val="00C47BBA"/>
    <w:rsid w:val="00C47CE3"/>
    <w:rsid w:val="00C47D09"/>
    <w:rsid w:val="00C47DC7"/>
    <w:rsid w:val="00C47DE4"/>
    <w:rsid w:val="00C47E0D"/>
    <w:rsid w:val="00C47F49"/>
    <w:rsid w:val="00C47F71"/>
    <w:rsid w:val="00C50285"/>
    <w:rsid w:val="00C5033D"/>
    <w:rsid w:val="00C50369"/>
    <w:rsid w:val="00C504AA"/>
    <w:rsid w:val="00C5058B"/>
    <w:rsid w:val="00C506ED"/>
    <w:rsid w:val="00C50733"/>
    <w:rsid w:val="00C507C7"/>
    <w:rsid w:val="00C5092B"/>
    <w:rsid w:val="00C5094C"/>
    <w:rsid w:val="00C50991"/>
    <w:rsid w:val="00C509CF"/>
    <w:rsid w:val="00C50A69"/>
    <w:rsid w:val="00C50BF8"/>
    <w:rsid w:val="00C50CBE"/>
    <w:rsid w:val="00C50E1C"/>
    <w:rsid w:val="00C50ECD"/>
    <w:rsid w:val="00C50F01"/>
    <w:rsid w:val="00C511E5"/>
    <w:rsid w:val="00C5120C"/>
    <w:rsid w:val="00C51540"/>
    <w:rsid w:val="00C51543"/>
    <w:rsid w:val="00C5154F"/>
    <w:rsid w:val="00C516D6"/>
    <w:rsid w:val="00C517E9"/>
    <w:rsid w:val="00C51804"/>
    <w:rsid w:val="00C51852"/>
    <w:rsid w:val="00C518FC"/>
    <w:rsid w:val="00C519CF"/>
    <w:rsid w:val="00C51B2C"/>
    <w:rsid w:val="00C51BBF"/>
    <w:rsid w:val="00C51BFE"/>
    <w:rsid w:val="00C51C36"/>
    <w:rsid w:val="00C51C3D"/>
    <w:rsid w:val="00C51C55"/>
    <w:rsid w:val="00C51D92"/>
    <w:rsid w:val="00C51EB4"/>
    <w:rsid w:val="00C51FD4"/>
    <w:rsid w:val="00C52071"/>
    <w:rsid w:val="00C52079"/>
    <w:rsid w:val="00C52468"/>
    <w:rsid w:val="00C524EA"/>
    <w:rsid w:val="00C52572"/>
    <w:rsid w:val="00C525DF"/>
    <w:rsid w:val="00C52655"/>
    <w:rsid w:val="00C52801"/>
    <w:rsid w:val="00C52892"/>
    <w:rsid w:val="00C529E2"/>
    <w:rsid w:val="00C529E9"/>
    <w:rsid w:val="00C52AAD"/>
    <w:rsid w:val="00C52B8B"/>
    <w:rsid w:val="00C52C6B"/>
    <w:rsid w:val="00C52CF0"/>
    <w:rsid w:val="00C52E02"/>
    <w:rsid w:val="00C52E3F"/>
    <w:rsid w:val="00C52EF1"/>
    <w:rsid w:val="00C52F5C"/>
    <w:rsid w:val="00C52FD8"/>
    <w:rsid w:val="00C5305F"/>
    <w:rsid w:val="00C53075"/>
    <w:rsid w:val="00C530AC"/>
    <w:rsid w:val="00C530BC"/>
    <w:rsid w:val="00C530D6"/>
    <w:rsid w:val="00C53154"/>
    <w:rsid w:val="00C532FF"/>
    <w:rsid w:val="00C53354"/>
    <w:rsid w:val="00C5339B"/>
    <w:rsid w:val="00C533B4"/>
    <w:rsid w:val="00C53485"/>
    <w:rsid w:val="00C534F7"/>
    <w:rsid w:val="00C538C3"/>
    <w:rsid w:val="00C5393C"/>
    <w:rsid w:val="00C53A03"/>
    <w:rsid w:val="00C53A11"/>
    <w:rsid w:val="00C53A2A"/>
    <w:rsid w:val="00C53B76"/>
    <w:rsid w:val="00C53BC3"/>
    <w:rsid w:val="00C53BD1"/>
    <w:rsid w:val="00C53DEF"/>
    <w:rsid w:val="00C53DF8"/>
    <w:rsid w:val="00C5409C"/>
    <w:rsid w:val="00C541A5"/>
    <w:rsid w:val="00C541DC"/>
    <w:rsid w:val="00C541E9"/>
    <w:rsid w:val="00C54458"/>
    <w:rsid w:val="00C54538"/>
    <w:rsid w:val="00C54560"/>
    <w:rsid w:val="00C54571"/>
    <w:rsid w:val="00C546E5"/>
    <w:rsid w:val="00C54794"/>
    <w:rsid w:val="00C54A6C"/>
    <w:rsid w:val="00C54C7B"/>
    <w:rsid w:val="00C54DD2"/>
    <w:rsid w:val="00C55079"/>
    <w:rsid w:val="00C550B4"/>
    <w:rsid w:val="00C55183"/>
    <w:rsid w:val="00C55310"/>
    <w:rsid w:val="00C553C1"/>
    <w:rsid w:val="00C55510"/>
    <w:rsid w:val="00C55567"/>
    <w:rsid w:val="00C55627"/>
    <w:rsid w:val="00C557C5"/>
    <w:rsid w:val="00C55914"/>
    <w:rsid w:val="00C55917"/>
    <w:rsid w:val="00C55930"/>
    <w:rsid w:val="00C55B31"/>
    <w:rsid w:val="00C55ECC"/>
    <w:rsid w:val="00C55ECE"/>
    <w:rsid w:val="00C55F04"/>
    <w:rsid w:val="00C55F46"/>
    <w:rsid w:val="00C56015"/>
    <w:rsid w:val="00C56115"/>
    <w:rsid w:val="00C56148"/>
    <w:rsid w:val="00C561EA"/>
    <w:rsid w:val="00C56228"/>
    <w:rsid w:val="00C5638D"/>
    <w:rsid w:val="00C563E0"/>
    <w:rsid w:val="00C563EB"/>
    <w:rsid w:val="00C56465"/>
    <w:rsid w:val="00C56472"/>
    <w:rsid w:val="00C56513"/>
    <w:rsid w:val="00C56542"/>
    <w:rsid w:val="00C5682A"/>
    <w:rsid w:val="00C56899"/>
    <w:rsid w:val="00C568BB"/>
    <w:rsid w:val="00C56BE6"/>
    <w:rsid w:val="00C56C9D"/>
    <w:rsid w:val="00C56D2F"/>
    <w:rsid w:val="00C56DBC"/>
    <w:rsid w:val="00C56DC3"/>
    <w:rsid w:val="00C56E26"/>
    <w:rsid w:val="00C56E46"/>
    <w:rsid w:val="00C56E92"/>
    <w:rsid w:val="00C56F8C"/>
    <w:rsid w:val="00C570F2"/>
    <w:rsid w:val="00C57188"/>
    <w:rsid w:val="00C5719D"/>
    <w:rsid w:val="00C5729C"/>
    <w:rsid w:val="00C5737E"/>
    <w:rsid w:val="00C573B4"/>
    <w:rsid w:val="00C574F6"/>
    <w:rsid w:val="00C57652"/>
    <w:rsid w:val="00C57744"/>
    <w:rsid w:val="00C57762"/>
    <w:rsid w:val="00C577A4"/>
    <w:rsid w:val="00C577AA"/>
    <w:rsid w:val="00C5782A"/>
    <w:rsid w:val="00C5786C"/>
    <w:rsid w:val="00C57879"/>
    <w:rsid w:val="00C57884"/>
    <w:rsid w:val="00C579C2"/>
    <w:rsid w:val="00C57ADF"/>
    <w:rsid w:val="00C57B7A"/>
    <w:rsid w:val="00C57C91"/>
    <w:rsid w:val="00C57CA1"/>
    <w:rsid w:val="00C57D3B"/>
    <w:rsid w:val="00C57EC4"/>
    <w:rsid w:val="00C600B7"/>
    <w:rsid w:val="00C600D2"/>
    <w:rsid w:val="00C600FC"/>
    <w:rsid w:val="00C6016A"/>
    <w:rsid w:val="00C6029A"/>
    <w:rsid w:val="00C602FF"/>
    <w:rsid w:val="00C60404"/>
    <w:rsid w:val="00C60456"/>
    <w:rsid w:val="00C604E9"/>
    <w:rsid w:val="00C60549"/>
    <w:rsid w:val="00C607C8"/>
    <w:rsid w:val="00C60800"/>
    <w:rsid w:val="00C60812"/>
    <w:rsid w:val="00C60875"/>
    <w:rsid w:val="00C608D9"/>
    <w:rsid w:val="00C60993"/>
    <w:rsid w:val="00C60CB3"/>
    <w:rsid w:val="00C60CBC"/>
    <w:rsid w:val="00C60D47"/>
    <w:rsid w:val="00C60D4E"/>
    <w:rsid w:val="00C60D6D"/>
    <w:rsid w:val="00C60E4E"/>
    <w:rsid w:val="00C60E6B"/>
    <w:rsid w:val="00C60F62"/>
    <w:rsid w:val="00C60FCB"/>
    <w:rsid w:val="00C60FFB"/>
    <w:rsid w:val="00C6102F"/>
    <w:rsid w:val="00C610CF"/>
    <w:rsid w:val="00C614DE"/>
    <w:rsid w:val="00C6167C"/>
    <w:rsid w:val="00C61747"/>
    <w:rsid w:val="00C617CC"/>
    <w:rsid w:val="00C617EB"/>
    <w:rsid w:val="00C61809"/>
    <w:rsid w:val="00C61840"/>
    <w:rsid w:val="00C6184F"/>
    <w:rsid w:val="00C619B1"/>
    <w:rsid w:val="00C619F7"/>
    <w:rsid w:val="00C61A61"/>
    <w:rsid w:val="00C61A80"/>
    <w:rsid w:val="00C61C1C"/>
    <w:rsid w:val="00C61CE9"/>
    <w:rsid w:val="00C61D85"/>
    <w:rsid w:val="00C61D8B"/>
    <w:rsid w:val="00C61D90"/>
    <w:rsid w:val="00C61EE8"/>
    <w:rsid w:val="00C6228F"/>
    <w:rsid w:val="00C622D7"/>
    <w:rsid w:val="00C622DE"/>
    <w:rsid w:val="00C6234A"/>
    <w:rsid w:val="00C62404"/>
    <w:rsid w:val="00C62413"/>
    <w:rsid w:val="00C62582"/>
    <w:rsid w:val="00C62603"/>
    <w:rsid w:val="00C62608"/>
    <w:rsid w:val="00C6264B"/>
    <w:rsid w:val="00C6270D"/>
    <w:rsid w:val="00C62746"/>
    <w:rsid w:val="00C6278A"/>
    <w:rsid w:val="00C627E1"/>
    <w:rsid w:val="00C62888"/>
    <w:rsid w:val="00C628D4"/>
    <w:rsid w:val="00C62965"/>
    <w:rsid w:val="00C62A50"/>
    <w:rsid w:val="00C62B6D"/>
    <w:rsid w:val="00C62DC3"/>
    <w:rsid w:val="00C62EF3"/>
    <w:rsid w:val="00C62F36"/>
    <w:rsid w:val="00C62FB2"/>
    <w:rsid w:val="00C6308A"/>
    <w:rsid w:val="00C630E8"/>
    <w:rsid w:val="00C630EB"/>
    <w:rsid w:val="00C6321E"/>
    <w:rsid w:val="00C6324E"/>
    <w:rsid w:val="00C6347F"/>
    <w:rsid w:val="00C63497"/>
    <w:rsid w:val="00C634AA"/>
    <w:rsid w:val="00C634C0"/>
    <w:rsid w:val="00C634C4"/>
    <w:rsid w:val="00C63540"/>
    <w:rsid w:val="00C635C9"/>
    <w:rsid w:val="00C635FF"/>
    <w:rsid w:val="00C63652"/>
    <w:rsid w:val="00C63739"/>
    <w:rsid w:val="00C6373B"/>
    <w:rsid w:val="00C637AD"/>
    <w:rsid w:val="00C63826"/>
    <w:rsid w:val="00C63837"/>
    <w:rsid w:val="00C63998"/>
    <w:rsid w:val="00C63ABB"/>
    <w:rsid w:val="00C63B89"/>
    <w:rsid w:val="00C63C83"/>
    <w:rsid w:val="00C63CD2"/>
    <w:rsid w:val="00C63D55"/>
    <w:rsid w:val="00C63E6A"/>
    <w:rsid w:val="00C63ED0"/>
    <w:rsid w:val="00C63F1A"/>
    <w:rsid w:val="00C64025"/>
    <w:rsid w:val="00C6402A"/>
    <w:rsid w:val="00C64108"/>
    <w:rsid w:val="00C6424A"/>
    <w:rsid w:val="00C64322"/>
    <w:rsid w:val="00C64385"/>
    <w:rsid w:val="00C64496"/>
    <w:rsid w:val="00C64664"/>
    <w:rsid w:val="00C6467F"/>
    <w:rsid w:val="00C64683"/>
    <w:rsid w:val="00C646F1"/>
    <w:rsid w:val="00C647B4"/>
    <w:rsid w:val="00C64830"/>
    <w:rsid w:val="00C648EB"/>
    <w:rsid w:val="00C648ED"/>
    <w:rsid w:val="00C64A4A"/>
    <w:rsid w:val="00C64A76"/>
    <w:rsid w:val="00C64AE4"/>
    <w:rsid w:val="00C64C2B"/>
    <w:rsid w:val="00C64D60"/>
    <w:rsid w:val="00C64E05"/>
    <w:rsid w:val="00C64EE5"/>
    <w:rsid w:val="00C64F08"/>
    <w:rsid w:val="00C64FBA"/>
    <w:rsid w:val="00C65132"/>
    <w:rsid w:val="00C6515C"/>
    <w:rsid w:val="00C651F1"/>
    <w:rsid w:val="00C65257"/>
    <w:rsid w:val="00C653F1"/>
    <w:rsid w:val="00C653F2"/>
    <w:rsid w:val="00C65467"/>
    <w:rsid w:val="00C654DA"/>
    <w:rsid w:val="00C6570B"/>
    <w:rsid w:val="00C65895"/>
    <w:rsid w:val="00C658DB"/>
    <w:rsid w:val="00C65B87"/>
    <w:rsid w:val="00C65C2A"/>
    <w:rsid w:val="00C65F24"/>
    <w:rsid w:val="00C66062"/>
    <w:rsid w:val="00C66091"/>
    <w:rsid w:val="00C660C8"/>
    <w:rsid w:val="00C6611D"/>
    <w:rsid w:val="00C6616F"/>
    <w:rsid w:val="00C66255"/>
    <w:rsid w:val="00C66263"/>
    <w:rsid w:val="00C662BF"/>
    <w:rsid w:val="00C662C3"/>
    <w:rsid w:val="00C66497"/>
    <w:rsid w:val="00C665A7"/>
    <w:rsid w:val="00C66683"/>
    <w:rsid w:val="00C6678D"/>
    <w:rsid w:val="00C66836"/>
    <w:rsid w:val="00C6697F"/>
    <w:rsid w:val="00C669E7"/>
    <w:rsid w:val="00C66ACB"/>
    <w:rsid w:val="00C66B22"/>
    <w:rsid w:val="00C66B56"/>
    <w:rsid w:val="00C66BED"/>
    <w:rsid w:val="00C66EE1"/>
    <w:rsid w:val="00C66EF6"/>
    <w:rsid w:val="00C66F09"/>
    <w:rsid w:val="00C66FA3"/>
    <w:rsid w:val="00C66FFA"/>
    <w:rsid w:val="00C670C8"/>
    <w:rsid w:val="00C670D8"/>
    <w:rsid w:val="00C6722C"/>
    <w:rsid w:val="00C67248"/>
    <w:rsid w:val="00C67267"/>
    <w:rsid w:val="00C673FA"/>
    <w:rsid w:val="00C675E4"/>
    <w:rsid w:val="00C67617"/>
    <w:rsid w:val="00C67660"/>
    <w:rsid w:val="00C67687"/>
    <w:rsid w:val="00C6768A"/>
    <w:rsid w:val="00C676BD"/>
    <w:rsid w:val="00C677AC"/>
    <w:rsid w:val="00C677DF"/>
    <w:rsid w:val="00C67811"/>
    <w:rsid w:val="00C678C6"/>
    <w:rsid w:val="00C67A0C"/>
    <w:rsid w:val="00C67A63"/>
    <w:rsid w:val="00C67AD1"/>
    <w:rsid w:val="00C67B84"/>
    <w:rsid w:val="00C67BE6"/>
    <w:rsid w:val="00C67CB3"/>
    <w:rsid w:val="00C67D7B"/>
    <w:rsid w:val="00C67E26"/>
    <w:rsid w:val="00C67F0C"/>
    <w:rsid w:val="00C70013"/>
    <w:rsid w:val="00C70075"/>
    <w:rsid w:val="00C7010E"/>
    <w:rsid w:val="00C7017D"/>
    <w:rsid w:val="00C7019B"/>
    <w:rsid w:val="00C701A3"/>
    <w:rsid w:val="00C7023F"/>
    <w:rsid w:val="00C7028A"/>
    <w:rsid w:val="00C702CC"/>
    <w:rsid w:val="00C7037A"/>
    <w:rsid w:val="00C704A3"/>
    <w:rsid w:val="00C70523"/>
    <w:rsid w:val="00C7053F"/>
    <w:rsid w:val="00C705A8"/>
    <w:rsid w:val="00C70662"/>
    <w:rsid w:val="00C7066A"/>
    <w:rsid w:val="00C706D8"/>
    <w:rsid w:val="00C7070F"/>
    <w:rsid w:val="00C7072C"/>
    <w:rsid w:val="00C70744"/>
    <w:rsid w:val="00C70816"/>
    <w:rsid w:val="00C708C3"/>
    <w:rsid w:val="00C708DB"/>
    <w:rsid w:val="00C7090B"/>
    <w:rsid w:val="00C70935"/>
    <w:rsid w:val="00C709AA"/>
    <w:rsid w:val="00C70A7C"/>
    <w:rsid w:val="00C70A94"/>
    <w:rsid w:val="00C70ABB"/>
    <w:rsid w:val="00C70B58"/>
    <w:rsid w:val="00C70B64"/>
    <w:rsid w:val="00C70C32"/>
    <w:rsid w:val="00C70C7A"/>
    <w:rsid w:val="00C70CC1"/>
    <w:rsid w:val="00C70D91"/>
    <w:rsid w:val="00C70EB2"/>
    <w:rsid w:val="00C70EE3"/>
    <w:rsid w:val="00C70F7A"/>
    <w:rsid w:val="00C712D0"/>
    <w:rsid w:val="00C71327"/>
    <w:rsid w:val="00C7137C"/>
    <w:rsid w:val="00C71480"/>
    <w:rsid w:val="00C715EC"/>
    <w:rsid w:val="00C71670"/>
    <w:rsid w:val="00C716CA"/>
    <w:rsid w:val="00C717D2"/>
    <w:rsid w:val="00C717DA"/>
    <w:rsid w:val="00C71859"/>
    <w:rsid w:val="00C71872"/>
    <w:rsid w:val="00C718DB"/>
    <w:rsid w:val="00C71AA1"/>
    <w:rsid w:val="00C71AF9"/>
    <w:rsid w:val="00C71B01"/>
    <w:rsid w:val="00C71CD9"/>
    <w:rsid w:val="00C71DC2"/>
    <w:rsid w:val="00C71E9B"/>
    <w:rsid w:val="00C71EF7"/>
    <w:rsid w:val="00C71F53"/>
    <w:rsid w:val="00C71FF6"/>
    <w:rsid w:val="00C72099"/>
    <w:rsid w:val="00C722D1"/>
    <w:rsid w:val="00C722E8"/>
    <w:rsid w:val="00C7258F"/>
    <w:rsid w:val="00C7272D"/>
    <w:rsid w:val="00C727CE"/>
    <w:rsid w:val="00C728E7"/>
    <w:rsid w:val="00C72929"/>
    <w:rsid w:val="00C7298F"/>
    <w:rsid w:val="00C729BA"/>
    <w:rsid w:val="00C72A45"/>
    <w:rsid w:val="00C72AA1"/>
    <w:rsid w:val="00C72B5F"/>
    <w:rsid w:val="00C72BA4"/>
    <w:rsid w:val="00C72BA6"/>
    <w:rsid w:val="00C72C80"/>
    <w:rsid w:val="00C72DDD"/>
    <w:rsid w:val="00C72E17"/>
    <w:rsid w:val="00C72F0F"/>
    <w:rsid w:val="00C72FC4"/>
    <w:rsid w:val="00C7308C"/>
    <w:rsid w:val="00C731F5"/>
    <w:rsid w:val="00C732AF"/>
    <w:rsid w:val="00C732CD"/>
    <w:rsid w:val="00C732E0"/>
    <w:rsid w:val="00C733EA"/>
    <w:rsid w:val="00C734FD"/>
    <w:rsid w:val="00C735D3"/>
    <w:rsid w:val="00C73605"/>
    <w:rsid w:val="00C736CE"/>
    <w:rsid w:val="00C7371F"/>
    <w:rsid w:val="00C73724"/>
    <w:rsid w:val="00C73743"/>
    <w:rsid w:val="00C737FF"/>
    <w:rsid w:val="00C7381E"/>
    <w:rsid w:val="00C73933"/>
    <w:rsid w:val="00C73977"/>
    <w:rsid w:val="00C739B8"/>
    <w:rsid w:val="00C73A9B"/>
    <w:rsid w:val="00C73AB4"/>
    <w:rsid w:val="00C73AE1"/>
    <w:rsid w:val="00C73AEA"/>
    <w:rsid w:val="00C73AFB"/>
    <w:rsid w:val="00C73C24"/>
    <w:rsid w:val="00C73C8B"/>
    <w:rsid w:val="00C73E3A"/>
    <w:rsid w:val="00C73F04"/>
    <w:rsid w:val="00C73FD7"/>
    <w:rsid w:val="00C740C1"/>
    <w:rsid w:val="00C740E3"/>
    <w:rsid w:val="00C7423A"/>
    <w:rsid w:val="00C742B1"/>
    <w:rsid w:val="00C7431D"/>
    <w:rsid w:val="00C74391"/>
    <w:rsid w:val="00C7442A"/>
    <w:rsid w:val="00C7451C"/>
    <w:rsid w:val="00C7454F"/>
    <w:rsid w:val="00C74672"/>
    <w:rsid w:val="00C74680"/>
    <w:rsid w:val="00C74703"/>
    <w:rsid w:val="00C74732"/>
    <w:rsid w:val="00C74741"/>
    <w:rsid w:val="00C74781"/>
    <w:rsid w:val="00C747D2"/>
    <w:rsid w:val="00C74845"/>
    <w:rsid w:val="00C74886"/>
    <w:rsid w:val="00C749A0"/>
    <w:rsid w:val="00C74A7F"/>
    <w:rsid w:val="00C74A88"/>
    <w:rsid w:val="00C74B66"/>
    <w:rsid w:val="00C74BE5"/>
    <w:rsid w:val="00C74C31"/>
    <w:rsid w:val="00C74D8F"/>
    <w:rsid w:val="00C74E76"/>
    <w:rsid w:val="00C74FDF"/>
    <w:rsid w:val="00C74FE3"/>
    <w:rsid w:val="00C74FE8"/>
    <w:rsid w:val="00C74FF8"/>
    <w:rsid w:val="00C75051"/>
    <w:rsid w:val="00C750AC"/>
    <w:rsid w:val="00C750D9"/>
    <w:rsid w:val="00C751B5"/>
    <w:rsid w:val="00C75237"/>
    <w:rsid w:val="00C754A1"/>
    <w:rsid w:val="00C7559E"/>
    <w:rsid w:val="00C7561F"/>
    <w:rsid w:val="00C7568E"/>
    <w:rsid w:val="00C756BD"/>
    <w:rsid w:val="00C75747"/>
    <w:rsid w:val="00C75768"/>
    <w:rsid w:val="00C757A0"/>
    <w:rsid w:val="00C7589F"/>
    <w:rsid w:val="00C759D2"/>
    <w:rsid w:val="00C75D0E"/>
    <w:rsid w:val="00C75D6E"/>
    <w:rsid w:val="00C75D6F"/>
    <w:rsid w:val="00C75E07"/>
    <w:rsid w:val="00C75E87"/>
    <w:rsid w:val="00C75EE9"/>
    <w:rsid w:val="00C75F44"/>
    <w:rsid w:val="00C75F53"/>
    <w:rsid w:val="00C75FAF"/>
    <w:rsid w:val="00C75FBD"/>
    <w:rsid w:val="00C75FFF"/>
    <w:rsid w:val="00C760CA"/>
    <w:rsid w:val="00C76136"/>
    <w:rsid w:val="00C761F7"/>
    <w:rsid w:val="00C76239"/>
    <w:rsid w:val="00C7638F"/>
    <w:rsid w:val="00C7639D"/>
    <w:rsid w:val="00C763C9"/>
    <w:rsid w:val="00C764D5"/>
    <w:rsid w:val="00C76523"/>
    <w:rsid w:val="00C76549"/>
    <w:rsid w:val="00C768F4"/>
    <w:rsid w:val="00C76C61"/>
    <w:rsid w:val="00C76D38"/>
    <w:rsid w:val="00C76FBD"/>
    <w:rsid w:val="00C76FDC"/>
    <w:rsid w:val="00C7704D"/>
    <w:rsid w:val="00C770BA"/>
    <w:rsid w:val="00C770DE"/>
    <w:rsid w:val="00C77196"/>
    <w:rsid w:val="00C771B3"/>
    <w:rsid w:val="00C771EE"/>
    <w:rsid w:val="00C772B0"/>
    <w:rsid w:val="00C773F2"/>
    <w:rsid w:val="00C7746C"/>
    <w:rsid w:val="00C779E8"/>
    <w:rsid w:val="00C77C6F"/>
    <w:rsid w:val="00C77C85"/>
    <w:rsid w:val="00C77D33"/>
    <w:rsid w:val="00C77DEF"/>
    <w:rsid w:val="00C77E2C"/>
    <w:rsid w:val="00C77F8D"/>
    <w:rsid w:val="00C8002C"/>
    <w:rsid w:val="00C800B4"/>
    <w:rsid w:val="00C800D6"/>
    <w:rsid w:val="00C800F5"/>
    <w:rsid w:val="00C8019A"/>
    <w:rsid w:val="00C8020E"/>
    <w:rsid w:val="00C8020F"/>
    <w:rsid w:val="00C80230"/>
    <w:rsid w:val="00C80285"/>
    <w:rsid w:val="00C80407"/>
    <w:rsid w:val="00C804B3"/>
    <w:rsid w:val="00C805C6"/>
    <w:rsid w:val="00C806AF"/>
    <w:rsid w:val="00C8074E"/>
    <w:rsid w:val="00C80782"/>
    <w:rsid w:val="00C807E1"/>
    <w:rsid w:val="00C80831"/>
    <w:rsid w:val="00C80879"/>
    <w:rsid w:val="00C8098D"/>
    <w:rsid w:val="00C80A75"/>
    <w:rsid w:val="00C80BE2"/>
    <w:rsid w:val="00C80C26"/>
    <w:rsid w:val="00C80E24"/>
    <w:rsid w:val="00C80E36"/>
    <w:rsid w:val="00C80EC0"/>
    <w:rsid w:val="00C80F80"/>
    <w:rsid w:val="00C80FD6"/>
    <w:rsid w:val="00C8132F"/>
    <w:rsid w:val="00C8135C"/>
    <w:rsid w:val="00C81415"/>
    <w:rsid w:val="00C8144D"/>
    <w:rsid w:val="00C8147C"/>
    <w:rsid w:val="00C8147D"/>
    <w:rsid w:val="00C81506"/>
    <w:rsid w:val="00C81652"/>
    <w:rsid w:val="00C817E0"/>
    <w:rsid w:val="00C817FD"/>
    <w:rsid w:val="00C81847"/>
    <w:rsid w:val="00C81870"/>
    <w:rsid w:val="00C818AA"/>
    <w:rsid w:val="00C81938"/>
    <w:rsid w:val="00C819DA"/>
    <w:rsid w:val="00C81B12"/>
    <w:rsid w:val="00C81CFD"/>
    <w:rsid w:val="00C81E1F"/>
    <w:rsid w:val="00C81E3C"/>
    <w:rsid w:val="00C81EA1"/>
    <w:rsid w:val="00C81EA7"/>
    <w:rsid w:val="00C81ED9"/>
    <w:rsid w:val="00C82056"/>
    <w:rsid w:val="00C820FE"/>
    <w:rsid w:val="00C82160"/>
    <w:rsid w:val="00C82271"/>
    <w:rsid w:val="00C8239F"/>
    <w:rsid w:val="00C825BC"/>
    <w:rsid w:val="00C82697"/>
    <w:rsid w:val="00C82799"/>
    <w:rsid w:val="00C82809"/>
    <w:rsid w:val="00C828E2"/>
    <w:rsid w:val="00C8296D"/>
    <w:rsid w:val="00C82B0A"/>
    <w:rsid w:val="00C82B25"/>
    <w:rsid w:val="00C82B7C"/>
    <w:rsid w:val="00C82BDF"/>
    <w:rsid w:val="00C82C90"/>
    <w:rsid w:val="00C82D20"/>
    <w:rsid w:val="00C82D72"/>
    <w:rsid w:val="00C82DD2"/>
    <w:rsid w:val="00C82DE6"/>
    <w:rsid w:val="00C83058"/>
    <w:rsid w:val="00C8307C"/>
    <w:rsid w:val="00C830D9"/>
    <w:rsid w:val="00C83140"/>
    <w:rsid w:val="00C83142"/>
    <w:rsid w:val="00C83188"/>
    <w:rsid w:val="00C83350"/>
    <w:rsid w:val="00C83393"/>
    <w:rsid w:val="00C833EE"/>
    <w:rsid w:val="00C83486"/>
    <w:rsid w:val="00C834B3"/>
    <w:rsid w:val="00C834E7"/>
    <w:rsid w:val="00C834F1"/>
    <w:rsid w:val="00C8355A"/>
    <w:rsid w:val="00C835E3"/>
    <w:rsid w:val="00C8381C"/>
    <w:rsid w:val="00C83870"/>
    <w:rsid w:val="00C8389C"/>
    <w:rsid w:val="00C83A3E"/>
    <w:rsid w:val="00C83BE8"/>
    <w:rsid w:val="00C83C9A"/>
    <w:rsid w:val="00C83D04"/>
    <w:rsid w:val="00C83D65"/>
    <w:rsid w:val="00C83F1E"/>
    <w:rsid w:val="00C83F86"/>
    <w:rsid w:val="00C83FE4"/>
    <w:rsid w:val="00C840A7"/>
    <w:rsid w:val="00C84181"/>
    <w:rsid w:val="00C84221"/>
    <w:rsid w:val="00C84282"/>
    <w:rsid w:val="00C842A3"/>
    <w:rsid w:val="00C842CF"/>
    <w:rsid w:val="00C8437E"/>
    <w:rsid w:val="00C84503"/>
    <w:rsid w:val="00C84538"/>
    <w:rsid w:val="00C8453B"/>
    <w:rsid w:val="00C846F2"/>
    <w:rsid w:val="00C847E1"/>
    <w:rsid w:val="00C84927"/>
    <w:rsid w:val="00C84C18"/>
    <w:rsid w:val="00C84C42"/>
    <w:rsid w:val="00C84D30"/>
    <w:rsid w:val="00C84E4E"/>
    <w:rsid w:val="00C84EE8"/>
    <w:rsid w:val="00C84F5F"/>
    <w:rsid w:val="00C84F93"/>
    <w:rsid w:val="00C84FF1"/>
    <w:rsid w:val="00C85048"/>
    <w:rsid w:val="00C850D9"/>
    <w:rsid w:val="00C8511A"/>
    <w:rsid w:val="00C85125"/>
    <w:rsid w:val="00C85145"/>
    <w:rsid w:val="00C851EB"/>
    <w:rsid w:val="00C852B3"/>
    <w:rsid w:val="00C8532E"/>
    <w:rsid w:val="00C8535A"/>
    <w:rsid w:val="00C85422"/>
    <w:rsid w:val="00C85469"/>
    <w:rsid w:val="00C85487"/>
    <w:rsid w:val="00C8549E"/>
    <w:rsid w:val="00C85590"/>
    <w:rsid w:val="00C85597"/>
    <w:rsid w:val="00C855C1"/>
    <w:rsid w:val="00C8562F"/>
    <w:rsid w:val="00C8565B"/>
    <w:rsid w:val="00C85714"/>
    <w:rsid w:val="00C857EF"/>
    <w:rsid w:val="00C858C7"/>
    <w:rsid w:val="00C85903"/>
    <w:rsid w:val="00C85996"/>
    <w:rsid w:val="00C85AEF"/>
    <w:rsid w:val="00C85BF4"/>
    <w:rsid w:val="00C85C62"/>
    <w:rsid w:val="00C85CBC"/>
    <w:rsid w:val="00C85CC9"/>
    <w:rsid w:val="00C85D39"/>
    <w:rsid w:val="00C85DB4"/>
    <w:rsid w:val="00C85E00"/>
    <w:rsid w:val="00C85E84"/>
    <w:rsid w:val="00C85F8A"/>
    <w:rsid w:val="00C85FD2"/>
    <w:rsid w:val="00C8600F"/>
    <w:rsid w:val="00C860A9"/>
    <w:rsid w:val="00C861A7"/>
    <w:rsid w:val="00C8620C"/>
    <w:rsid w:val="00C8635E"/>
    <w:rsid w:val="00C863EE"/>
    <w:rsid w:val="00C86401"/>
    <w:rsid w:val="00C86426"/>
    <w:rsid w:val="00C8644E"/>
    <w:rsid w:val="00C86557"/>
    <w:rsid w:val="00C865C5"/>
    <w:rsid w:val="00C865E3"/>
    <w:rsid w:val="00C86690"/>
    <w:rsid w:val="00C866E8"/>
    <w:rsid w:val="00C8672D"/>
    <w:rsid w:val="00C869CD"/>
    <w:rsid w:val="00C86A85"/>
    <w:rsid w:val="00C86C50"/>
    <w:rsid w:val="00C86D68"/>
    <w:rsid w:val="00C86E8A"/>
    <w:rsid w:val="00C86EE0"/>
    <w:rsid w:val="00C86EE9"/>
    <w:rsid w:val="00C86FAA"/>
    <w:rsid w:val="00C86FFA"/>
    <w:rsid w:val="00C87038"/>
    <w:rsid w:val="00C87074"/>
    <w:rsid w:val="00C87078"/>
    <w:rsid w:val="00C87109"/>
    <w:rsid w:val="00C87334"/>
    <w:rsid w:val="00C873BA"/>
    <w:rsid w:val="00C873E7"/>
    <w:rsid w:val="00C87492"/>
    <w:rsid w:val="00C874A9"/>
    <w:rsid w:val="00C875C1"/>
    <w:rsid w:val="00C875C6"/>
    <w:rsid w:val="00C8763E"/>
    <w:rsid w:val="00C878F4"/>
    <w:rsid w:val="00C879C1"/>
    <w:rsid w:val="00C87A07"/>
    <w:rsid w:val="00C87CC3"/>
    <w:rsid w:val="00C87D21"/>
    <w:rsid w:val="00C87E88"/>
    <w:rsid w:val="00C87F03"/>
    <w:rsid w:val="00C87F1D"/>
    <w:rsid w:val="00C90181"/>
    <w:rsid w:val="00C90213"/>
    <w:rsid w:val="00C90325"/>
    <w:rsid w:val="00C9035A"/>
    <w:rsid w:val="00C90436"/>
    <w:rsid w:val="00C9046D"/>
    <w:rsid w:val="00C904F6"/>
    <w:rsid w:val="00C906B1"/>
    <w:rsid w:val="00C906D9"/>
    <w:rsid w:val="00C90799"/>
    <w:rsid w:val="00C9085C"/>
    <w:rsid w:val="00C9094F"/>
    <w:rsid w:val="00C90C26"/>
    <w:rsid w:val="00C90CB1"/>
    <w:rsid w:val="00C90CF2"/>
    <w:rsid w:val="00C90D00"/>
    <w:rsid w:val="00C90D1E"/>
    <w:rsid w:val="00C90E13"/>
    <w:rsid w:val="00C90EB0"/>
    <w:rsid w:val="00C90F69"/>
    <w:rsid w:val="00C91003"/>
    <w:rsid w:val="00C910F9"/>
    <w:rsid w:val="00C910FE"/>
    <w:rsid w:val="00C911B1"/>
    <w:rsid w:val="00C912C7"/>
    <w:rsid w:val="00C913DF"/>
    <w:rsid w:val="00C913F1"/>
    <w:rsid w:val="00C91503"/>
    <w:rsid w:val="00C91578"/>
    <w:rsid w:val="00C9159C"/>
    <w:rsid w:val="00C91626"/>
    <w:rsid w:val="00C91687"/>
    <w:rsid w:val="00C91751"/>
    <w:rsid w:val="00C91752"/>
    <w:rsid w:val="00C917BA"/>
    <w:rsid w:val="00C919F9"/>
    <w:rsid w:val="00C91C26"/>
    <w:rsid w:val="00C91D09"/>
    <w:rsid w:val="00C91ECB"/>
    <w:rsid w:val="00C91F66"/>
    <w:rsid w:val="00C91F67"/>
    <w:rsid w:val="00C92022"/>
    <w:rsid w:val="00C92160"/>
    <w:rsid w:val="00C9218E"/>
    <w:rsid w:val="00C921B2"/>
    <w:rsid w:val="00C921C3"/>
    <w:rsid w:val="00C921DC"/>
    <w:rsid w:val="00C922AA"/>
    <w:rsid w:val="00C9241E"/>
    <w:rsid w:val="00C9246C"/>
    <w:rsid w:val="00C92595"/>
    <w:rsid w:val="00C926DF"/>
    <w:rsid w:val="00C926E3"/>
    <w:rsid w:val="00C92757"/>
    <w:rsid w:val="00C927B7"/>
    <w:rsid w:val="00C9288B"/>
    <w:rsid w:val="00C92907"/>
    <w:rsid w:val="00C92C02"/>
    <w:rsid w:val="00C92C4F"/>
    <w:rsid w:val="00C92E2A"/>
    <w:rsid w:val="00C92F22"/>
    <w:rsid w:val="00C92F44"/>
    <w:rsid w:val="00C92F8A"/>
    <w:rsid w:val="00C92FAE"/>
    <w:rsid w:val="00C93057"/>
    <w:rsid w:val="00C930DA"/>
    <w:rsid w:val="00C930E4"/>
    <w:rsid w:val="00C93125"/>
    <w:rsid w:val="00C93194"/>
    <w:rsid w:val="00C93271"/>
    <w:rsid w:val="00C932AB"/>
    <w:rsid w:val="00C9333F"/>
    <w:rsid w:val="00C93340"/>
    <w:rsid w:val="00C93346"/>
    <w:rsid w:val="00C934E4"/>
    <w:rsid w:val="00C9358F"/>
    <w:rsid w:val="00C9373A"/>
    <w:rsid w:val="00C93888"/>
    <w:rsid w:val="00C938C3"/>
    <w:rsid w:val="00C9398D"/>
    <w:rsid w:val="00C93AF1"/>
    <w:rsid w:val="00C93B2B"/>
    <w:rsid w:val="00C93BD1"/>
    <w:rsid w:val="00C93BFD"/>
    <w:rsid w:val="00C93C1D"/>
    <w:rsid w:val="00C93D3E"/>
    <w:rsid w:val="00C93D4D"/>
    <w:rsid w:val="00C93D95"/>
    <w:rsid w:val="00C93DE9"/>
    <w:rsid w:val="00C93EC6"/>
    <w:rsid w:val="00C93F42"/>
    <w:rsid w:val="00C94108"/>
    <w:rsid w:val="00C9416E"/>
    <w:rsid w:val="00C9425A"/>
    <w:rsid w:val="00C942F8"/>
    <w:rsid w:val="00C94366"/>
    <w:rsid w:val="00C9439A"/>
    <w:rsid w:val="00C9439C"/>
    <w:rsid w:val="00C9451C"/>
    <w:rsid w:val="00C94542"/>
    <w:rsid w:val="00C94608"/>
    <w:rsid w:val="00C947CE"/>
    <w:rsid w:val="00C9497E"/>
    <w:rsid w:val="00C94999"/>
    <w:rsid w:val="00C94A3D"/>
    <w:rsid w:val="00C94A41"/>
    <w:rsid w:val="00C94A9A"/>
    <w:rsid w:val="00C94ABD"/>
    <w:rsid w:val="00C94B14"/>
    <w:rsid w:val="00C94B1B"/>
    <w:rsid w:val="00C94C55"/>
    <w:rsid w:val="00C94D1A"/>
    <w:rsid w:val="00C9501C"/>
    <w:rsid w:val="00C9503B"/>
    <w:rsid w:val="00C950F2"/>
    <w:rsid w:val="00C9512E"/>
    <w:rsid w:val="00C951F7"/>
    <w:rsid w:val="00C95224"/>
    <w:rsid w:val="00C95284"/>
    <w:rsid w:val="00C952AB"/>
    <w:rsid w:val="00C952C0"/>
    <w:rsid w:val="00C952EF"/>
    <w:rsid w:val="00C95435"/>
    <w:rsid w:val="00C95438"/>
    <w:rsid w:val="00C954DD"/>
    <w:rsid w:val="00C95C48"/>
    <w:rsid w:val="00C95C63"/>
    <w:rsid w:val="00C95E15"/>
    <w:rsid w:val="00C95E42"/>
    <w:rsid w:val="00C95F03"/>
    <w:rsid w:val="00C95F3A"/>
    <w:rsid w:val="00C95F48"/>
    <w:rsid w:val="00C96075"/>
    <w:rsid w:val="00C960A5"/>
    <w:rsid w:val="00C961E9"/>
    <w:rsid w:val="00C961F5"/>
    <w:rsid w:val="00C961FD"/>
    <w:rsid w:val="00C96206"/>
    <w:rsid w:val="00C96212"/>
    <w:rsid w:val="00C96405"/>
    <w:rsid w:val="00C96422"/>
    <w:rsid w:val="00C96539"/>
    <w:rsid w:val="00C96759"/>
    <w:rsid w:val="00C968F1"/>
    <w:rsid w:val="00C9693A"/>
    <w:rsid w:val="00C96967"/>
    <w:rsid w:val="00C96988"/>
    <w:rsid w:val="00C96A80"/>
    <w:rsid w:val="00C96C71"/>
    <w:rsid w:val="00C96CBA"/>
    <w:rsid w:val="00C96D1A"/>
    <w:rsid w:val="00C96D5B"/>
    <w:rsid w:val="00C96ECF"/>
    <w:rsid w:val="00C97039"/>
    <w:rsid w:val="00C9707E"/>
    <w:rsid w:val="00C970F6"/>
    <w:rsid w:val="00C971D6"/>
    <w:rsid w:val="00C971EB"/>
    <w:rsid w:val="00C9720A"/>
    <w:rsid w:val="00C97223"/>
    <w:rsid w:val="00C97512"/>
    <w:rsid w:val="00C97569"/>
    <w:rsid w:val="00C97675"/>
    <w:rsid w:val="00C9770B"/>
    <w:rsid w:val="00C9785B"/>
    <w:rsid w:val="00C979B6"/>
    <w:rsid w:val="00C979B8"/>
    <w:rsid w:val="00C97A5F"/>
    <w:rsid w:val="00C97ACC"/>
    <w:rsid w:val="00C97AEE"/>
    <w:rsid w:val="00C97B80"/>
    <w:rsid w:val="00C97B8E"/>
    <w:rsid w:val="00C97C24"/>
    <w:rsid w:val="00C97C32"/>
    <w:rsid w:val="00C97D92"/>
    <w:rsid w:val="00CA01A7"/>
    <w:rsid w:val="00CA036B"/>
    <w:rsid w:val="00CA04AD"/>
    <w:rsid w:val="00CA05C9"/>
    <w:rsid w:val="00CA0605"/>
    <w:rsid w:val="00CA07D3"/>
    <w:rsid w:val="00CA0901"/>
    <w:rsid w:val="00CA097C"/>
    <w:rsid w:val="00CA09B1"/>
    <w:rsid w:val="00CA0A63"/>
    <w:rsid w:val="00CA0AE5"/>
    <w:rsid w:val="00CA0B8B"/>
    <w:rsid w:val="00CA0D05"/>
    <w:rsid w:val="00CA0E3D"/>
    <w:rsid w:val="00CA0EDE"/>
    <w:rsid w:val="00CA1140"/>
    <w:rsid w:val="00CA1172"/>
    <w:rsid w:val="00CA1195"/>
    <w:rsid w:val="00CA1277"/>
    <w:rsid w:val="00CA12F1"/>
    <w:rsid w:val="00CA1386"/>
    <w:rsid w:val="00CA1409"/>
    <w:rsid w:val="00CA15CF"/>
    <w:rsid w:val="00CA167F"/>
    <w:rsid w:val="00CA16A8"/>
    <w:rsid w:val="00CA176C"/>
    <w:rsid w:val="00CA181F"/>
    <w:rsid w:val="00CA1AB7"/>
    <w:rsid w:val="00CA1C4A"/>
    <w:rsid w:val="00CA1C4C"/>
    <w:rsid w:val="00CA1CE5"/>
    <w:rsid w:val="00CA1DE2"/>
    <w:rsid w:val="00CA1E71"/>
    <w:rsid w:val="00CA1EB5"/>
    <w:rsid w:val="00CA2093"/>
    <w:rsid w:val="00CA22C0"/>
    <w:rsid w:val="00CA2310"/>
    <w:rsid w:val="00CA2505"/>
    <w:rsid w:val="00CA2529"/>
    <w:rsid w:val="00CA25CD"/>
    <w:rsid w:val="00CA261A"/>
    <w:rsid w:val="00CA261E"/>
    <w:rsid w:val="00CA264F"/>
    <w:rsid w:val="00CA26AC"/>
    <w:rsid w:val="00CA27CA"/>
    <w:rsid w:val="00CA27D2"/>
    <w:rsid w:val="00CA2A17"/>
    <w:rsid w:val="00CA2B4D"/>
    <w:rsid w:val="00CA2B63"/>
    <w:rsid w:val="00CA2DB9"/>
    <w:rsid w:val="00CA2E03"/>
    <w:rsid w:val="00CA2E5D"/>
    <w:rsid w:val="00CA2EF1"/>
    <w:rsid w:val="00CA308F"/>
    <w:rsid w:val="00CA3144"/>
    <w:rsid w:val="00CA31D8"/>
    <w:rsid w:val="00CA3214"/>
    <w:rsid w:val="00CA3293"/>
    <w:rsid w:val="00CA33C4"/>
    <w:rsid w:val="00CA3498"/>
    <w:rsid w:val="00CA3633"/>
    <w:rsid w:val="00CA3641"/>
    <w:rsid w:val="00CA366A"/>
    <w:rsid w:val="00CA38A9"/>
    <w:rsid w:val="00CA3A16"/>
    <w:rsid w:val="00CA3B05"/>
    <w:rsid w:val="00CA3B09"/>
    <w:rsid w:val="00CA3B4B"/>
    <w:rsid w:val="00CA3B6C"/>
    <w:rsid w:val="00CA3BB3"/>
    <w:rsid w:val="00CA3CBD"/>
    <w:rsid w:val="00CA3CCD"/>
    <w:rsid w:val="00CA3EB0"/>
    <w:rsid w:val="00CA3EBA"/>
    <w:rsid w:val="00CA40CA"/>
    <w:rsid w:val="00CA42C8"/>
    <w:rsid w:val="00CA4375"/>
    <w:rsid w:val="00CA437B"/>
    <w:rsid w:val="00CA43A0"/>
    <w:rsid w:val="00CA44B0"/>
    <w:rsid w:val="00CA4512"/>
    <w:rsid w:val="00CA45B2"/>
    <w:rsid w:val="00CA45F2"/>
    <w:rsid w:val="00CA4738"/>
    <w:rsid w:val="00CA4863"/>
    <w:rsid w:val="00CA486C"/>
    <w:rsid w:val="00CA4916"/>
    <w:rsid w:val="00CA49B9"/>
    <w:rsid w:val="00CA49E1"/>
    <w:rsid w:val="00CA49F4"/>
    <w:rsid w:val="00CA4A84"/>
    <w:rsid w:val="00CA4B1D"/>
    <w:rsid w:val="00CA4BEC"/>
    <w:rsid w:val="00CA4CE0"/>
    <w:rsid w:val="00CA4DFB"/>
    <w:rsid w:val="00CA4E80"/>
    <w:rsid w:val="00CA5028"/>
    <w:rsid w:val="00CA50C9"/>
    <w:rsid w:val="00CA5127"/>
    <w:rsid w:val="00CA513C"/>
    <w:rsid w:val="00CA5256"/>
    <w:rsid w:val="00CA52B1"/>
    <w:rsid w:val="00CA52D9"/>
    <w:rsid w:val="00CA5366"/>
    <w:rsid w:val="00CA54B0"/>
    <w:rsid w:val="00CA550E"/>
    <w:rsid w:val="00CA5569"/>
    <w:rsid w:val="00CA5703"/>
    <w:rsid w:val="00CA57EF"/>
    <w:rsid w:val="00CA57F6"/>
    <w:rsid w:val="00CA581E"/>
    <w:rsid w:val="00CA5AB8"/>
    <w:rsid w:val="00CA5C14"/>
    <w:rsid w:val="00CA5CE1"/>
    <w:rsid w:val="00CA5E3C"/>
    <w:rsid w:val="00CA60F0"/>
    <w:rsid w:val="00CA61B6"/>
    <w:rsid w:val="00CA6282"/>
    <w:rsid w:val="00CA630D"/>
    <w:rsid w:val="00CA6390"/>
    <w:rsid w:val="00CA645C"/>
    <w:rsid w:val="00CA6488"/>
    <w:rsid w:val="00CA64C5"/>
    <w:rsid w:val="00CA6565"/>
    <w:rsid w:val="00CA6850"/>
    <w:rsid w:val="00CA68BF"/>
    <w:rsid w:val="00CA69FB"/>
    <w:rsid w:val="00CA6D26"/>
    <w:rsid w:val="00CA6D73"/>
    <w:rsid w:val="00CA6DD4"/>
    <w:rsid w:val="00CA6E18"/>
    <w:rsid w:val="00CA6F30"/>
    <w:rsid w:val="00CA6F56"/>
    <w:rsid w:val="00CA6F95"/>
    <w:rsid w:val="00CA72BF"/>
    <w:rsid w:val="00CA72FA"/>
    <w:rsid w:val="00CA736D"/>
    <w:rsid w:val="00CA7389"/>
    <w:rsid w:val="00CA73E8"/>
    <w:rsid w:val="00CA7483"/>
    <w:rsid w:val="00CA748A"/>
    <w:rsid w:val="00CA7574"/>
    <w:rsid w:val="00CA7589"/>
    <w:rsid w:val="00CA7745"/>
    <w:rsid w:val="00CA7872"/>
    <w:rsid w:val="00CA78A4"/>
    <w:rsid w:val="00CA78E0"/>
    <w:rsid w:val="00CA791F"/>
    <w:rsid w:val="00CA7A5C"/>
    <w:rsid w:val="00CA7A88"/>
    <w:rsid w:val="00CA7AB3"/>
    <w:rsid w:val="00CA7B01"/>
    <w:rsid w:val="00CA7B73"/>
    <w:rsid w:val="00CA7C52"/>
    <w:rsid w:val="00CA7CD7"/>
    <w:rsid w:val="00CA7CE8"/>
    <w:rsid w:val="00CA7E19"/>
    <w:rsid w:val="00CA7E2C"/>
    <w:rsid w:val="00CA7F80"/>
    <w:rsid w:val="00CA7FD7"/>
    <w:rsid w:val="00CB0009"/>
    <w:rsid w:val="00CB013B"/>
    <w:rsid w:val="00CB01B7"/>
    <w:rsid w:val="00CB0206"/>
    <w:rsid w:val="00CB02A6"/>
    <w:rsid w:val="00CB0371"/>
    <w:rsid w:val="00CB0580"/>
    <w:rsid w:val="00CB058B"/>
    <w:rsid w:val="00CB06E2"/>
    <w:rsid w:val="00CB06F0"/>
    <w:rsid w:val="00CB07D1"/>
    <w:rsid w:val="00CB08F2"/>
    <w:rsid w:val="00CB0938"/>
    <w:rsid w:val="00CB09AE"/>
    <w:rsid w:val="00CB0A16"/>
    <w:rsid w:val="00CB0A8E"/>
    <w:rsid w:val="00CB0AA5"/>
    <w:rsid w:val="00CB0CAF"/>
    <w:rsid w:val="00CB0CFB"/>
    <w:rsid w:val="00CB0D2C"/>
    <w:rsid w:val="00CB0D31"/>
    <w:rsid w:val="00CB0D47"/>
    <w:rsid w:val="00CB0EBB"/>
    <w:rsid w:val="00CB1064"/>
    <w:rsid w:val="00CB10BB"/>
    <w:rsid w:val="00CB1139"/>
    <w:rsid w:val="00CB116A"/>
    <w:rsid w:val="00CB119C"/>
    <w:rsid w:val="00CB1296"/>
    <w:rsid w:val="00CB12DA"/>
    <w:rsid w:val="00CB137A"/>
    <w:rsid w:val="00CB13B7"/>
    <w:rsid w:val="00CB13F9"/>
    <w:rsid w:val="00CB1489"/>
    <w:rsid w:val="00CB14A2"/>
    <w:rsid w:val="00CB14BF"/>
    <w:rsid w:val="00CB1548"/>
    <w:rsid w:val="00CB15ED"/>
    <w:rsid w:val="00CB17A3"/>
    <w:rsid w:val="00CB17B1"/>
    <w:rsid w:val="00CB17E6"/>
    <w:rsid w:val="00CB18D3"/>
    <w:rsid w:val="00CB19E0"/>
    <w:rsid w:val="00CB1A0B"/>
    <w:rsid w:val="00CB1B2F"/>
    <w:rsid w:val="00CB1C75"/>
    <w:rsid w:val="00CB1C96"/>
    <w:rsid w:val="00CB1D62"/>
    <w:rsid w:val="00CB1D8D"/>
    <w:rsid w:val="00CB1E43"/>
    <w:rsid w:val="00CB1EFC"/>
    <w:rsid w:val="00CB1FD8"/>
    <w:rsid w:val="00CB20AE"/>
    <w:rsid w:val="00CB20BC"/>
    <w:rsid w:val="00CB2102"/>
    <w:rsid w:val="00CB2273"/>
    <w:rsid w:val="00CB22D1"/>
    <w:rsid w:val="00CB22EB"/>
    <w:rsid w:val="00CB2384"/>
    <w:rsid w:val="00CB2439"/>
    <w:rsid w:val="00CB244B"/>
    <w:rsid w:val="00CB24CB"/>
    <w:rsid w:val="00CB254D"/>
    <w:rsid w:val="00CB2696"/>
    <w:rsid w:val="00CB26FE"/>
    <w:rsid w:val="00CB2863"/>
    <w:rsid w:val="00CB2ADB"/>
    <w:rsid w:val="00CB2B22"/>
    <w:rsid w:val="00CB2BAA"/>
    <w:rsid w:val="00CB2BF5"/>
    <w:rsid w:val="00CB2C06"/>
    <w:rsid w:val="00CB2C1D"/>
    <w:rsid w:val="00CB2D18"/>
    <w:rsid w:val="00CB2D44"/>
    <w:rsid w:val="00CB2D5F"/>
    <w:rsid w:val="00CB2E76"/>
    <w:rsid w:val="00CB2E99"/>
    <w:rsid w:val="00CB2ECC"/>
    <w:rsid w:val="00CB2F1D"/>
    <w:rsid w:val="00CB2F93"/>
    <w:rsid w:val="00CB2FD2"/>
    <w:rsid w:val="00CB305A"/>
    <w:rsid w:val="00CB3168"/>
    <w:rsid w:val="00CB322C"/>
    <w:rsid w:val="00CB3319"/>
    <w:rsid w:val="00CB35E1"/>
    <w:rsid w:val="00CB3702"/>
    <w:rsid w:val="00CB3706"/>
    <w:rsid w:val="00CB37BD"/>
    <w:rsid w:val="00CB37C9"/>
    <w:rsid w:val="00CB38BD"/>
    <w:rsid w:val="00CB3A02"/>
    <w:rsid w:val="00CB3A80"/>
    <w:rsid w:val="00CB3B10"/>
    <w:rsid w:val="00CB3B22"/>
    <w:rsid w:val="00CB3B44"/>
    <w:rsid w:val="00CB3CF7"/>
    <w:rsid w:val="00CB4004"/>
    <w:rsid w:val="00CB407C"/>
    <w:rsid w:val="00CB4091"/>
    <w:rsid w:val="00CB4230"/>
    <w:rsid w:val="00CB429F"/>
    <w:rsid w:val="00CB43BF"/>
    <w:rsid w:val="00CB4435"/>
    <w:rsid w:val="00CB4571"/>
    <w:rsid w:val="00CB4648"/>
    <w:rsid w:val="00CB47B2"/>
    <w:rsid w:val="00CB48FD"/>
    <w:rsid w:val="00CB49FE"/>
    <w:rsid w:val="00CB4B62"/>
    <w:rsid w:val="00CB4B90"/>
    <w:rsid w:val="00CB4CC6"/>
    <w:rsid w:val="00CB4DBE"/>
    <w:rsid w:val="00CB4E4C"/>
    <w:rsid w:val="00CB4F61"/>
    <w:rsid w:val="00CB5005"/>
    <w:rsid w:val="00CB5032"/>
    <w:rsid w:val="00CB5383"/>
    <w:rsid w:val="00CB538F"/>
    <w:rsid w:val="00CB5498"/>
    <w:rsid w:val="00CB54A1"/>
    <w:rsid w:val="00CB5525"/>
    <w:rsid w:val="00CB5548"/>
    <w:rsid w:val="00CB55D4"/>
    <w:rsid w:val="00CB5682"/>
    <w:rsid w:val="00CB568F"/>
    <w:rsid w:val="00CB57D9"/>
    <w:rsid w:val="00CB580F"/>
    <w:rsid w:val="00CB586B"/>
    <w:rsid w:val="00CB58BF"/>
    <w:rsid w:val="00CB59A1"/>
    <w:rsid w:val="00CB5AEC"/>
    <w:rsid w:val="00CB5B2A"/>
    <w:rsid w:val="00CB5BED"/>
    <w:rsid w:val="00CB5CF0"/>
    <w:rsid w:val="00CB5D32"/>
    <w:rsid w:val="00CB5E40"/>
    <w:rsid w:val="00CB5F64"/>
    <w:rsid w:val="00CB607B"/>
    <w:rsid w:val="00CB6296"/>
    <w:rsid w:val="00CB62C9"/>
    <w:rsid w:val="00CB6315"/>
    <w:rsid w:val="00CB67CE"/>
    <w:rsid w:val="00CB68BD"/>
    <w:rsid w:val="00CB68FC"/>
    <w:rsid w:val="00CB6915"/>
    <w:rsid w:val="00CB692A"/>
    <w:rsid w:val="00CB696F"/>
    <w:rsid w:val="00CB698F"/>
    <w:rsid w:val="00CB6A57"/>
    <w:rsid w:val="00CB6B2E"/>
    <w:rsid w:val="00CB6B63"/>
    <w:rsid w:val="00CB6B78"/>
    <w:rsid w:val="00CB6BCA"/>
    <w:rsid w:val="00CB6C06"/>
    <w:rsid w:val="00CB6C38"/>
    <w:rsid w:val="00CB6C66"/>
    <w:rsid w:val="00CB6C84"/>
    <w:rsid w:val="00CB6D49"/>
    <w:rsid w:val="00CB6D5F"/>
    <w:rsid w:val="00CB6DDA"/>
    <w:rsid w:val="00CB6EEE"/>
    <w:rsid w:val="00CB6F6D"/>
    <w:rsid w:val="00CB70FD"/>
    <w:rsid w:val="00CB718B"/>
    <w:rsid w:val="00CB7194"/>
    <w:rsid w:val="00CB7317"/>
    <w:rsid w:val="00CB747F"/>
    <w:rsid w:val="00CB7487"/>
    <w:rsid w:val="00CB764A"/>
    <w:rsid w:val="00CB77A3"/>
    <w:rsid w:val="00CB787D"/>
    <w:rsid w:val="00CB78A2"/>
    <w:rsid w:val="00CB78E6"/>
    <w:rsid w:val="00CB794D"/>
    <w:rsid w:val="00CB7AEF"/>
    <w:rsid w:val="00CB7B63"/>
    <w:rsid w:val="00CB7B7F"/>
    <w:rsid w:val="00CB7BA4"/>
    <w:rsid w:val="00CB7BF3"/>
    <w:rsid w:val="00CB7D30"/>
    <w:rsid w:val="00CB7D9B"/>
    <w:rsid w:val="00CB7DE9"/>
    <w:rsid w:val="00CB7ECD"/>
    <w:rsid w:val="00CB7FA6"/>
    <w:rsid w:val="00CC007A"/>
    <w:rsid w:val="00CC0089"/>
    <w:rsid w:val="00CC00A4"/>
    <w:rsid w:val="00CC0298"/>
    <w:rsid w:val="00CC032B"/>
    <w:rsid w:val="00CC037D"/>
    <w:rsid w:val="00CC0396"/>
    <w:rsid w:val="00CC0517"/>
    <w:rsid w:val="00CC058D"/>
    <w:rsid w:val="00CC061E"/>
    <w:rsid w:val="00CC0638"/>
    <w:rsid w:val="00CC0825"/>
    <w:rsid w:val="00CC0AEA"/>
    <w:rsid w:val="00CC0B1D"/>
    <w:rsid w:val="00CC0B6A"/>
    <w:rsid w:val="00CC0B72"/>
    <w:rsid w:val="00CC0B80"/>
    <w:rsid w:val="00CC0D4B"/>
    <w:rsid w:val="00CC0E7C"/>
    <w:rsid w:val="00CC0F9F"/>
    <w:rsid w:val="00CC0FCF"/>
    <w:rsid w:val="00CC0FF1"/>
    <w:rsid w:val="00CC1022"/>
    <w:rsid w:val="00CC109D"/>
    <w:rsid w:val="00CC1107"/>
    <w:rsid w:val="00CC1237"/>
    <w:rsid w:val="00CC12BB"/>
    <w:rsid w:val="00CC12BC"/>
    <w:rsid w:val="00CC14F5"/>
    <w:rsid w:val="00CC1530"/>
    <w:rsid w:val="00CC15A7"/>
    <w:rsid w:val="00CC168C"/>
    <w:rsid w:val="00CC16E1"/>
    <w:rsid w:val="00CC17EA"/>
    <w:rsid w:val="00CC17FD"/>
    <w:rsid w:val="00CC1804"/>
    <w:rsid w:val="00CC18AD"/>
    <w:rsid w:val="00CC1A84"/>
    <w:rsid w:val="00CC1BF8"/>
    <w:rsid w:val="00CC1CB7"/>
    <w:rsid w:val="00CC1CBF"/>
    <w:rsid w:val="00CC1DAE"/>
    <w:rsid w:val="00CC1DCB"/>
    <w:rsid w:val="00CC1EC9"/>
    <w:rsid w:val="00CC1F6E"/>
    <w:rsid w:val="00CC1FDD"/>
    <w:rsid w:val="00CC2025"/>
    <w:rsid w:val="00CC2143"/>
    <w:rsid w:val="00CC2156"/>
    <w:rsid w:val="00CC2298"/>
    <w:rsid w:val="00CC22DD"/>
    <w:rsid w:val="00CC22EA"/>
    <w:rsid w:val="00CC2345"/>
    <w:rsid w:val="00CC2606"/>
    <w:rsid w:val="00CC2626"/>
    <w:rsid w:val="00CC263C"/>
    <w:rsid w:val="00CC2655"/>
    <w:rsid w:val="00CC26CD"/>
    <w:rsid w:val="00CC2705"/>
    <w:rsid w:val="00CC27B8"/>
    <w:rsid w:val="00CC27BB"/>
    <w:rsid w:val="00CC28AD"/>
    <w:rsid w:val="00CC2921"/>
    <w:rsid w:val="00CC295E"/>
    <w:rsid w:val="00CC2999"/>
    <w:rsid w:val="00CC2A43"/>
    <w:rsid w:val="00CC2ACC"/>
    <w:rsid w:val="00CC2BC6"/>
    <w:rsid w:val="00CC2CCA"/>
    <w:rsid w:val="00CC2CF9"/>
    <w:rsid w:val="00CC2DB0"/>
    <w:rsid w:val="00CC2E91"/>
    <w:rsid w:val="00CC2F94"/>
    <w:rsid w:val="00CC30B3"/>
    <w:rsid w:val="00CC30C8"/>
    <w:rsid w:val="00CC3233"/>
    <w:rsid w:val="00CC332C"/>
    <w:rsid w:val="00CC333A"/>
    <w:rsid w:val="00CC3374"/>
    <w:rsid w:val="00CC33D7"/>
    <w:rsid w:val="00CC3448"/>
    <w:rsid w:val="00CC34D4"/>
    <w:rsid w:val="00CC34EB"/>
    <w:rsid w:val="00CC3552"/>
    <w:rsid w:val="00CC3579"/>
    <w:rsid w:val="00CC3628"/>
    <w:rsid w:val="00CC36FD"/>
    <w:rsid w:val="00CC370A"/>
    <w:rsid w:val="00CC37C9"/>
    <w:rsid w:val="00CC38F8"/>
    <w:rsid w:val="00CC39E6"/>
    <w:rsid w:val="00CC3A11"/>
    <w:rsid w:val="00CC3A83"/>
    <w:rsid w:val="00CC3ACB"/>
    <w:rsid w:val="00CC3B0D"/>
    <w:rsid w:val="00CC3B8D"/>
    <w:rsid w:val="00CC3BF3"/>
    <w:rsid w:val="00CC3C54"/>
    <w:rsid w:val="00CC3C64"/>
    <w:rsid w:val="00CC3CCE"/>
    <w:rsid w:val="00CC3D04"/>
    <w:rsid w:val="00CC3EA3"/>
    <w:rsid w:val="00CC4039"/>
    <w:rsid w:val="00CC41BE"/>
    <w:rsid w:val="00CC42CB"/>
    <w:rsid w:val="00CC433E"/>
    <w:rsid w:val="00CC4474"/>
    <w:rsid w:val="00CC4476"/>
    <w:rsid w:val="00CC455D"/>
    <w:rsid w:val="00CC45B2"/>
    <w:rsid w:val="00CC45E5"/>
    <w:rsid w:val="00CC4792"/>
    <w:rsid w:val="00CC47B0"/>
    <w:rsid w:val="00CC4A5F"/>
    <w:rsid w:val="00CC4ABE"/>
    <w:rsid w:val="00CC4B9E"/>
    <w:rsid w:val="00CC4C1F"/>
    <w:rsid w:val="00CC4F40"/>
    <w:rsid w:val="00CC50C5"/>
    <w:rsid w:val="00CC5144"/>
    <w:rsid w:val="00CC515A"/>
    <w:rsid w:val="00CC519F"/>
    <w:rsid w:val="00CC51D2"/>
    <w:rsid w:val="00CC5284"/>
    <w:rsid w:val="00CC53AA"/>
    <w:rsid w:val="00CC544D"/>
    <w:rsid w:val="00CC54CF"/>
    <w:rsid w:val="00CC54F0"/>
    <w:rsid w:val="00CC5909"/>
    <w:rsid w:val="00CC5923"/>
    <w:rsid w:val="00CC59B2"/>
    <w:rsid w:val="00CC59D6"/>
    <w:rsid w:val="00CC59F4"/>
    <w:rsid w:val="00CC5A3A"/>
    <w:rsid w:val="00CC5CA3"/>
    <w:rsid w:val="00CC5D06"/>
    <w:rsid w:val="00CC5D37"/>
    <w:rsid w:val="00CC5E23"/>
    <w:rsid w:val="00CC5EF5"/>
    <w:rsid w:val="00CC5F57"/>
    <w:rsid w:val="00CC5FE2"/>
    <w:rsid w:val="00CC603A"/>
    <w:rsid w:val="00CC606C"/>
    <w:rsid w:val="00CC61B3"/>
    <w:rsid w:val="00CC626C"/>
    <w:rsid w:val="00CC62BC"/>
    <w:rsid w:val="00CC6412"/>
    <w:rsid w:val="00CC64B3"/>
    <w:rsid w:val="00CC65EF"/>
    <w:rsid w:val="00CC6659"/>
    <w:rsid w:val="00CC66F1"/>
    <w:rsid w:val="00CC6787"/>
    <w:rsid w:val="00CC68A3"/>
    <w:rsid w:val="00CC6A31"/>
    <w:rsid w:val="00CC6A55"/>
    <w:rsid w:val="00CC6BDB"/>
    <w:rsid w:val="00CC6D54"/>
    <w:rsid w:val="00CC6D9F"/>
    <w:rsid w:val="00CC6DB7"/>
    <w:rsid w:val="00CC6E38"/>
    <w:rsid w:val="00CC6FAF"/>
    <w:rsid w:val="00CC70D5"/>
    <w:rsid w:val="00CC70E3"/>
    <w:rsid w:val="00CC71C1"/>
    <w:rsid w:val="00CC74FC"/>
    <w:rsid w:val="00CC7601"/>
    <w:rsid w:val="00CC7643"/>
    <w:rsid w:val="00CC7660"/>
    <w:rsid w:val="00CC76DC"/>
    <w:rsid w:val="00CC772B"/>
    <w:rsid w:val="00CC776A"/>
    <w:rsid w:val="00CC7850"/>
    <w:rsid w:val="00CC78B4"/>
    <w:rsid w:val="00CC78C2"/>
    <w:rsid w:val="00CC79E8"/>
    <w:rsid w:val="00CC7C2F"/>
    <w:rsid w:val="00CC7CD9"/>
    <w:rsid w:val="00CC7ED8"/>
    <w:rsid w:val="00CC7F3A"/>
    <w:rsid w:val="00CC7F5D"/>
    <w:rsid w:val="00CC7F61"/>
    <w:rsid w:val="00CC7F72"/>
    <w:rsid w:val="00CD0086"/>
    <w:rsid w:val="00CD0296"/>
    <w:rsid w:val="00CD033C"/>
    <w:rsid w:val="00CD0391"/>
    <w:rsid w:val="00CD03F7"/>
    <w:rsid w:val="00CD04A0"/>
    <w:rsid w:val="00CD06B2"/>
    <w:rsid w:val="00CD06C3"/>
    <w:rsid w:val="00CD0787"/>
    <w:rsid w:val="00CD083C"/>
    <w:rsid w:val="00CD08EF"/>
    <w:rsid w:val="00CD0A64"/>
    <w:rsid w:val="00CD0AAA"/>
    <w:rsid w:val="00CD0B1C"/>
    <w:rsid w:val="00CD0E24"/>
    <w:rsid w:val="00CD0F10"/>
    <w:rsid w:val="00CD0F69"/>
    <w:rsid w:val="00CD0F79"/>
    <w:rsid w:val="00CD0FEA"/>
    <w:rsid w:val="00CD1002"/>
    <w:rsid w:val="00CD129E"/>
    <w:rsid w:val="00CD12A3"/>
    <w:rsid w:val="00CD12AB"/>
    <w:rsid w:val="00CD1360"/>
    <w:rsid w:val="00CD13ED"/>
    <w:rsid w:val="00CD151C"/>
    <w:rsid w:val="00CD15D4"/>
    <w:rsid w:val="00CD15F9"/>
    <w:rsid w:val="00CD166B"/>
    <w:rsid w:val="00CD16AF"/>
    <w:rsid w:val="00CD17EF"/>
    <w:rsid w:val="00CD1988"/>
    <w:rsid w:val="00CD19B3"/>
    <w:rsid w:val="00CD1D2E"/>
    <w:rsid w:val="00CD1D5D"/>
    <w:rsid w:val="00CD1D92"/>
    <w:rsid w:val="00CD1EB4"/>
    <w:rsid w:val="00CD1F52"/>
    <w:rsid w:val="00CD1FFF"/>
    <w:rsid w:val="00CD2303"/>
    <w:rsid w:val="00CD2399"/>
    <w:rsid w:val="00CD23E9"/>
    <w:rsid w:val="00CD24CA"/>
    <w:rsid w:val="00CD25AB"/>
    <w:rsid w:val="00CD264C"/>
    <w:rsid w:val="00CD268C"/>
    <w:rsid w:val="00CD2798"/>
    <w:rsid w:val="00CD27A8"/>
    <w:rsid w:val="00CD284F"/>
    <w:rsid w:val="00CD2869"/>
    <w:rsid w:val="00CD2A7D"/>
    <w:rsid w:val="00CD2C24"/>
    <w:rsid w:val="00CD2C51"/>
    <w:rsid w:val="00CD2F03"/>
    <w:rsid w:val="00CD2F1E"/>
    <w:rsid w:val="00CD3013"/>
    <w:rsid w:val="00CD3041"/>
    <w:rsid w:val="00CD3188"/>
    <w:rsid w:val="00CD326D"/>
    <w:rsid w:val="00CD328F"/>
    <w:rsid w:val="00CD32D1"/>
    <w:rsid w:val="00CD332F"/>
    <w:rsid w:val="00CD3404"/>
    <w:rsid w:val="00CD3442"/>
    <w:rsid w:val="00CD34A0"/>
    <w:rsid w:val="00CD34F5"/>
    <w:rsid w:val="00CD3540"/>
    <w:rsid w:val="00CD3552"/>
    <w:rsid w:val="00CD36A0"/>
    <w:rsid w:val="00CD36E6"/>
    <w:rsid w:val="00CD3719"/>
    <w:rsid w:val="00CD3760"/>
    <w:rsid w:val="00CD37BD"/>
    <w:rsid w:val="00CD37DB"/>
    <w:rsid w:val="00CD3A73"/>
    <w:rsid w:val="00CD3B88"/>
    <w:rsid w:val="00CD3C1C"/>
    <w:rsid w:val="00CD3D19"/>
    <w:rsid w:val="00CD3E0E"/>
    <w:rsid w:val="00CD3E12"/>
    <w:rsid w:val="00CD3EB3"/>
    <w:rsid w:val="00CD3ED3"/>
    <w:rsid w:val="00CD3F89"/>
    <w:rsid w:val="00CD411F"/>
    <w:rsid w:val="00CD42D5"/>
    <w:rsid w:val="00CD435F"/>
    <w:rsid w:val="00CD4415"/>
    <w:rsid w:val="00CD44AD"/>
    <w:rsid w:val="00CD4543"/>
    <w:rsid w:val="00CD4577"/>
    <w:rsid w:val="00CD4655"/>
    <w:rsid w:val="00CD46EF"/>
    <w:rsid w:val="00CD477B"/>
    <w:rsid w:val="00CD4B75"/>
    <w:rsid w:val="00CD4C28"/>
    <w:rsid w:val="00CD4CAB"/>
    <w:rsid w:val="00CD4F50"/>
    <w:rsid w:val="00CD4FC4"/>
    <w:rsid w:val="00CD5029"/>
    <w:rsid w:val="00CD50B7"/>
    <w:rsid w:val="00CD511C"/>
    <w:rsid w:val="00CD5122"/>
    <w:rsid w:val="00CD54EA"/>
    <w:rsid w:val="00CD552D"/>
    <w:rsid w:val="00CD554B"/>
    <w:rsid w:val="00CD556D"/>
    <w:rsid w:val="00CD577E"/>
    <w:rsid w:val="00CD597B"/>
    <w:rsid w:val="00CD5A06"/>
    <w:rsid w:val="00CD5B47"/>
    <w:rsid w:val="00CD5CC7"/>
    <w:rsid w:val="00CD5CD6"/>
    <w:rsid w:val="00CD5CDF"/>
    <w:rsid w:val="00CD5E57"/>
    <w:rsid w:val="00CD5EF1"/>
    <w:rsid w:val="00CD614D"/>
    <w:rsid w:val="00CD61B5"/>
    <w:rsid w:val="00CD6245"/>
    <w:rsid w:val="00CD628E"/>
    <w:rsid w:val="00CD62C0"/>
    <w:rsid w:val="00CD632B"/>
    <w:rsid w:val="00CD6338"/>
    <w:rsid w:val="00CD637C"/>
    <w:rsid w:val="00CD646E"/>
    <w:rsid w:val="00CD66B2"/>
    <w:rsid w:val="00CD66BC"/>
    <w:rsid w:val="00CD677D"/>
    <w:rsid w:val="00CD680F"/>
    <w:rsid w:val="00CD6841"/>
    <w:rsid w:val="00CD6842"/>
    <w:rsid w:val="00CD685A"/>
    <w:rsid w:val="00CD687C"/>
    <w:rsid w:val="00CD6880"/>
    <w:rsid w:val="00CD697E"/>
    <w:rsid w:val="00CD6A59"/>
    <w:rsid w:val="00CD6B01"/>
    <w:rsid w:val="00CD6C13"/>
    <w:rsid w:val="00CD6C76"/>
    <w:rsid w:val="00CD6E45"/>
    <w:rsid w:val="00CD6E75"/>
    <w:rsid w:val="00CD6F7E"/>
    <w:rsid w:val="00CD704A"/>
    <w:rsid w:val="00CD71FF"/>
    <w:rsid w:val="00CD7421"/>
    <w:rsid w:val="00CD75B2"/>
    <w:rsid w:val="00CD7625"/>
    <w:rsid w:val="00CD7645"/>
    <w:rsid w:val="00CD76B5"/>
    <w:rsid w:val="00CD7779"/>
    <w:rsid w:val="00CD77B7"/>
    <w:rsid w:val="00CD79B2"/>
    <w:rsid w:val="00CD79DA"/>
    <w:rsid w:val="00CD7AA8"/>
    <w:rsid w:val="00CD7AE1"/>
    <w:rsid w:val="00CD7C72"/>
    <w:rsid w:val="00CD7C91"/>
    <w:rsid w:val="00CD7C93"/>
    <w:rsid w:val="00CD7D0B"/>
    <w:rsid w:val="00CD7D33"/>
    <w:rsid w:val="00CD7D4F"/>
    <w:rsid w:val="00CD7D60"/>
    <w:rsid w:val="00CD7DEB"/>
    <w:rsid w:val="00CD7E01"/>
    <w:rsid w:val="00CD7F82"/>
    <w:rsid w:val="00CD7FD4"/>
    <w:rsid w:val="00CE007C"/>
    <w:rsid w:val="00CE01B0"/>
    <w:rsid w:val="00CE01CC"/>
    <w:rsid w:val="00CE031A"/>
    <w:rsid w:val="00CE0419"/>
    <w:rsid w:val="00CE04F0"/>
    <w:rsid w:val="00CE0507"/>
    <w:rsid w:val="00CE06A5"/>
    <w:rsid w:val="00CE078F"/>
    <w:rsid w:val="00CE07EC"/>
    <w:rsid w:val="00CE080E"/>
    <w:rsid w:val="00CE0852"/>
    <w:rsid w:val="00CE08E9"/>
    <w:rsid w:val="00CE08F6"/>
    <w:rsid w:val="00CE0931"/>
    <w:rsid w:val="00CE0BC2"/>
    <w:rsid w:val="00CE0D6B"/>
    <w:rsid w:val="00CE0E06"/>
    <w:rsid w:val="00CE0F3C"/>
    <w:rsid w:val="00CE1006"/>
    <w:rsid w:val="00CE11E2"/>
    <w:rsid w:val="00CE11EE"/>
    <w:rsid w:val="00CE1215"/>
    <w:rsid w:val="00CE12EB"/>
    <w:rsid w:val="00CE1311"/>
    <w:rsid w:val="00CE13B0"/>
    <w:rsid w:val="00CE1532"/>
    <w:rsid w:val="00CE1618"/>
    <w:rsid w:val="00CE1667"/>
    <w:rsid w:val="00CE1680"/>
    <w:rsid w:val="00CE1787"/>
    <w:rsid w:val="00CE1911"/>
    <w:rsid w:val="00CE1A24"/>
    <w:rsid w:val="00CE1B7D"/>
    <w:rsid w:val="00CE1CE7"/>
    <w:rsid w:val="00CE1CF3"/>
    <w:rsid w:val="00CE1E0B"/>
    <w:rsid w:val="00CE1E99"/>
    <w:rsid w:val="00CE1F39"/>
    <w:rsid w:val="00CE1F7F"/>
    <w:rsid w:val="00CE2077"/>
    <w:rsid w:val="00CE20C5"/>
    <w:rsid w:val="00CE214A"/>
    <w:rsid w:val="00CE2535"/>
    <w:rsid w:val="00CE255D"/>
    <w:rsid w:val="00CE25F9"/>
    <w:rsid w:val="00CE2657"/>
    <w:rsid w:val="00CE26E9"/>
    <w:rsid w:val="00CE278B"/>
    <w:rsid w:val="00CE27B6"/>
    <w:rsid w:val="00CE27EA"/>
    <w:rsid w:val="00CE299D"/>
    <w:rsid w:val="00CE2AB6"/>
    <w:rsid w:val="00CE2B41"/>
    <w:rsid w:val="00CE2C37"/>
    <w:rsid w:val="00CE2C49"/>
    <w:rsid w:val="00CE2E2C"/>
    <w:rsid w:val="00CE3085"/>
    <w:rsid w:val="00CE30A7"/>
    <w:rsid w:val="00CE3138"/>
    <w:rsid w:val="00CE31AF"/>
    <w:rsid w:val="00CE320B"/>
    <w:rsid w:val="00CE33FA"/>
    <w:rsid w:val="00CE347E"/>
    <w:rsid w:val="00CE362A"/>
    <w:rsid w:val="00CE3662"/>
    <w:rsid w:val="00CE3689"/>
    <w:rsid w:val="00CE3764"/>
    <w:rsid w:val="00CE3AEA"/>
    <w:rsid w:val="00CE3AF9"/>
    <w:rsid w:val="00CE3B10"/>
    <w:rsid w:val="00CE3C49"/>
    <w:rsid w:val="00CE3C4B"/>
    <w:rsid w:val="00CE3E80"/>
    <w:rsid w:val="00CE3FDA"/>
    <w:rsid w:val="00CE3FDF"/>
    <w:rsid w:val="00CE40ED"/>
    <w:rsid w:val="00CE4324"/>
    <w:rsid w:val="00CE437F"/>
    <w:rsid w:val="00CE444D"/>
    <w:rsid w:val="00CE4590"/>
    <w:rsid w:val="00CE45D6"/>
    <w:rsid w:val="00CE471C"/>
    <w:rsid w:val="00CE49E2"/>
    <w:rsid w:val="00CE4A12"/>
    <w:rsid w:val="00CE4B3D"/>
    <w:rsid w:val="00CE4F24"/>
    <w:rsid w:val="00CE4F73"/>
    <w:rsid w:val="00CE503C"/>
    <w:rsid w:val="00CE5278"/>
    <w:rsid w:val="00CE5293"/>
    <w:rsid w:val="00CE5295"/>
    <w:rsid w:val="00CE52EE"/>
    <w:rsid w:val="00CE5329"/>
    <w:rsid w:val="00CE5477"/>
    <w:rsid w:val="00CE54FD"/>
    <w:rsid w:val="00CE5555"/>
    <w:rsid w:val="00CE55C3"/>
    <w:rsid w:val="00CE56CF"/>
    <w:rsid w:val="00CE5729"/>
    <w:rsid w:val="00CE5759"/>
    <w:rsid w:val="00CE5783"/>
    <w:rsid w:val="00CE57B6"/>
    <w:rsid w:val="00CE57D7"/>
    <w:rsid w:val="00CE59CB"/>
    <w:rsid w:val="00CE5A6D"/>
    <w:rsid w:val="00CE5B5E"/>
    <w:rsid w:val="00CE5BF5"/>
    <w:rsid w:val="00CE5C30"/>
    <w:rsid w:val="00CE5C7E"/>
    <w:rsid w:val="00CE5CE9"/>
    <w:rsid w:val="00CE5DE3"/>
    <w:rsid w:val="00CE5EAD"/>
    <w:rsid w:val="00CE5EBE"/>
    <w:rsid w:val="00CE63B8"/>
    <w:rsid w:val="00CE63ED"/>
    <w:rsid w:val="00CE6492"/>
    <w:rsid w:val="00CE662B"/>
    <w:rsid w:val="00CE663B"/>
    <w:rsid w:val="00CE663E"/>
    <w:rsid w:val="00CE6692"/>
    <w:rsid w:val="00CE6705"/>
    <w:rsid w:val="00CE677E"/>
    <w:rsid w:val="00CE68B4"/>
    <w:rsid w:val="00CE68CC"/>
    <w:rsid w:val="00CE6981"/>
    <w:rsid w:val="00CE6A0B"/>
    <w:rsid w:val="00CE6A34"/>
    <w:rsid w:val="00CE6B13"/>
    <w:rsid w:val="00CE6B15"/>
    <w:rsid w:val="00CE6B53"/>
    <w:rsid w:val="00CE6BED"/>
    <w:rsid w:val="00CE6C3D"/>
    <w:rsid w:val="00CE6D41"/>
    <w:rsid w:val="00CE6E44"/>
    <w:rsid w:val="00CE6EEB"/>
    <w:rsid w:val="00CE6F41"/>
    <w:rsid w:val="00CE703A"/>
    <w:rsid w:val="00CE7146"/>
    <w:rsid w:val="00CE7175"/>
    <w:rsid w:val="00CE724E"/>
    <w:rsid w:val="00CE7252"/>
    <w:rsid w:val="00CE74A5"/>
    <w:rsid w:val="00CE7641"/>
    <w:rsid w:val="00CE76AA"/>
    <w:rsid w:val="00CE7730"/>
    <w:rsid w:val="00CE7915"/>
    <w:rsid w:val="00CE7A75"/>
    <w:rsid w:val="00CE7A90"/>
    <w:rsid w:val="00CE7ACE"/>
    <w:rsid w:val="00CE7BF4"/>
    <w:rsid w:val="00CE7CA9"/>
    <w:rsid w:val="00CE7CE9"/>
    <w:rsid w:val="00CE7CF5"/>
    <w:rsid w:val="00CE7D0B"/>
    <w:rsid w:val="00CE7D51"/>
    <w:rsid w:val="00CE7E1A"/>
    <w:rsid w:val="00CE7E46"/>
    <w:rsid w:val="00CE7E6F"/>
    <w:rsid w:val="00CE7F87"/>
    <w:rsid w:val="00CE7FD6"/>
    <w:rsid w:val="00CE7FF3"/>
    <w:rsid w:val="00CF0018"/>
    <w:rsid w:val="00CF0086"/>
    <w:rsid w:val="00CF00B0"/>
    <w:rsid w:val="00CF02C9"/>
    <w:rsid w:val="00CF0398"/>
    <w:rsid w:val="00CF0427"/>
    <w:rsid w:val="00CF0462"/>
    <w:rsid w:val="00CF0545"/>
    <w:rsid w:val="00CF058B"/>
    <w:rsid w:val="00CF065A"/>
    <w:rsid w:val="00CF0A05"/>
    <w:rsid w:val="00CF0CAE"/>
    <w:rsid w:val="00CF0CC1"/>
    <w:rsid w:val="00CF0DFD"/>
    <w:rsid w:val="00CF0F54"/>
    <w:rsid w:val="00CF1077"/>
    <w:rsid w:val="00CF10E4"/>
    <w:rsid w:val="00CF113E"/>
    <w:rsid w:val="00CF12E5"/>
    <w:rsid w:val="00CF13E9"/>
    <w:rsid w:val="00CF13EF"/>
    <w:rsid w:val="00CF153B"/>
    <w:rsid w:val="00CF153D"/>
    <w:rsid w:val="00CF1642"/>
    <w:rsid w:val="00CF1864"/>
    <w:rsid w:val="00CF192F"/>
    <w:rsid w:val="00CF1A05"/>
    <w:rsid w:val="00CF1A0F"/>
    <w:rsid w:val="00CF1A79"/>
    <w:rsid w:val="00CF1AA8"/>
    <w:rsid w:val="00CF1B4B"/>
    <w:rsid w:val="00CF1B9B"/>
    <w:rsid w:val="00CF1BE9"/>
    <w:rsid w:val="00CF1C9F"/>
    <w:rsid w:val="00CF1D03"/>
    <w:rsid w:val="00CF2227"/>
    <w:rsid w:val="00CF2247"/>
    <w:rsid w:val="00CF22CD"/>
    <w:rsid w:val="00CF22F6"/>
    <w:rsid w:val="00CF233B"/>
    <w:rsid w:val="00CF23ED"/>
    <w:rsid w:val="00CF2444"/>
    <w:rsid w:val="00CF26A3"/>
    <w:rsid w:val="00CF27E4"/>
    <w:rsid w:val="00CF282C"/>
    <w:rsid w:val="00CF2A15"/>
    <w:rsid w:val="00CF2A80"/>
    <w:rsid w:val="00CF2A81"/>
    <w:rsid w:val="00CF2AF2"/>
    <w:rsid w:val="00CF2B9F"/>
    <w:rsid w:val="00CF2CCD"/>
    <w:rsid w:val="00CF2F3D"/>
    <w:rsid w:val="00CF2FC7"/>
    <w:rsid w:val="00CF3234"/>
    <w:rsid w:val="00CF3366"/>
    <w:rsid w:val="00CF3688"/>
    <w:rsid w:val="00CF37DF"/>
    <w:rsid w:val="00CF380B"/>
    <w:rsid w:val="00CF394C"/>
    <w:rsid w:val="00CF3A09"/>
    <w:rsid w:val="00CF3A4B"/>
    <w:rsid w:val="00CF3A86"/>
    <w:rsid w:val="00CF3B25"/>
    <w:rsid w:val="00CF3B35"/>
    <w:rsid w:val="00CF3B77"/>
    <w:rsid w:val="00CF3DF5"/>
    <w:rsid w:val="00CF3E0B"/>
    <w:rsid w:val="00CF3E26"/>
    <w:rsid w:val="00CF3ED6"/>
    <w:rsid w:val="00CF3EF8"/>
    <w:rsid w:val="00CF3F52"/>
    <w:rsid w:val="00CF3FE4"/>
    <w:rsid w:val="00CF40AD"/>
    <w:rsid w:val="00CF40CA"/>
    <w:rsid w:val="00CF419C"/>
    <w:rsid w:val="00CF424A"/>
    <w:rsid w:val="00CF42B5"/>
    <w:rsid w:val="00CF431D"/>
    <w:rsid w:val="00CF454B"/>
    <w:rsid w:val="00CF4559"/>
    <w:rsid w:val="00CF455C"/>
    <w:rsid w:val="00CF4652"/>
    <w:rsid w:val="00CF470E"/>
    <w:rsid w:val="00CF4713"/>
    <w:rsid w:val="00CF4973"/>
    <w:rsid w:val="00CF498C"/>
    <w:rsid w:val="00CF49F6"/>
    <w:rsid w:val="00CF4AD6"/>
    <w:rsid w:val="00CF4BBB"/>
    <w:rsid w:val="00CF4E0D"/>
    <w:rsid w:val="00CF4EA9"/>
    <w:rsid w:val="00CF4F01"/>
    <w:rsid w:val="00CF4F5E"/>
    <w:rsid w:val="00CF5048"/>
    <w:rsid w:val="00CF513E"/>
    <w:rsid w:val="00CF51CA"/>
    <w:rsid w:val="00CF5241"/>
    <w:rsid w:val="00CF5431"/>
    <w:rsid w:val="00CF54C0"/>
    <w:rsid w:val="00CF54F1"/>
    <w:rsid w:val="00CF554F"/>
    <w:rsid w:val="00CF5555"/>
    <w:rsid w:val="00CF5586"/>
    <w:rsid w:val="00CF55D2"/>
    <w:rsid w:val="00CF56E1"/>
    <w:rsid w:val="00CF56EF"/>
    <w:rsid w:val="00CF5858"/>
    <w:rsid w:val="00CF588A"/>
    <w:rsid w:val="00CF589D"/>
    <w:rsid w:val="00CF58AA"/>
    <w:rsid w:val="00CF59C3"/>
    <w:rsid w:val="00CF5AC9"/>
    <w:rsid w:val="00CF5BF3"/>
    <w:rsid w:val="00CF5C65"/>
    <w:rsid w:val="00CF5CB1"/>
    <w:rsid w:val="00CF5CD8"/>
    <w:rsid w:val="00CF5CFB"/>
    <w:rsid w:val="00CF5D30"/>
    <w:rsid w:val="00CF5E3B"/>
    <w:rsid w:val="00CF5E62"/>
    <w:rsid w:val="00CF5E9B"/>
    <w:rsid w:val="00CF5EC0"/>
    <w:rsid w:val="00CF6034"/>
    <w:rsid w:val="00CF6060"/>
    <w:rsid w:val="00CF6079"/>
    <w:rsid w:val="00CF630D"/>
    <w:rsid w:val="00CF6340"/>
    <w:rsid w:val="00CF6348"/>
    <w:rsid w:val="00CF6422"/>
    <w:rsid w:val="00CF64C7"/>
    <w:rsid w:val="00CF656E"/>
    <w:rsid w:val="00CF659A"/>
    <w:rsid w:val="00CF65A6"/>
    <w:rsid w:val="00CF65B4"/>
    <w:rsid w:val="00CF66B0"/>
    <w:rsid w:val="00CF66CE"/>
    <w:rsid w:val="00CF6747"/>
    <w:rsid w:val="00CF6843"/>
    <w:rsid w:val="00CF685D"/>
    <w:rsid w:val="00CF68C1"/>
    <w:rsid w:val="00CF6986"/>
    <w:rsid w:val="00CF69B5"/>
    <w:rsid w:val="00CF6ACE"/>
    <w:rsid w:val="00CF6AEE"/>
    <w:rsid w:val="00CF6B33"/>
    <w:rsid w:val="00CF6B5B"/>
    <w:rsid w:val="00CF6C44"/>
    <w:rsid w:val="00CF6C99"/>
    <w:rsid w:val="00CF6D51"/>
    <w:rsid w:val="00CF6D77"/>
    <w:rsid w:val="00CF6DE9"/>
    <w:rsid w:val="00CF6F89"/>
    <w:rsid w:val="00CF6FBC"/>
    <w:rsid w:val="00CF7045"/>
    <w:rsid w:val="00CF70AA"/>
    <w:rsid w:val="00CF711F"/>
    <w:rsid w:val="00CF727A"/>
    <w:rsid w:val="00CF7374"/>
    <w:rsid w:val="00CF74E2"/>
    <w:rsid w:val="00CF74EE"/>
    <w:rsid w:val="00CF75CD"/>
    <w:rsid w:val="00CF76CC"/>
    <w:rsid w:val="00CF7722"/>
    <w:rsid w:val="00CF7740"/>
    <w:rsid w:val="00CF7789"/>
    <w:rsid w:val="00CF7791"/>
    <w:rsid w:val="00CF781A"/>
    <w:rsid w:val="00CF797B"/>
    <w:rsid w:val="00CF7989"/>
    <w:rsid w:val="00CF799A"/>
    <w:rsid w:val="00CF79C4"/>
    <w:rsid w:val="00CF7A1D"/>
    <w:rsid w:val="00CF7A72"/>
    <w:rsid w:val="00CF7AA9"/>
    <w:rsid w:val="00CF7C2B"/>
    <w:rsid w:val="00CF7C9C"/>
    <w:rsid w:val="00CF7E2B"/>
    <w:rsid w:val="00CF7E40"/>
    <w:rsid w:val="00CF7F0B"/>
    <w:rsid w:val="00CF7FC8"/>
    <w:rsid w:val="00D00161"/>
    <w:rsid w:val="00D002AD"/>
    <w:rsid w:val="00D00375"/>
    <w:rsid w:val="00D0051A"/>
    <w:rsid w:val="00D00557"/>
    <w:rsid w:val="00D006E4"/>
    <w:rsid w:val="00D00738"/>
    <w:rsid w:val="00D0075F"/>
    <w:rsid w:val="00D00796"/>
    <w:rsid w:val="00D00830"/>
    <w:rsid w:val="00D0093F"/>
    <w:rsid w:val="00D0097E"/>
    <w:rsid w:val="00D009AA"/>
    <w:rsid w:val="00D009F0"/>
    <w:rsid w:val="00D00A12"/>
    <w:rsid w:val="00D00A26"/>
    <w:rsid w:val="00D00E0F"/>
    <w:rsid w:val="00D00E1A"/>
    <w:rsid w:val="00D00E99"/>
    <w:rsid w:val="00D00EC0"/>
    <w:rsid w:val="00D01011"/>
    <w:rsid w:val="00D010A6"/>
    <w:rsid w:val="00D01136"/>
    <w:rsid w:val="00D011EF"/>
    <w:rsid w:val="00D0144C"/>
    <w:rsid w:val="00D01482"/>
    <w:rsid w:val="00D015AC"/>
    <w:rsid w:val="00D01675"/>
    <w:rsid w:val="00D01698"/>
    <w:rsid w:val="00D0179A"/>
    <w:rsid w:val="00D018EF"/>
    <w:rsid w:val="00D01A1B"/>
    <w:rsid w:val="00D01AA1"/>
    <w:rsid w:val="00D01B11"/>
    <w:rsid w:val="00D01B5F"/>
    <w:rsid w:val="00D01B8D"/>
    <w:rsid w:val="00D01DAB"/>
    <w:rsid w:val="00D01EFC"/>
    <w:rsid w:val="00D02316"/>
    <w:rsid w:val="00D0235E"/>
    <w:rsid w:val="00D023E8"/>
    <w:rsid w:val="00D02693"/>
    <w:rsid w:val="00D027A7"/>
    <w:rsid w:val="00D02885"/>
    <w:rsid w:val="00D02926"/>
    <w:rsid w:val="00D029FD"/>
    <w:rsid w:val="00D02A1B"/>
    <w:rsid w:val="00D02B32"/>
    <w:rsid w:val="00D02B37"/>
    <w:rsid w:val="00D02C70"/>
    <w:rsid w:val="00D02CDE"/>
    <w:rsid w:val="00D02D28"/>
    <w:rsid w:val="00D02DAA"/>
    <w:rsid w:val="00D02E1F"/>
    <w:rsid w:val="00D02F32"/>
    <w:rsid w:val="00D02F50"/>
    <w:rsid w:val="00D02FD3"/>
    <w:rsid w:val="00D03055"/>
    <w:rsid w:val="00D030F3"/>
    <w:rsid w:val="00D032DC"/>
    <w:rsid w:val="00D032FE"/>
    <w:rsid w:val="00D0337C"/>
    <w:rsid w:val="00D033CF"/>
    <w:rsid w:val="00D0347F"/>
    <w:rsid w:val="00D03482"/>
    <w:rsid w:val="00D0348F"/>
    <w:rsid w:val="00D034A7"/>
    <w:rsid w:val="00D034C4"/>
    <w:rsid w:val="00D034D6"/>
    <w:rsid w:val="00D0364E"/>
    <w:rsid w:val="00D039A2"/>
    <w:rsid w:val="00D039B0"/>
    <w:rsid w:val="00D039EB"/>
    <w:rsid w:val="00D03A88"/>
    <w:rsid w:val="00D03AB0"/>
    <w:rsid w:val="00D03AEE"/>
    <w:rsid w:val="00D03C43"/>
    <w:rsid w:val="00D03C60"/>
    <w:rsid w:val="00D03C8F"/>
    <w:rsid w:val="00D03D16"/>
    <w:rsid w:val="00D03F83"/>
    <w:rsid w:val="00D03FBC"/>
    <w:rsid w:val="00D04014"/>
    <w:rsid w:val="00D040C9"/>
    <w:rsid w:val="00D04184"/>
    <w:rsid w:val="00D0421F"/>
    <w:rsid w:val="00D04240"/>
    <w:rsid w:val="00D0424D"/>
    <w:rsid w:val="00D0441D"/>
    <w:rsid w:val="00D044AB"/>
    <w:rsid w:val="00D04605"/>
    <w:rsid w:val="00D04608"/>
    <w:rsid w:val="00D0474C"/>
    <w:rsid w:val="00D0484B"/>
    <w:rsid w:val="00D048C1"/>
    <w:rsid w:val="00D04908"/>
    <w:rsid w:val="00D0496C"/>
    <w:rsid w:val="00D04992"/>
    <w:rsid w:val="00D049E0"/>
    <w:rsid w:val="00D04B77"/>
    <w:rsid w:val="00D04BDE"/>
    <w:rsid w:val="00D04D5B"/>
    <w:rsid w:val="00D04E4F"/>
    <w:rsid w:val="00D04FA8"/>
    <w:rsid w:val="00D04FD8"/>
    <w:rsid w:val="00D050BB"/>
    <w:rsid w:val="00D05121"/>
    <w:rsid w:val="00D051FF"/>
    <w:rsid w:val="00D052D9"/>
    <w:rsid w:val="00D05309"/>
    <w:rsid w:val="00D053DA"/>
    <w:rsid w:val="00D05513"/>
    <w:rsid w:val="00D055B9"/>
    <w:rsid w:val="00D05838"/>
    <w:rsid w:val="00D05855"/>
    <w:rsid w:val="00D0585F"/>
    <w:rsid w:val="00D058FC"/>
    <w:rsid w:val="00D0591F"/>
    <w:rsid w:val="00D0597C"/>
    <w:rsid w:val="00D059D0"/>
    <w:rsid w:val="00D05A82"/>
    <w:rsid w:val="00D05B45"/>
    <w:rsid w:val="00D05B6D"/>
    <w:rsid w:val="00D05E89"/>
    <w:rsid w:val="00D05EC6"/>
    <w:rsid w:val="00D05F1B"/>
    <w:rsid w:val="00D05F8D"/>
    <w:rsid w:val="00D060A9"/>
    <w:rsid w:val="00D060D5"/>
    <w:rsid w:val="00D060D6"/>
    <w:rsid w:val="00D06231"/>
    <w:rsid w:val="00D0629D"/>
    <w:rsid w:val="00D0637A"/>
    <w:rsid w:val="00D063A4"/>
    <w:rsid w:val="00D06466"/>
    <w:rsid w:val="00D06504"/>
    <w:rsid w:val="00D065EE"/>
    <w:rsid w:val="00D06709"/>
    <w:rsid w:val="00D06780"/>
    <w:rsid w:val="00D068D9"/>
    <w:rsid w:val="00D0694B"/>
    <w:rsid w:val="00D0698F"/>
    <w:rsid w:val="00D0699F"/>
    <w:rsid w:val="00D069B1"/>
    <w:rsid w:val="00D069B2"/>
    <w:rsid w:val="00D069C9"/>
    <w:rsid w:val="00D06ACB"/>
    <w:rsid w:val="00D06BA3"/>
    <w:rsid w:val="00D06C89"/>
    <w:rsid w:val="00D06CD1"/>
    <w:rsid w:val="00D06CFB"/>
    <w:rsid w:val="00D06D93"/>
    <w:rsid w:val="00D06EC4"/>
    <w:rsid w:val="00D06F04"/>
    <w:rsid w:val="00D06F6E"/>
    <w:rsid w:val="00D06FC1"/>
    <w:rsid w:val="00D07019"/>
    <w:rsid w:val="00D0703B"/>
    <w:rsid w:val="00D0703D"/>
    <w:rsid w:val="00D070CD"/>
    <w:rsid w:val="00D070F3"/>
    <w:rsid w:val="00D071D1"/>
    <w:rsid w:val="00D071D4"/>
    <w:rsid w:val="00D074AA"/>
    <w:rsid w:val="00D0752B"/>
    <w:rsid w:val="00D07613"/>
    <w:rsid w:val="00D0790A"/>
    <w:rsid w:val="00D0791D"/>
    <w:rsid w:val="00D07997"/>
    <w:rsid w:val="00D07ADB"/>
    <w:rsid w:val="00D07C0A"/>
    <w:rsid w:val="00D07C58"/>
    <w:rsid w:val="00D07EDD"/>
    <w:rsid w:val="00D07F7D"/>
    <w:rsid w:val="00D1002F"/>
    <w:rsid w:val="00D100CC"/>
    <w:rsid w:val="00D100F7"/>
    <w:rsid w:val="00D101AA"/>
    <w:rsid w:val="00D102BD"/>
    <w:rsid w:val="00D1032B"/>
    <w:rsid w:val="00D10401"/>
    <w:rsid w:val="00D1041C"/>
    <w:rsid w:val="00D10595"/>
    <w:rsid w:val="00D10612"/>
    <w:rsid w:val="00D1063F"/>
    <w:rsid w:val="00D10662"/>
    <w:rsid w:val="00D1085F"/>
    <w:rsid w:val="00D1088D"/>
    <w:rsid w:val="00D108AA"/>
    <w:rsid w:val="00D10994"/>
    <w:rsid w:val="00D109C2"/>
    <w:rsid w:val="00D10B2F"/>
    <w:rsid w:val="00D10BFD"/>
    <w:rsid w:val="00D10C1A"/>
    <w:rsid w:val="00D10D03"/>
    <w:rsid w:val="00D10D7B"/>
    <w:rsid w:val="00D10E2C"/>
    <w:rsid w:val="00D10F80"/>
    <w:rsid w:val="00D10F96"/>
    <w:rsid w:val="00D11010"/>
    <w:rsid w:val="00D110DD"/>
    <w:rsid w:val="00D110F6"/>
    <w:rsid w:val="00D1110A"/>
    <w:rsid w:val="00D111CE"/>
    <w:rsid w:val="00D112E8"/>
    <w:rsid w:val="00D1157C"/>
    <w:rsid w:val="00D11646"/>
    <w:rsid w:val="00D1174F"/>
    <w:rsid w:val="00D117E9"/>
    <w:rsid w:val="00D11839"/>
    <w:rsid w:val="00D1183D"/>
    <w:rsid w:val="00D11860"/>
    <w:rsid w:val="00D11CBC"/>
    <w:rsid w:val="00D11EEF"/>
    <w:rsid w:val="00D11F32"/>
    <w:rsid w:val="00D12038"/>
    <w:rsid w:val="00D1219A"/>
    <w:rsid w:val="00D121C4"/>
    <w:rsid w:val="00D121E0"/>
    <w:rsid w:val="00D12338"/>
    <w:rsid w:val="00D12413"/>
    <w:rsid w:val="00D1246E"/>
    <w:rsid w:val="00D12760"/>
    <w:rsid w:val="00D1287E"/>
    <w:rsid w:val="00D128BB"/>
    <w:rsid w:val="00D128F1"/>
    <w:rsid w:val="00D12917"/>
    <w:rsid w:val="00D12931"/>
    <w:rsid w:val="00D1294F"/>
    <w:rsid w:val="00D12972"/>
    <w:rsid w:val="00D12B6E"/>
    <w:rsid w:val="00D12BC4"/>
    <w:rsid w:val="00D12BFE"/>
    <w:rsid w:val="00D12D92"/>
    <w:rsid w:val="00D12D93"/>
    <w:rsid w:val="00D12DAF"/>
    <w:rsid w:val="00D12DCE"/>
    <w:rsid w:val="00D12DD8"/>
    <w:rsid w:val="00D12EFE"/>
    <w:rsid w:val="00D12F33"/>
    <w:rsid w:val="00D12FEC"/>
    <w:rsid w:val="00D131BF"/>
    <w:rsid w:val="00D13382"/>
    <w:rsid w:val="00D133F1"/>
    <w:rsid w:val="00D13452"/>
    <w:rsid w:val="00D13659"/>
    <w:rsid w:val="00D136E7"/>
    <w:rsid w:val="00D1373A"/>
    <w:rsid w:val="00D13774"/>
    <w:rsid w:val="00D137E5"/>
    <w:rsid w:val="00D138BE"/>
    <w:rsid w:val="00D138F3"/>
    <w:rsid w:val="00D1394B"/>
    <w:rsid w:val="00D13A13"/>
    <w:rsid w:val="00D13A50"/>
    <w:rsid w:val="00D13BA8"/>
    <w:rsid w:val="00D13C85"/>
    <w:rsid w:val="00D13CDF"/>
    <w:rsid w:val="00D13E4C"/>
    <w:rsid w:val="00D13F57"/>
    <w:rsid w:val="00D140FA"/>
    <w:rsid w:val="00D14254"/>
    <w:rsid w:val="00D14287"/>
    <w:rsid w:val="00D1429E"/>
    <w:rsid w:val="00D14400"/>
    <w:rsid w:val="00D144BE"/>
    <w:rsid w:val="00D14531"/>
    <w:rsid w:val="00D14648"/>
    <w:rsid w:val="00D1470F"/>
    <w:rsid w:val="00D14859"/>
    <w:rsid w:val="00D148FC"/>
    <w:rsid w:val="00D14B10"/>
    <w:rsid w:val="00D14BE4"/>
    <w:rsid w:val="00D14C02"/>
    <w:rsid w:val="00D14D5D"/>
    <w:rsid w:val="00D14F25"/>
    <w:rsid w:val="00D14FB6"/>
    <w:rsid w:val="00D1513E"/>
    <w:rsid w:val="00D15162"/>
    <w:rsid w:val="00D1520D"/>
    <w:rsid w:val="00D15233"/>
    <w:rsid w:val="00D15276"/>
    <w:rsid w:val="00D15342"/>
    <w:rsid w:val="00D153A3"/>
    <w:rsid w:val="00D15561"/>
    <w:rsid w:val="00D1566C"/>
    <w:rsid w:val="00D15751"/>
    <w:rsid w:val="00D157E1"/>
    <w:rsid w:val="00D15950"/>
    <w:rsid w:val="00D15A7C"/>
    <w:rsid w:val="00D15B1A"/>
    <w:rsid w:val="00D15B89"/>
    <w:rsid w:val="00D15C9D"/>
    <w:rsid w:val="00D15EAE"/>
    <w:rsid w:val="00D15F23"/>
    <w:rsid w:val="00D16231"/>
    <w:rsid w:val="00D162E6"/>
    <w:rsid w:val="00D1639D"/>
    <w:rsid w:val="00D163F6"/>
    <w:rsid w:val="00D16446"/>
    <w:rsid w:val="00D165DE"/>
    <w:rsid w:val="00D166C7"/>
    <w:rsid w:val="00D166F3"/>
    <w:rsid w:val="00D168A4"/>
    <w:rsid w:val="00D16BA4"/>
    <w:rsid w:val="00D16C07"/>
    <w:rsid w:val="00D16DAC"/>
    <w:rsid w:val="00D16DE8"/>
    <w:rsid w:val="00D16E77"/>
    <w:rsid w:val="00D16E8F"/>
    <w:rsid w:val="00D16EBE"/>
    <w:rsid w:val="00D16EC5"/>
    <w:rsid w:val="00D171BA"/>
    <w:rsid w:val="00D1726E"/>
    <w:rsid w:val="00D172E3"/>
    <w:rsid w:val="00D1730C"/>
    <w:rsid w:val="00D1738B"/>
    <w:rsid w:val="00D17438"/>
    <w:rsid w:val="00D17571"/>
    <w:rsid w:val="00D17574"/>
    <w:rsid w:val="00D17641"/>
    <w:rsid w:val="00D1767B"/>
    <w:rsid w:val="00D176D1"/>
    <w:rsid w:val="00D1771C"/>
    <w:rsid w:val="00D1772D"/>
    <w:rsid w:val="00D17B13"/>
    <w:rsid w:val="00D17B14"/>
    <w:rsid w:val="00D17C84"/>
    <w:rsid w:val="00D17C93"/>
    <w:rsid w:val="00D17D85"/>
    <w:rsid w:val="00D17E98"/>
    <w:rsid w:val="00D17EC1"/>
    <w:rsid w:val="00D17F13"/>
    <w:rsid w:val="00D17F4C"/>
    <w:rsid w:val="00D2009D"/>
    <w:rsid w:val="00D200CE"/>
    <w:rsid w:val="00D20121"/>
    <w:rsid w:val="00D20279"/>
    <w:rsid w:val="00D202BE"/>
    <w:rsid w:val="00D203CD"/>
    <w:rsid w:val="00D204E2"/>
    <w:rsid w:val="00D20555"/>
    <w:rsid w:val="00D205C2"/>
    <w:rsid w:val="00D20728"/>
    <w:rsid w:val="00D20826"/>
    <w:rsid w:val="00D20AC1"/>
    <w:rsid w:val="00D20D3C"/>
    <w:rsid w:val="00D20E25"/>
    <w:rsid w:val="00D20F64"/>
    <w:rsid w:val="00D2102B"/>
    <w:rsid w:val="00D210BA"/>
    <w:rsid w:val="00D2115F"/>
    <w:rsid w:val="00D2122A"/>
    <w:rsid w:val="00D212BD"/>
    <w:rsid w:val="00D212C9"/>
    <w:rsid w:val="00D21312"/>
    <w:rsid w:val="00D213AD"/>
    <w:rsid w:val="00D21442"/>
    <w:rsid w:val="00D214A8"/>
    <w:rsid w:val="00D2150B"/>
    <w:rsid w:val="00D21521"/>
    <w:rsid w:val="00D215A7"/>
    <w:rsid w:val="00D2171E"/>
    <w:rsid w:val="00D21769"/>
    <w:rsid w:val="00D21853"/>
    <w:rsid w:val="00D21900"/>
    <w:rsid w:val="00D21A3F"/>
    <w:rsid w:val="00D21A9C"/>
    <w:rsid w:val="00D21B43"/>
    <w:rsid w:val="00D21B4C"/>
    <w:rsid w:val="00D21CA8"/>
    <w:rsid w:val="00D21CD6"/>
    <w:rsid w:val="00D21D8D"/>
    <w:rsid w:val="00D21DA6"/>
    <w:rsid w:val="00D21E14"/>
    <w:rsid w:val="00D21E4C"/>
    <w:rsid w:val="00D21E50"/>
    <w:rsid w:val="00D21F13"/>
    <w:rsid w:val="00D21F49"/>
    <w:rsid w:val="00D21F83"/>
    <w:rsid w:val="00D2203C"/>
    <w:rsid w:val="00D22082"/>
    <w:rsid w:val="00D221CE"/>
    <w:rsid w:val="00D221DE"/>
    <w:rsid w:val="00D221F4"/>
    <w:rsid w:val="00D22268"/>
    <w:rsid w:val="00D222CB"/>
    <w:rsid w:val="00D22434"/>
    <w:rsid w:val="00D22527"/>
    <w:rsid w:val="00D2255E"/>
    <w:rsid w:val="00D22590"/>
    <w:rsid w:val="00D22671"/>
    <w:rsid w:val="00D226E6"/>
    <w:rsid w:val="00D22738"/>
    <w:rsid w:val="00D22839"/>
    <w:rsid w:val="00D228C9"/>
    <w:rsid w:val="00D22A22"/>
    <w:rsid w:val="00D22D86"/>
    <w:rsid w:val="00D22E80"/>
    <w:rsid w:val="00D22F94"/>
    <w:rsid w:val="00D23123"/>
    <w:rsid w:val="00D231E2"/>
    <w:rsid w:val="00D23224"/>
    <w:rsid w:val="00D23227"/>
    <w:rsid w:val="00D232F4"/>
    <w:rsid w:val="00D23384"/>
    <w:rsid w:val="00D2350F"/>
    <w:rsid w:val="00D2351C"/>
    <w:rsid w:val="00D23539"/>
    <w:rsid w:val="00D2355C"/>
    <w:rsid w:val="00D235B1"/>
    <w:rsid w:val="00D2369D"/>
    <w:rsid w:val="00D23703"/>
    <w:rsid w:val="00D2372D"/>
    <w:rsid w:val="00D23B44"/>
    <w:rsid w:val="00D23CE1"/>
    <w:rsid w:val="00D23FBB"/>
    <w:rsid w:val="00D2402E"/>
    <w:rsid w:val="00D2403F"/>
    <w:rsid w:val="00D241AF"/>
    <w:rsid w:val="00D241D1"/>
    <w:rsid w:val="00D24260"/>
    <w:rsid w:val="00D24290"/>
    <w:rsid w:val="00D242C3"/>
    <w:rsid w:val="00D24303"/>
    <w:rsid w:val="00D24322"/>
    <w:rsid w:val="00D24550"/>
    <w:rsid w:val="00D24599"/>
    <w:rsid w:val="00D245BF"/>
    <w:rsid w:val="00D245F8"/>
    <w:rsid w:val="00D24690"/>
    <w:rsid w:val="00D24718"/>
    <w:rsid w:val="00D24745"/>
    <w:rsid w:val="00D247B2"/>
    <w:rsid w:val="00D247D1"/>
    <w:rsid w:val="00D2484C"/>
    <w:rsid w:val="00D248CF"/>
    <w:rsid w:val="00D248E3"/>
    <w:rsid w:val="00D249D6"/>
    <w:rsid w:val="00D24A19"/>
    <w:rsid w:val="00D24AB5"/>
    <w:rsid w:val="00D24B74"/>
    <w:rsid w:val="00D24BE3"/>
    <w:rsid w:val="00D24C2F"/>
    <w:rsid w:val="00D24CA6"/>
    <w:rsid w:val="00D24E5B"/>
    <w:rsid w:val="00D24E84"/>
    <w:rsid w:val="00D25004"/>
    <w:rsid w:val="00D250A5"/>
    <w:rsid w:val="00D25240"/>
    <w:rsid w:val="00D252BB"/>
    <w:rsid w:val="00D25332"/>
    <w:rsid w:val="00D2534D"/>
    <w:rsid w:val="00D253A0"/>
    <w:rsid w:val="00D2541D"/>
    <w:rsid w:val="00D254C1"/>
    <w:rsid w:val="00D254C3"/>
    <w:rsid w:val="00D25558"/>
    <w:rsid w:val="00D255E0"/>
    <w:rsid w:val="00D255EE"/>
    <w:rsid w:val="00D25773"/>
    <w:rsid w:val="00D259A9"/>
    <w:rsid w:val="00D25A21"/>
    <w:rsid w:val="00D25ADE"/>
    <w:rsid w:val="00D25BF1"/>
    <w:rsid w:val="00D25D13"/>
    <w:rsid w:val="00D25DCC"/>
    <w:rsid w:val="00D2601D"/>
    <w:rsid w:val="00D26064"/>
    <w:rsid w:val="00D26200"/>
    <w:rsid w:val="00D26236"/>
    <w:rsid w:val="00D2635A"/>
    <w:rsid w:val="00D2643E"/>
    <w:rsid w:val="00D26612"/>
    <w:rsid w:val="00D26760"/>
    <w:rsid w:val="00D26778"/>
    <w:rsid w:val="00D26821"/>
    <w:rsid w:val="00D268FE"/>
    <w:rsid w:val="00D269CE"/>
    <w:rsid w:val="00D269FE"/>
    <w:rsid w:val="00D26AA3"/>
    <w:rsid w:val="00D26ADA"/>
    <w:rsid w:val="00D26B40"/>
    <w:rsid w:val="00D26BB7"/>
    <w:rsid w:val="00D26C3D"/>
    <w:rsid w:val="00D26DCA"/>
    <w:rsid w:val="00D26E09"/>
    <w:rsid w:val="00D26E4A"/>
    <w:rsid w:val="00D26ECF"/>
    <w:rsid w:val="00D26F96"/>
    <w:rsid w:val="00D26FBF"/>
    <w:rsid w:val="00D26FE7"/>
    <w:rsid w:val="00D270D6"/>
    <w:rsid w:val="00D2713E"/>
    <w:rsid w:val="00D271BD"/>
    <w:rsid w:val="00D2723E"/>
    <w:rsid w:val="00D2729A"/>
    <w:rsid w:val="00D2729B"/>
    <w:rsid w:val="00D272CB"/>
    <w:rsid w:val="00D2733B"/>
    <w:rsid w:val="00D2735E"/>
    <w:rsid w:val="00D273F5"/>
    <w:rsid w:val="00D27473"/>
    <w:rsid w:val="00D274C4"/>
    <w:rsid w:val="00D27566"/>
    <w:rsid w:val="00D275D9"/>
    <w:rsid w:val="00D275F1"/>
    <w:rsid w:val="00D27707"/>
    <w:rsid w:val="00D27787"/>
    <w:rsid w:val="00D277C6"/>
    <w:rsid w:val="00D27808"/>
    <w:rsid w:val="00D27AEE"/>
    <w:rsid w:val="00D27C83"/>
    <w:rsid w:val="00D27D05"/>
    <w:rsid w:val="00D27D93"/>
    <w:rsid w:val="00D27D94"/>
    <w:rsid w:val="00D27DCD"/>
    <w:rsid w:val="00D27E1C"/>
    <w:rsid w:val="00D27E8D"/>
    <w:rsid w:val="00D27EDA"/>
    <w:rsid w:val="00D27F73"/>
    <w:rsid w:val="00D30043"/>
    <w:rsid w:val="00D30084"/>
    <w:rsid w:val="00D3017C"/>
    <w:rsid w:val="00D301D9"/>
    <w:rsid w:val="00D301E1"/>
    <w:rsid w:val="00D30231"/>
    <w:rsid w:val="00D30243"/>
    <w:rsid w:val="00D302F9"/>
    <w:rsid w:val="00D30394"/>
    <w:rsid w:val="00D30435"/>
    <w:rsid w:val="00D3057F"/>
    <w:rsid w:val="00D305C6"/>
    <w:rsid w:val="00D307B2"/>
    <w:rsid w:val="00D307B8"/>
    <w:rsid w:val="00D308D0"/>
    <w:rsid w:val="00D3097F"/>
    <w:rsid w:val="00D30983"/>
    <w:rsid w:val="00D309F8"/>
    <w:rsid w:val="00D30A65"/>
    <w:rsid w:val="00D30B7E"/>
    <w:rsid w:val="00D30BE2"/>
    <w:rsid w:val="00D30C05"/>
    <w:rsid w:val="00D30D2B"/>
    <w:rsid w:val="00D30DCA"/>
    <w:rsid w:val="00D30DEA"/>
    <w:rsid w:val="00D30E3A"/>
    <w:rsid w:val="00D30E4E"/>
    <w:rsid w:val="00D30EC1"/>
    <w:rsid w:val="00D30EF9"/>
    <w:rsid w:val="00D31074"/>
    <w:rsid w:val="00D311E2"/>
    <w:rsid w:val="00D31282"/>
    <w:rsid w:val="00D312A1"/>
    <w:rsid w:val="00D312B1"/>
    <w:rsid w:val="00D312C8"/>
    <w:rsid w:val="00D312DA"/>
    <w:rsid w:val="00D313C6"/>
    <w:rsid w:val="00D313DD"/>
    <w:rsid w:val="00D31401"/>
    <w:rsid w:val="00D31462"/>
    <w:rsid w:val="00D31689"/>
    <w:rsid w:val="00D316AD"/>
    <w:rsid w:val="00D316BB"/>
    <w:rsid w:val="00D31706"/>
    <w:rsid w:val="00D317D6"/>
    <w:rsid w:val="00D31820"/>
    <w:rsid w:val="00D31879"/>
    <w:rsid w:val="00D31976"/>
    <w:rsid w:val="00D319E6"/>
    <w:rsid w:val="00D31B1F"/>
    <w:rsid w:val="00D31B93"/>
    <w:rsid w:val="00D31CF1"/>
    <w:rsid w:val="00D31E6F"/>
    <w:rsid w:val="00D3215D"/>
    <w:rsid w:val="00D321A0"/>
    <w:rsid w:val="00D321EF"/>
    <w:rsid w:val="00D3224C"/>
    <w:rsid w:val="00D322CC"/>
    <w:rsid w:val="00D322D8"/>
    <w:rsid w:val="00D32331"/>
    <w:rsid w:val="00D32348"/>
    <w:rsid w:val="00D32414"/>
    <w:rsid w:val="00D324A5"/>
    <w:rsid w:val="00D32576"/>
    <w:rsid w:val="00D32627"/>
    <w:rsid w:val="00D3263C"/>
    <w:rsid w:val="00D3268C"/>
    <w:rsid w:val="00D3269C"/>
    <w:rsid w:val="00D326A6"/>
    <w:rsid w:val="00D327D2"/>
    <w:rsid w:val="00D32868"/>
    <w:rsid w:val="00D32A69"/>
    <w:rsid w:val="00D32A70"/>
    <w:rsid w:val="00D32A78"/>
    <w:rsid w:val="00D32AD4"/>
    <w:rsid w:val="00D32BEA"/>
    <w:rsid w:val="00D32CB3"/>
    <w:rsid w:val="00D32EE1"/>
    <w:rsid w:val="00D32EEF"/>
    <w:rsid w:val="00D32F08"/>
    <w:rsid w:val="00D32F5B"/>
    <w:rsid w:val="00D32FB0"/>
    <w:rsid w:val="00D33089"/>
    <w:rsid w:val="00D331B6"/>
    <w:rsid w:val="00D331ED"/>
    <w:rsid w:val="00D33219"/>
    <w:rsid w:val="00D332FE"/>
    <w:rsid w:val="00D3333F"/>
    <w:rsid w:val="00D33503"/>
    <w:rsid w:val="00D3359C"/>
    <w:rsid w:val="00D33859"/>
    <w:rsid w:val="00D33980"/>
    <w:rsid w:val="00D33998"/>
    <w:rsid w:val="00D33BEE"/>
    <w:rsid w:val="00D33CAF"/>
    <w:rsid w:val="00D33D4C"/>
    <w:rsid w:val="00D34145"/>
    <w:rsid w:val="00D341A2"/>
    <w:rsid w:val="00D341BF"/>
    <w:rsid w:val="00D3429E"/>
    <w:rsid w:val="00D34596"/>
    <w:rsid w:val="00D345BD"/>
    <w:rsid w:val="00D3466D"/>
    <w:rsid w:val="00D34717"/>
    <w:rsid w:val="00D348A7"/>
    <w:rsid w:val="00D34905"/>
    <w:rsid w:val="00D34A0D"/>
    <w:rsid w:val="00D34AA9"/>
    <w:rsid w:val="00D34B30"/>
    <w:rsid w:val="00D34B94"/>
    <w:rsid w:val="00D34D29"/>
    <w:rsid w:val="00D34D6E"/>
    <w:rsid w:val="00D34DB0"/>
    <w:rsid w:val="00D34F3A"/>
    <w:rsid w:val="00D35046"/>
    <w:rsid w:val="00D3508C"/>
    <w:rsid w:val="00D350FB"/>
    <w:rsid w:val="00D3528B"/>
    <w:rsid w:val="00D353D7"/>
    <w:rsid w:val="00D3540A"/>
    <w:rsid w:val="00D35483"/>
    <w:rsid w:val="00D354ED"/>
    <w:rsid w:val="00D3556F"/>
    <w:rsid w:val="00D355F4"/>
    <w:rsid w:val="00D357D1"/>
    <w:rsid w:val="00D35A93"/>
    <w:rsid w:val="00D35BAE"/>
    <w:rsid w:val="00D35BCD"/>
    <w:rsid w:val="00D35CD8"/>
    <w:rsid w:val="00D35D30"/>
    <w:rsid w:val="00D35E77"/>
    <w:rsid w:val="00D35F8B"/>
    <w:rsid w:val="00D35FC4"/>
    <w:rsid w:val="00D3615D"/>
    <w:rsid w:val="00D3626E"/>
    <w:rsid w:val="00D3629C"/>
    <w:rsid w:val="00D36352"/>
    <w:rsid w:val="00D363FD"/>
    <w:rsid w:val="00D36536"/>
    <w:rsid w:val="00D365F6"/>
    <w:rsid w:val="00D3683F"/>
    <w:rsid w:val="00D3696E"/>
    <w:rsid w:val="00D369BE"/>
    <w:rsid w:val="00D36B26"/>
    <w:rsid w:val="00D36C0C"/>
    <w:rsid w:val="00D36C65"/>
    <w:rsid w:val="00D36CDB"/>
    <w:rsid w:val="00D36D1A"/>
    <w:rsid w:val="00D36F15"/>
    <w:rsid w:val="00D3705A"/>
    <w:rsid w:val="00D37060"/>
    <w:rsid w:val="00D3732D"/>
    <w:rsid w:val="00D373EE"/>
    <w:rsid w:val="00D374EB"/>
    <w:rsid w:val="00D375E2"/>
    <w:rsid w:val="00D3769A"/>
    <w:rsid w:val="00D376C9"/>
    <w:rsid w:val="00D37770"/>
    <w:rsid w:val="00D37887"/>
    <w:rsid w:val="00D37929"/>
    <w:rsid w:val="00D37A66"/>
    <w:rsid w:val="00D37A87"/>
    <w:rsid w:val="00D37AED"/>
    <w:rsid w:val="00D37B26"/>
    <w:rsid w:val="00D37C48"/>
    <w:rsid w:val="00D37D45"/>
    <w:rsid w:val="00D37E9E"/>
    <w:rsid w:val="00D37EF4"/>
    <w:rsid w:val="00D40263"/>
    <w:rsid w:val="00D403A2"/>
    <w:rsid w:val="00D4048A"/>
    <w:rsid w:val="00D4058D"/>
    <w:rsid w:val="00D405BA"/>
    <w:rsid w:val="00D40606"/>
    <w:rsid w:val="00D40631"/>
    <w:rsid w:val="00D4083B"/>
    <w:rsid w:val="00D408CC"/>
    <w:rsid w:val="00D40977"/>
    <w:rsid w:val="00D409DF"/>
    <w:rsid w:val="00D40A47"/>
    <w:rsid w:val="00D40A5C"/>
    <w:rsid w:val="00D40B64"/>
    <w:rsid w:val="00D40B8B"/>
    <w:rsid w:val="00D40DD8"/>
    <w:rsid w:val="00D40E29"/>
    <w:rsid w:val="00D40E36"/>
    <w:rsid w:val="00D40E9F"/>
    <w:rsid w:val="00D40F70"/>
    <w:rsid w:val="00D4127B"/>
    <w:rsid w:val="00D41399"/>
    <w:rsid w:val="00D413BF"/>
    <w:rsid w:val="00D41483"/>
    <w:rsid w:val="00D41497"/>
    <w:rsid w:val="00D414E3"/>
    <w:rsid w:val="00D414EA"/>
    <w:rsid w:val="00D41508"/>
    <w:rsid w:val="00D4155E"/>
    <w:rsid w:val="00D41851"/>
    <w:rsid w:val="00D419FB"/>
    <w:rsid w:val="00D41AC8"/>
    <w:rsid w:val="00D41BC1"/>
    <w:rsid w:val="00D41CE6"/>
    <w:rsid w:val="00D41D5E"/>
    <w:rsid w:val="00D41D96"/>
    <w:rsid w:val="00D41D9A"/>
    <w:rsid w:val="00D41DBB"/>
    <w:rsid w:val="00D41EF3"/>
    <w:rsid w:val="00D41FA5"/>
    <w:rsid w:val="00D41FAA"/>
    <w:rsid w:val="00D41FBB"/>
    <w:rsid w:val="00D4213F"/>
    <w:rsid w:val="00D421F2"/>
    <w:rsid w:val="00D422C8"/>
    <w:rsid w:val="00D422CB"/>
    <w:rsid w:val="00D42369"/>
    <w:rsid w:val="00D423A2"/>
    <w:rsid w:val="00D423D2"/>
    <w:rsid w:val="00D42628"/>
    <w:rsid w:val="00D42685"/>
    <w:rsid w:val="00D427B8"/>
    <w:rsid w:val="00D42980"/>
    <w:rsid w:val="00D42A45"/>
    <w:rsid w:val="00D42BB5"/>
    <w:rsid w:val="00D42C71"/>
    <w:rsid w:val="00D42CAA"/>
    <w:rsid w:val="00D42DA6"/>
    <w:rsid w:val="00D42E70"/>
    <w:rsid w:val="00D42EC5"/>
    <w:rsid w:val="00D42FCF"/>
    <w:rsid w:val="00D4304F"/>
    <w:rsid w:val="00D430C5"/>
    <w:rsid w:val="00D430D1"/>
    <w:rsid w:val="00D434CA"/>
    <w:rsid w:val="00D4351D"/>
    <w:rsid w:val="00D43522"/>
    <w:rsid w:val="00D43551"/>
    <w:rsid w:val="00D436CD"/>
    <w:rsid w:val="00D43708"/>
    <w:rsid w:val="00D4382D"/>
    <w:rsid w:val="00D43850"/>
    <w:rsid w:val="00D43882"/>
    <w:rsid w:val="00D43916"/>
    <w:rsid w:val="00D439AE"/>
    <w:rsid w:val="00D43AE8"/>
    <w:rsid w:val="00D43BE4"/>
    <w:rsid w:val="00D43E16"/>
    <w:rsid w:val="00D43FE5"/>
    <w:rsid w:val="00D43FE8"/>
    <w:rsid w:val="00D44078"/>
    <w:rsid w:val="00D440B6"/>
    <w:rsid w:val="00D440F0"/>
    <w:rsid w:val="00D4452A"/>
    <w:rsid w:val="00D445A6"/>
    <w:rsid w:val="00D445DD"/>
    <w:rsid w:val="00D445EE"/>
    <w:rsid w:val="00D44623"/>
    <w:rsid w:val="00D446C9"/>
    <w:rsid w:val="00D44802"/>
    <w:rsid w:val="00D44891"/>
    <w:rsid w:val="00D449BE"/>
    <w:rsid w:val="00D44A52"/>
    <w:rsid w:val="00D44B09"/>
    <w:rsid w:val="00D44B2A"/>
    <w:rsid w:val="00D44BFF"/>
    <w:rsid w:val="00D44C0A"/>
    <w:rsid w:val="00D44D66"/>
    <w:rsid w:val="00D44E1D"/>
    <w:rsid w:val="00D44EA6"/>
    <w:rsid w:val="00D44EB5"/>
    <w:rsid w:val="00D44EB7"/>
    <w:rsid w:val="00D44EDD"/>
    <w:rsid w:val="00D44F3C"/>
    <w:rsid w:val="00D44F48"/>
    <w:rsid w:val="00D44F65"/>
    <w:rsid w:val="00D44FBA"/>
    <w:rsid w:val="00D44FE5"/>
    <w:rsid w:val="00D45026"/>
    <w:rsid w:val="00D45198"/>
    <w:rsid w:val="00D451AD"/>
    <w:rsid w:val="00D452EA"/>
    <w:rsid w:val="00D45349"/>
    <w:rsid w:val="00D45366"/>
    <w:rsid w:val="00D453A0"/>
    <w:rsid w:val="00D453B2"/>
    <w:rsid w:val="00D45407"/>
    <w:rsid w:val="00D45520"/>
    <w:rsid w:val="00D45581"/>
    <w:rsid w:val="00D45628"/>
    <w:rsid w:val="00D45754"/>
    <w:rsid w:val="00D45838"/>
    <w:rsid w:val="00D45865"/>
    <w:rsid w:val="00D45964"/>
    <w:rsid w:val="00D4598B"/>
    <w:rsid w:val="00D45A02"/>
    <w:rsid w:val="00D45A92"/>
    <w:rsid w:val="00D45B74"/>
    <w:rsid w:val="00D45C93"/>
    <w:rsid w:val="00D45CAF"/>
    <w:rsid w:val="00D45E28"/>
    <w:rsid w:val="00D45F00"/>
    <w:rsid w:val="00D45F9F"/>
    <w:rsid w:val="00D45FD4"/>
    <w:rsid w:val="00D46015"/>
    <w:rsid w:val="00D46042"/>
    <w:rsid w:val="00D460EC"/>
    <w:rsid w:val="00D4622A"/>
    <w:rsid w:val="00D46428"/>
    <w:rsid w:val="00D464D3"/>
    <w:rsid w:val="00D465A2"/>
    <w:rsid w:val="00D465CE"/>
    <w:rsid w:val="00D4660E"/>
    <w:rsid w:val="00D466A5"/>
    <w:rsid w:val="00D4676A"/>
    <w:rsid w:val="00D46A29"/>
    <w:rsid w:val="00D46C0E"/>
    <w:rsid w:val="00D46C70"/>
    <w:rsid w:val="00D46CC2"/>
    <w:rsid w:val="00D46CEE"/>
    <w:rsid w:val="00D46D45"/>
    <w:rsid w:val="00D46EC0"/>
    <w:rsid w:val="00D46ED7"/>
    <w:rsid w:val="00D46F3C"/>
    <w:rsid w:val="00D47046"/>
    <w:rsid w:val="00D4705A"/>
    <w:rsid w:val="00D47121"/>
    <w:rsid w:val="00D47166"/>
    <w:rsid w:val="00D471F7"/>
    <w:rsid w:val="00D473BA"/>
    <w:rsid w:val="00D474BD"/>
    <w:rsid w:val="00D47658"/>
    <w:rsid w:val="00D477C9"/>
    <w:rsid w:val="00D478E4"/>
    <w:rsid w:val="00D47973"/>
    <w:rsid w:val="00D47B29"/>
    <w:rsid w:val="00D47BC6"/>
    <w:rsid w:val="00D47D2F"/>
    <w:rsid w:val="00D47E1C"/>
    <w:rsid w:val="00D47F37"/>
    <w:rsid w:val="00D47FC6"/>
    <w:rsid w:val="00D50003"/>
    <w:rsid w:val="00D500E0"/>
    <w:rsid w:val="00D50110"/>
    <w:rsid w:val="00D50540"/>
    <w:rsid w:val="00D5071A"/>
    <w:rsid w:val="00D5071E"/>
    <w:rsid w:val="00D50836"/>
    <w:rsid w:val="00D50901"/>
    <w:rsid w:val="00D50975"/>
    <w:rsid w:val="00D5097D"/>
    <w:rsid w:val="00D5097F"/>
    <w:rsid w:val="00D50B7A"/>
    <w:rsid w:val="00D50C4C"/>
    <w:rsid w:val="00D50D1D"/>
    <w:rsid w:val="00D50E0B"/>
    <w:rsid w:val="00D50E7E"/>
    <w:rsid w:val="00D50F19"/>
    <w:rsid w:val="00D51055"/>
    <w:rsid w:val="00D51151"/>
    <w:rsid w:val="00D512F2"/>
    <w:rsid w:val="00D514C9"/>
    <w:rsid w:val="00D51504"/>
    <w:rsid w:val="00D516A9"/>
    <w:rsid w:val="00D516AA"/>
    <w:rsid w:val="00D51752"/>
    <w:rsid w:val="00D51792"/>
    <w:rsid w:val="00D5181B"/>
    <w:rsid w:val="00D51824"/>
    <w:rsid w:val="00D5187C"/>
    <w:rsid w:val="00D518A3"/>
    <w:rsid w:val="00D51971"/>
    <w:rsid w:val="00D51A0A"/>
    <w:rsid w:val="00D51A5E"/>
    <w:rsid w:val="00D51AB9"/>
    <w:rsid w:val="00D51AEC"/>
    <w:rsid w:val="00D51BAC"/>
    <w:rsid w:val="00D51C55"/>
    <w:rsid w:val="00D51E13"/>
    <w:rsid w:val="00D51E3E"/>
    <w:rsid w:val="00D52053"/>
    <w:rsid w:val="00D52080"/>
    <w:rsid w:val="00D52173"/>
    <w:rsid w:val="00D52237"/>
    <w:rsid w:val="00D52310"/>
    <w:rsid w:val="00D5232B"/>
    <w:rsid w:val="00D52382"/>
    <w:rsid w:val="00D523C6"/>
    <w:rsid w:val="00D523F3"/>
    <w:rsid w:val="00D5240B"/>
    <w:rsid w:val="00D524BA"/>
    <w:rsid w:val="00D525AE"/>
    <w:rsid w:val="00D525AF"/>
    <w:rsid w:val="00D526E0"/>
    <w:rsid w:val="00D528CC"/>
    <w:rsid w:val="00D52934"/>
    <w:rsid w:val="00D5297E"/>
    <w:rsid w:val="00D529C2"/>
    <w:rsid w:val="00D52B55"/>
    <w:rsid w:val="00D52BDF"/>
    <w:rsid w:val="00D52BF1"/>
    <w:rsid w:val="00D52C1B"/>
    <w:rsid w:val="00D52C73"/>
    <w:rsid w:val="00D52D11"/>
    <w:rsid w:val="00D52D4D"/>
    <w:rsid w:val="00D52DA7"/>
    <w:rsid w:val="00D52DE6"/>
    <w:rsid w:val="00D53050"/>
    <w:rsid w:val="00D53094"/>
    <w:rsid w:val="00D530E2"/>
    <w:rsid w:val="00D531A1"/>
    <w:rsid w:val="00D531A5"/>
    <w:rsid w:val="00D5342A"/>
    <w:rsid w:val="00D5358A"/>
    <w:rsid w:val="00D53638"/>
    <w:rsid w:val="00D53648"/>
    <w:rsid w:val="00D538FC"/>
    <w:rsid w:val="00D5392E"/>
    <w:rsid w:val="00D53972"/>
    <w:rsid w:val="00D539EB"/>
    <w:rsid w:val="00D53A0F"/>
    <w:rsid w:val="00D53BE5"/>
    <w:rsid w:val="00D53D66"/>
    <w:rsid w:val="00D53DD0"/>
    <w:rsid w:val="00D53F52"/>
    <w:rsid w:val="00D540E4"/>
    <w:rsid w:val="00D5418C"/>
    <w:rsid w:val="00D54228"/>
    <w:rsid w:val="00D5425F"/>
    <w:rsid w:val="00D5426F"/>
    <w:rsid w:val="00D5428C"/>
    <w:rsid w:val="00D54393"/>
    <w:rsid w:val="00D54410"/>
    <w:rsid w:val="00D54515"/>
    <w:rsid w:val="00D5460A"/>
    <w:rsid w:val="00D54778"/>
    <w:rsid w:val="00D54794"/>
    <w:rsid w:val="00D54884"/>
    <w:rsid w:val="00D54A72"/>
    <w:rsid w:val="00D54AC0"/>
    <w:rsid w:val="00D54C2E"/>
    <w:rsid w:val="00D54CF0"/>
    <w:rsid w:val="00D54D25"/>
    <w:rsid w:val="00D54D50"/>
    <w:rsid w:val="00D54F1B"/>
    <w:rsid w:val="00D54F95"/>
    <w:rsid w:val="00D5500A"/>
    <w:rsid w:val="00D55121"/>
    <w:rsid w:val="00D552BD"/>
    <w:rsid w:val="00D552E2"/>
    <w:rsid w:val="00D5536F"/>
    <w:rsid w:val="00D55398"/>
    <w:rsid w:val="00D554E0"/>
    <w:rsid w:val="00D5550C"/>
    <w:rsid w:val="00D5565B"/>
    <w:rsid w:val="00D5577A"/>
    <w:rsid w:val="00D558F1"/>
    <w:rsid w:val="00D5596E"/>
    <w:rsid w:val="00D55981"/>
    <w:rsid w:val="00D55A32"/>
    <w:rsid w:val="00D55B03"/>
    <w:rsid w:val="00D55C95"/>
    <w:rsid w:val="00D55CED"/>
    <w:rsid w:val="00D55E30"/>
    <w:rsid w:val="00D55E4C"/>
    <w:rsid w:val="00D55F0A"/>
    <w:rsid w:val="00D55F2F"/>
    <w:rsid w:val="00D55F71"/>
    <w:rsid w:val="00D55FCD"/>
    <w:rsid w:val="00D55FE0"/>
    <w:rsid w:val="00D5608B"/>
    <w:rsid w:val="00D56121"/>
    <w:rsid w:val="00D5631F"/>
    <w:rsid w:val="00D5637A"/>
    <w:rsid w:val="00D563D8"/>
    <w:rsid w:val="00D5648F"/>
    <w:rsid w:val="00D56500"/>
    <w:rsid w:val="00D5654A"/>
    <w:rsid w:val="00D56583"/>
    <w:rsid w:val="00D5658F"/>
    <w:rsid w:val="00D5660B"/>
    <w:rsid w:val="00D56617"/>
    <w:rsid w:val="00D56641"/>
    <w:rsid w:val="00D56658"/>
    <w:rsid w:val="00D56659"/>
    <w:rsid w:val="00D56711"/>
    <w:rsid w:val="00D56902"/>
    <w:rsid w:val="00D56C42"/>
    <w:rsid w:val="00D56E60"/>
    <w:rsid w:val="00D56E66"/>
    <w:rsid w:val="00D56E8A"/>
    <w:rsid w:val="00D56F61"/>
    <w:rsid w:val="00D56F6B"/>
    <w:rsid w:val="00D56F72"/>
    <w:rsid w:val="00D56FAC"/>
    <w:rsid w:val="00D570FE"/>
    <w:rsid w:val="00D57124"/>
    <w:rsid w:val="00D57184"/>
    <w:rsid w:val="00D57185"/>
    <w:rsid w:val="00D571E9"/>
    <w:rsid w:val="00D571EE"/>
    <w:rsid w:val="00D57278"/>
    <w:rsid w:val="00D5734B"/>
    <w:rsid w:val="00D573C5"/>
    <w:rsid w:val="00D573EE"/>
    <w:rsid w:val="00D57409"/>
    <w:rsid w:val="00D57423"/>
    <w:rsid w:val="00D5742D"/>
    <w:rsid w:val="00D57453"/>
    <w:rsid w:val="00D57464"/>
    <w:rsid w:val="00D5750B"/>
    <w:rsid w:val="00D5750F"/>
    <w:rsid w:val="00D57615"/>
    <w:rsid w:val="00D5769F"/>
    <w:rsid w:val="00D579D2"/>
    <w:rsid w:val="00D57A5F"/>
    <w:rsid w:val="00D57BD3"/>
    <w:rsid w:val="00D57C04"/>
    <w:rsid w:val="00D57C2E"/>
    <w:rsid w:val="00D57C2F"/>
    <w:rsid w:val="00D57C56"/>
    <w:rsid w:val="00D57CBD"/>
    <w:rsid w:val="00D57D9D"/>
    <w:rsid w:val="00D57DF6"/>
    <w:rsid w:val="00D57E22"/>
    <w:rsid w:val="00D57F9A"/>
    <w:rsid w:val="00D57FBA"/>
    <w:rsid w:val="00D57FC9"/>
    <w:rsid w:val="00D57FD6"/>
    <w:rsid w:val="00D5AABF"/>
    <w:rsid w:val="00D60067"/>
    <w:rsid w:val="00D60256"/>
    <w:rsid w:val="00D60283"/>
    <w:rsid w:val="00D6034D"/>
    <w:rsid w:val="00D6045E"/>
    <w:rsid w:val="00D604C5"/>
    <w:rsid w:val="00D605C3"/>
    <w:rsid w:val="00D60607"/>
    <w:rsid w:val="00D6061D"/>
    <w:rsid w:val="00D6068E"/>
    <w:rsid w:val="00D60770"/>
    <w:rsid w:val="00D6085D"/>
    <w:rsid w:val="00D608FD"/>
    <w:rsid w:val="00D60B6F"/>
    <w:rsid w:val="00D60BE7"/>
    <w:rsid w:val="00D60CAE"/>
    <w:rsid w:val="00D60F84"/>
    <w:rsid w:val="00D6110D"/>
    <w:rsid w:val="00D61159"/>
    <w:rsid w:val="00D61198"/>
    <w:rsid w:val="00D61199"/>
    <w:rsid w:val="00D6123A"/>
    <w:rsid w:val="00D612C7"/>
    <w:rsid w:val="00D61358"/>
    <w:rsid w:val="00D613B7"/>
    <w:rsid w:val="00D6153E"/>
    <w:rsid w:val="00D6155F"/>
    <w:rsid w:val="00D615BF"/>
    <w:rsid w:val="00D61628"/>
    <w:rsid w:val="00D6166C"/>
    <w:rsid w:val="00D6170A"/>
    <w:rsid w:val="00D617C4"/>
    <w:rsid w:val="00D61849"/>
    <w:rsid w:val="00D61965"/>
    <w:rsid w:val="00D619AB"/>
    <w:rsid w:val="00D61A5B"/>
    <w:rsid w:val="00D61BA8"/>
    <w:rsid w:val="00D61D8B"/>
    <w:rsid w:val="00D61DB8"/>
    <w:rsid w:val="00D61E33"/>
    <w:rsid w:val="00D61E5E"/>
    <w:rsid w:val="00D61E68"/>
    <w:rsid w:val="00D61F29"/>
    <w:rsid w:val="00D62077"/>
    <w:rsid w:val="00D620A6"/>
    <w:rsid w:val="00D620E5"/>
    <w:rsid w:val="00D62297"/>
    <w:rsid w:val="00D622A6"/>
    <w:rsid w:val="00D6235F"/>
    <w:rsid w:val="00D62380"/>
    <w:rsid w:val="00D62477"/>
    <w:rsid w:val="00D6249A"/>
    <w:rsid w:val="00D62592"/>
    <w:rsid w:val="00D625B2"/>
    <w:rsid w:val="00D6272E"/>
    <w:rsid w:val="00D6280D"/>
    <w:rsid w:val="00D6284C"/>
    <w:rsid w:val="00D6285B"/>
    <w:rsid w:val="00D6287E"/>
    <w:rsid w:val="00D628B6"/>
    <w:rsid w:val="00D629BA"/>
    <w:rsid w:val="00D62A49"/>
    <w:rsid w:val="00D62ABC"/>
    <w:rsid w:val="00D62B3B"/>
    <w:rsid w:val="00D62B4D"/>
    <w:rsid w:val="00D62D52"/>
    <w:rsid w:val="00D62D62"/>
    <w:rsid w:val="00D62D8C"/>
    <w:rsid w:val="00D62DB6"/>
    <w:rsid w:val="00D62E27"/>
    <w:rsid w:val="00D62E34"/>
    <w:rsid w:val="00D62E45"/>
    <w:rsid w:val="00D62E6B"/>
    <w:rsid w:val="00D62ED0"/>
    <w:rsid w:val="00D62F76"/>
    <w:rsid w:val="00D63046"/>
    <w:rsid w:val="00D63096"/>
    <w:rsid w:val="00D630AC"/>
    <w:rsid w:val="00D63101"/>
    <w:rsid w:val="00D631F5"/>
    <w:rsid w:val="00D63255"/>
    <w:rsid w:val="00D63263"/>
    <w:rsid w:val="00D633CD"/>
    <w:rsid w:val="00D634B8"/>
    <w:rsid w:val="00D634FC"/>
    <w:rsid w:val="00D63798"/>
    <w:rsid w:val="00D6391C"/>
    <w:rsid w:val="00D6392D"/>
    <w:rsid w:val="00D639D1"/>
    <w:rsid w:val="00D63B40"/>
    <w:rsid w:val="00D63C92"/>
    <w:rsid w:val="00D63E06"/>
    <w:rsid w:val="00D63E3A"/>
    <w:rsid w:val="00D63ED7"/>
    <w:rsid w:val="00D64098"/>
    <w:rsid w:val="00D64123"/>
    <w:rsid w:val="00D64287"/>
    <w:rsid w:val="00D642E4"/>
    <w:rsid w:val="00D6449B"/>
    <w:rsid w:val="00D644A7"/>
    <w:rsid w:val="00D64750"/>
    <w:rsid w:val="00D64762"/>
    <w:rsid w:val="00D6479C"/>
    <w:rsid w:val="00D648AF"/>
    <w:rsid w:val="00D648E0"/>
    <w:rsid w:val="00D64903"/>
    <w:rsid w:val="00D649C0"/>
    <w:rsid w:val="00D64A99"/>
    <w:rsid w:val="00D64AEB"/>
    <w:rsid w:val="00D64B2D"/>
    <w:rsid w:val="00D64CA3"/>
    <w:rsid w:val="00D64DD5"/>
    <w:rsid w:val="00D64E2E"/>
    <w:rsid w:val="00D650CC"/>
    <w:rsid w:val="00D651C6"/>
    <w:rsid w:val="00D6526C"/>
    <w:rsid w:val="00D652C3"/>
    <w:rsid w:val="00D65521"/>
    <w:rsid w:val="00D65531"/>
    <w:rsid w:val="00D65544"/>
    <w:rsid w:val="00D65576"/>
    <w:rsid w:val="00D655F8"/>
    <w:rsid w:val="00D6567F"/>
    <w:rsid w:val="00D65787"/>
    <w:rsid w:val="00D658DB"/>
    <w:rsid w:val="00D6595B"/>
    <w:rsid w:val="00D659C4"/>
    <w:rsid w:val="00D65AE2"/>
    <w:rsid w:val="00D65BA3"/>
    <w:rsid w:val="00D65CB1"/>
    <w:rsid w:val="00D65CD1"/>
    <w:rsid w:val="00D65D77"/>
    <w:rsid w:val="00D65D7D"/>
    <w:rsid w:val="00D65ED7"/>
    <w:rsid w:val="00D65F96"/>
    <w:rsid w:val="00D65FF7"/>
    <w:rsid w:val="00D6600E"/>
    <w:rsid w:val="00D66032"/>
    <w:rsid w:val="00D6606E"/>
    <w:rsid w:val="00D660CB"/>
    <w:rsid w:val="00D660D6"/>
    <w:rsid w:val="00D6610B"/>
    <w:rsid w:val="00D6614C"/>
    <w:rsid w:val="00D6617C"/>
    <w:rsid w:val="00D6620E"/>
    <w:rsid w:val="00D6626A"/>
    <w:rsid w:val="00D662BF"/>
    <w:rsid w:val="00D6631B"/>
    <w:rsid w:val="00D66443"/>
    <w:rsid w:val="00D66473"/>
    <w:rsid w:val="00D66477"/>
    <w:rsid w:val="00D664B8"/>
    <w:rsid w:val="00D66551"/>
    <w:rsid w:val="00D6666A"/>
    <w:rsid w:val="00D66704"/>
    <w:rsid w:val="00D66776"/>
    <w:rsid w:val="00D66796"/>
    <w:rsid w:val="00D66861"/>
    <w:rsid w:val="00D66A2F"/>
    <w:rsid w:val="00D66B28"/>
    <w:rsid w:val="00D66C7D"/>
    <w:rsid w:val="00D66D1D"/>
    <w:rsid w:val="00D66D50"/>
    <w:rsid w:val="00D66DE8"/>
    <w:rsid w:val="00D66F7D"/>
    <w:rsid w:val="00D66FF6"/>
    <w:rsid w:val="00D6703D"/>
    <w:rsid w:val="00D672F3"/>
    <w:rsid w:val="00D67336"/>
    <w:rsid w:val="00D673E8"/>
    <w:rsid w:val="00D674F0"/>
    <w:rsid w:val="00D6759B"/>
    <w:rsid w:val="00D675A6"/>
    <w:rsid w:val="00D67700"/>
    <w:rsid w:val="00D6776F"/>
    <w:rsid w:val="00D67817"/>
    <w:rsid w:val="00D67900"/>
    <w:rsid w:val="00D67977"/>
    <w:rsid w:val="00D679B3"/>
    <w:rsid w:val="00D67A63"/>
    <w:rsid w:val="00D67A75"/>
    <w:rsid w:val="00D67AFB"/>
    <w:rsid w:val="00D67B28"/>
    <w:rsid w:val="00D67D16"/>
    <w:rsid w:val="00D67E20"/>
    <w:rsid w:val="00D67E48"/>
    <w:rsid w:val="00D67F8A"/>
    <w:rsid w:val="00D67FCE"/>
    <w:rsid w:val="00D7001A"/>
    <w:rsid w:val="00D70091"/>
    <w:rsid w:val="00D700EA"/>
    <w:rsid w:val="00D70136"/>
    <w:rsid w:val="00D70250"/>
    <w:rsid w:val="00D702FF"/>
    <w:rsid w:val="00D70396"/>
    <w:rsid w:val="00D703F3"/>
    <w:rsid w:val="00D70570"/>
    <w:rsid w:val="00D705CC"/>
    <w:rsid w:val="00D70617"/>
    <w:rsid w:val="00D706E3"/>
    <w:rsid w:val="00D7082C"/>
    <w:rsid w:val="00D7087C"/>
    <w:rsid w:val="00D708C3"/>
    <w:rsid w:val="00D70B93"/>
    <w:rsid w:val="00D70C17"/>
    <w:rsid w:val="00D70C50"/>
    <w:rsid w:val="00D70D14"/>
    <w:rsid w:val="00D70D50"/>
    <w:rsid w:val="00D70D65"/>
    <w:rsid w:val="00D70D82"/>
    <w:rsid w:val="00D70E9A"/>
    <w:rsid w:val="00D70ECB"/>
    <w:rsid w:val="00D70F83"/>
    <w:rsid w:val="00D71008"/>
    <w:rsid w:val="00D710B4"/>
    <w:rsid w:val="00D71173"/>
    <w:rsid w:val="00D711F2"/>
    <w:rsid w:val="00D71390"/>
    <w:rsid w:val="00D715B6"/>
    <w:rsid w:val="00D7167A"/>
    <w:rsid w:val="00D716A5"/>
    <w:rsid w:val="00D717F5"/>
    <w:rsid w:val="00D719A4"/>
    <w:rsid w:val="00D71A19"/>
    <w:rsid w:val="00D71A2A"/>
    <w:rsid w:val="00D71AA3"/>
    <w:rsid w:val="00D71CA1"/>
    <w:rsid w:val="00D71CB5"/>
    <w:rsid w:val="00D71D65"/>
    <w:rsid w:val="00D71DD3"/>
    <w:rsid w:val="00D71F2D"/>
    <w:rsid w:val="00D71F51"/>
    <w:rsid w:val="00D71FC3"/>
    <w:rsid w:val="00D7201E"/>
    <w:rsid w:val="00D721B4"/>
    <w:rsid w:val="00D7220C"/>
    <w:rsid w:val="00D72542"/>
    <w:rsid w:val="00D7256A"/>
    <w:rsid w:val="00D726B5"/>
    <w:rsid w:val="00D72776"/>
    <w:rsid w:val="00D72854"/>
    <w:rsid w:val="00D72878"/>
    <w:rsid w:val="00D728AB"/>
    <w:rsid w:val="00D728D0"/>
    <w:rsid w:val="00D728F3"/>
    <w:rsid w:val="00D729A1"/>
    <w:rsid w:val="00D72A06"/>
    <w:rsid w:val="00D72A9E"/>
    <w:rsid w:val="00D72B3E"/>
    <w:rsid w:val="00D72B5E"/>
    <w:rsid w:val="00D72C00"/>
    <w:rsid w:val="00D72D30"/>
    <w:rsid w:val="00D72D5A"/>
    <w:rsid w:val="00D72D94"/>
    <w:rsid w:val="00D72E86"/>
    <w:rsid w:val="00D72F3C"/>
    <w:rsid w:val="00D72F5E"/>
    <w:rsid w:val="00D72FAA"/>
    <w:rsid w:val="00D72FB9"/>
    <w:rsid w:val="00D73009"/>
    <w:rsid w:val="00D7309A"/>
    <w:rsid w:val="00D73106"/>
    <w:rsid w:val="00D73129"/>
    <w:rsid w:val="00D731B5"/>
    <w:rsid w:val="00D732CF"/>
    <w:rsid w:val="00D732D7"/>
    <w:rsid w:val="00D73308"/>
    <w:rsid w:val="00D73440"/>
    <w:rsid w:val="00D7344D"/>
    <w:rsid w:val="00D73722"/>
    <w:rsid w:val="00D73794"/>
    <w:rsid w:val="00D738C0"/>
    <w:rsid w:val="00D738DE"/>
    <w:rsid w:val="00D738F2"/>
    <w:rsid w:val="00D73975"/>
    <w:rsid w:val="00D739FF"/>
    <w:rsid w:val="00D73A78"/>
    <w:rsid w:val="00D73AB6"/>
    <w:rsid w:val="00D73B3D"/>
    <w:rsid w:val="00D73B4E"/>
    <w:rsid w:val="00D73D6D"/>
    <w:rsid w:val="00D73DD3"/>
    <w:rsid w:val="00D73E91"/>
    <w:rsid w:val="00D73F78"/>
    <w:rsid w:val="00D74003"/>
    <w:rsid w:val="00D74110"/>
    <w:rsid w:val="00D74179"/>
    <w:rsid w:val="00D74386"/>
    <w:rsid w:val="00D7450D"/>
    <w:rsid w:val="00D745BA"/>
    <w:rsid w:val="00D7463F"/>
    <w:rsid w:val="00D74691"/>
    <w:rsid w:val="00D748B4"/>
    <w:rsid w:val="00D748EA"/>
    <w:rsid w:val="00D74932"/>
    <w:rsid w:val="00D7493E"/>
    <w:rsid w:val="00D749DE"/>
    <w:rsid w:val="00D74AD4"/>
    <w:rsid w:val="00D74AE0"/>
    <w:rsid w:val="00D74C04"/>
    <w:rsid w:val="00D74C15"/>
    <w:rsid w:val="00D74C45"/>
    <w:rsid w:val="00D74C4D"/>
    <w:rsid w:val="00D74C91"/>
    <w:rsid w:val="00D74CA8"/>
    <w:rsid w:val="00D74D3F"/>
    <w:rsid w:val="00D74D64"/>
    <w:rsid w:val="00D74DED"/>
    <w:rsid w:val="00D74E0E"/>
    <w:rsid w:val="00D74F03"/>
    <w:rsid w:val="00D74F7A"/>
    <w:rsid w:val="00D74FF1"/>
    <w:rsid w:val="00D750DF"/>
    <w:rsid w:val="00D75106"/>
    <w:rsid w:val="00D7519E"/>
    <w:rsid w:val="00D75217"/>
    <w:rsid w:val="00D75238"/>
    <w:rsid w:val="00D752D6"/>
    <w:rsid w:val="00D75467"/>
    <w:rsid w:val="00D7549E"/>
    <w:rsid w:val="00D75603"/>
    <w:rsid w:val="00D75619"/>
    <w:rsid w:val="00D75737"/>
    <w:rsid w:val="00D75835"/>
    <w:rsid w:val="00D75946"/>
    <w:rsid w:val="00D75965"/>
    <w:rsid w:val="00D759E7"/>
    <w:rsid w:val="00D75A48"/>
    <w:rsid w:val="00D75AAD"/>
    <w:rsid w:val="00D75ABA"/>
    <w:rsid w:val="00D75AD2"/>
    <w:rsid w:val="00D75C7C"/>
    <w:rsid w:val="00D75CD1"/>
    <w:rsid w:val="00D75D1D"/>
    <w:rsid w:val="00D75D46"/>
    <w:rsid w:val="00D75D61"/>
    <w:rsid w:val="00D75D6B"/>
    <w:rsid w:val="00D75D8B"/>
    <w:rsid w:val="00D75DDD"/>
    <w:rsid w:val="00D75E0D"/>
    <w:rsid w:val="00D75E5B"/>
    <w:rsid w:val="00D75E61"/>
    <w:rsid w:val="00D7603B"/>
    <w:rsid w:val="00D7603C"/>
    <w:rsid w:val="00D76382"/>
    <w:rsid w:val="00D764D3"/>
    <w:rsid w:val="00D76506"/>
    <w:rsid w:val="00D7663B"/>
    <w:rsid w:val="00D766E2"/>
    <w:rsid w:val="00D767EC"/>
    <w:rsid w:val="00D767F2"/>
    <w:rsid w:val="00D768DC"/>
    <w:rsid w:val="00D76A05"/>
    <w:rsid w:val="00D76A15"/>
    <w:rsid w:val="00D76A17"/>
    <w:rsid w:val="00D76C8F"/>
    <w:rsid w:val="00D76C90"/>
    <w:rsid w:val="00D76DB6"/>
    <w:rsid w:val="00D76DF3"/>
    <w:rsid w:val="00D76EF2"/>
    <w:rsid w:val="00D76F83"/>
    <w:rsid w:val="00D770A1"/>
    <w:rsid w:val="00D770A6"/>
    <w:rsid w:val="00D77196"/>
    <w:rsid w:val="00D771EB"/>
    <w:rsid w:val="00D771F1"/>
    <w:rsid w:val="00D77207"/>
    <w:rsid w:val="00D77249"/>
    <w:rsid w:val="00D772B4"/>
    <w:rsid w:val="00D772D7"/>
    <w:rsid w:val="00D774CD"/>
    <w:rsid w:val="00D77620"/>
    <w:rsid w:val="00D77692"/>
    <w:rsid w:val="00D77765"/>
    <w:rsid w:val="00D77816"/>
    <w:rsid w:val="00D77857"/>
    <w:rsid w:val="00D778BD"/>
    <w:rsid w:val="00D778D9"/>
    <w:rsid w:val="00D77A49"/>
    <w:rsid w:val="00D77BBB"/>
    <w:rsid w:val="00D77C53"/>
    <w:rsid w:val="00D77CAB"/>
    <w:rsid w:val="00D77D32"/>
    <w:rsid w:val="00D77DE2"/>
    <w:rsid w:val="00D77EE7"/>
    <w:rsid w:val="00D77EF1"/>
    <w:rsid w:val="00D77F6B"/>
    <w:rsid w:val="00D800A6"/>
    <w:rsid w:val="00D80193"/>
    <w:rsid w:val="00D80229"/>
    <w:rsid w:val="00D8027A"/>
    <w:rsid w:val="00D802C1"/>
    <w:rsid w:val="00D80586"/>
    <w:rsid w:val="00D80669"/>
    <w:rsid w:val="00D8071B"/>
    <w:rsid w:val="00D80797"/>
    <w:rsid w:val="00D80866"/>
    <w:rsid w:val="00D808D6"/>
    <w:rsid w:val="00D80906"/>
    <w:rsid w:val="00D80921"/>
    <w:rsid w:val="00D8092D"/>
    <w:rsid w:val="00D809D6"/>
    <w:rsid w:val="00D809DE"/>
    <w:rsid w:val="00D80A75"/>
    <w:rsid w:val="00D80A76"/>
    <w:rsid w:val="00D80B40"/>
    <w:rsid w:val="00D80BEF"/>
    <w:rsid w:val="00D80F4D"/>
    <w:rsid w:val="00D80F58"/>
    <w:rsid w:val="00D810F3"/>
    <w:rsid w:val="00D81133"/>
    <w:rsid w:val="00D81390"/>
    <w:rsid w:val="00D813BC"/>
    <w:rsid w:val="00D81921"/>
    <w:rsid w:val="00D81939"/>
    <w:rsid w:val="00D8197C"/>
    <w:rsid w:val="00D81A80"/>
    <w:rsid w:val="00D81B1C"/>
    <w:rsid w:val="00D81B56"/>
    <w:rsid w:val="00D81E82"/>
    <w:rsid w:val="00D81F79"/>
    <w:rsid w:val="00D8214C"/>
    <w:rsid w:val="00D822C8"/>
    <w:rsid w:val="00D8255F"/>
    <w:rsid w:val="00D8260E"/>
    <w:rsid w:val="00D82696"/>
    <w:rsid w:val="00D826DE"/>
    <w:rsid w:val="00D8271F"/>
    <w:rsid w:val="00D82745"/>
    <w:rsid w:val="00D8274B"/>
    <w:rsid w:val="00D827D8"/>
    <w:rsid w:val="00D82990"/>
    <w:rsid w:val="00D82AD4"/>
    <w:rsid w:val="00D82AD6"/>
    <w:rsid w:val="00D82B1D"/>
    <w:rsid w:val="00D82CDC"/>
    <w:rsid w:val="00D82CE1"/>
    <w:rsid w:val="00D82D32"/>
    <w:rsid w:val="00D82D9F"/>
    <w:rsid w:val="00D82EA8"/>
    <w:rsid w:val="00D82F03"/>
    <w:rsid w:val="00D82F38"/>
    <w:rsid w:val="00D82F96"/>
    <w:rsid w:val="00D830A1"/>
    <w:rsid w:val="00D8315C"/>
    <w:rsid w:val="00D8344B"/>
    <w:rsid w:val="00D83468"/>
    <w:rsid w:val="00D8362C"/>
    <w:rsid w:val="00D83734"/>
    <w:rsid w:val="00D83802"/>
    <w:rsid w:val="00D83861"/>
    <w:rsid w:val="00D83903"/>
    <w:rsid w:val="00D83919"/>
    <w:rsid w:val="00D839D7"/>
    <w:rsid w:val="00D83AE5"/>
    <w:rsid w:val="00D83BE8"/>
    <w:rsid w:val="00D83BEE"/>
    <w:rsid w:val="00D83BFF"/>
    <w:rsid w:val="00D83C12"/>
    <w:rsid w:val="00D83C8C"/>
    <w:rsid w:val="00D83DB5"/>
    <w:rsid w:val="00D83DD5"/>
    <w:rsid w:val="00D83F9A"/>
    <w:rsid w:val="00D83FD3"/>
    <w:rsid w:val="00D840AE"/>
    <w:rsid w:val="00D84101"/>
    <w:rsid w:val="00D8420B"/>
    <w:rsid w:val="00D84241"/>
    <w:rsid w:val="00D84509"/>
    <w:rsid w:val="00D846FB"/>
    <w:rsid w:val="00D8497C"/>
    <w:rsid w:val="00D8499B"/>
    <w:rsid w:val="00D84A75"/>
    <w:rsid w:val="00D84B03"/>
    <w:rsid w:val="00D84BA5"/>
    <w:rsid w:val="00D84BA8"/>
    <w:rsid w:val="00D84BC7"/>
    <w:rsid w:val="00D84C24"/>
    <w:rsid w:val="00D84C71"/>
    <w:rsid w:val="00D84CD3"/>
    <w:rsid w:val="00D84D1E"/>
    <w:rsid w:val="00D84D6A"/>
    <w:rsid w:val="00D84DFC"/>
    <w:rsid w:val="00D84E70"/>
    <w:rsid w:val="00D84F04"/>
    <w:rsid w:val="00D84FB5"/>
    <w:rsid w:val="00D85189"/>
    <w:rsid w:val="00D851CD"/>
    <w:rsid w:val="00D851E9"/>
    <w:rsid w:val="00D8522F"/>
    <w:rsid w:val="00D85439"/>
    <w:rsid w:val="00D854E3"/>
    <w:rsid w:val="00D85502"/>
    <w:rsid w:val="00D85513"/>
    <w:rsid w:val="00D85551"/>
    <w:rsid w:val="00D855E8"/>
    <w:rsid w:val="00D855EE"/>
    <w:rsid w:val="00D856C0"/>
    <w:rsid w:val="00D85900"/>
    <w:rsid w:val="00D859DF"/>
    <w:rsid w:val="00D85AFD"/>
    <w:rsid w:val="00D85C72"/>
    <w:rsid w:val="00D85CC8"/>
    <w:rsid w:val="00D85CD1"/>
    <w:rsid w:val="00D85D00"/>
    <w:rsid w:val="00D85E4F"/>
    <w:rsid w:val="00D85E51"/>
    <w:rsid w:val="00D85E91"/>
    <w:rsid w:val="00D85FAE"/>
    <w:rsid w:val="00D860A8"/>
    <w:rsid w:val="00D861DB"/>
    <w:rsid w:val="00D86386"/>
    <w:rsid w:val="00D863BD"/>
    <w:rsid w:val="00D863D3"/>
    <w:rsid w:val="00D863E6"/>
    <w:rsid w:val="00D86491"/>
    <w:rsid w:val="00D864F0"/>
    <w:rsid w:val="00D86570"/>
    <w:rsid w:val="00D86590"/>
    <w:rsid w:val="00D86640"/>
    <w:rsid w:val="00D866C6"/>
    <w:rsid w:val="00D8672B"/>
    <w:rsid w:val="00D867A0"/>
    <w:rsid w:val="00D868DF"/>
    <w:rsid w:val="00D86A4C"/>
    <w:rsid w:val="00D86AF9"/>
    <w:rsid w:val="00D86C2C"/>
    <w:rsid w:val="00D86CB5"/>
    <w:rsid w:val="00D86DB9"/>
    <w:rsid w:val="00D86DDE"/>
    <w:rsid w:val="00D86E5E"/>
    <w:rsid w:val="00D86EA7"/>
    <w:rsid w:val="00D87030"/>
    <w:rsid w:val="00D8707E"/>
    <w:rsid w:val="00D870A2"/>
    <w:rsid w:val="00D87465"/>
    <w:rsid w:val="00D87620"/>
    <w:rsid w:val="00D8767E"/>
    <w:rsid w:val="00D879A8"/>
    <w:rsid w:val="00D879CB"/>
    <w:rsid w:val="00D87AB0"/>
    <w:rsid w:val="00D87B84"/>
    <w:rsid w:val="00D87BB0"/>
    <w:rsid w:val="00D87BD8"/>
    <w:rsid w:val="00D87C2B"/>
    <w:rsid w:val="00D87D13"/>
    <w:rsid w:val="00D87E1A"/>
    <w:rsid w:val="00D9003A"/>
    <w:rsid w:val="00D9003C"/>
    <w:rsid w:val="00D90091"/>
    <w:rsid w:val="00D900D1"/>
    <w:rsid w:val="00D9016B"/>
    <w:rsid w:val="00D901B8"/>
    <w:rsid w:val="00D90247"/>
    <w:rsid w:val="00D90365"/>
    <w:rsid w:val="00D90382"/>
    <w:rsid w:val="00D904CB"/>
    <w:rsid w:val="00D90586"/>
    <w:rsid w:val="00D905AE"/>
    <w:rsid w:val="00D905B2"/>
    <w:rsid w:val="00D906F3"/>
    <w:rsid w:val="00D9079F"/>
    <w:rsid w:val="00D9092F"/>
    <w:rsid w:val="00D909EE"/>
    <w:rsid w:val="00D90B3C"/>
    <w:rsid w:val="00D90B91"/>
    <w:rsid w:val="00D90CD7"/>
    <w:rsid w:val="00D90D18"/>
    <w:rsid w:val="00D90DCD"/>
    <w:rsid w:val="00D90E0E"/>
    <w:rsid w:val="00D90ED5"/>
    <w:rsid w:val="00D90F09"/>
    <w:rsid w:val="00D9111E"/>
    <w:rsid w:val="00D913DA"/>
    <w:rsid w:val="00D913FD"/>
    <w:rsid w:val="00D9149D"/>
    <w:rsid w:val="00D91562"/>
    <w:rsid w:val="00D915BC"/>
    <w:rsid w:val="00D915F5"/>
    <w:rsid w:val="00D91661"/>
    <w:rsid w:val="00D91690"/>
    <w:rsid w:val="00D91698"/>
    <w:rsid w:val="00D91790"/>
    <w:rsid w:val="00D917D5"/>
    <w:rsid w:val="00D91874"/>
    <w:rsid w:val="00D9197A"/>
    <w:rsid w:val="00D919F6"/>
    <w:rsid w:val="00D91A29"/>
    <w:rsid w:val="00D91ACB"/>
    <w:rsid w:val="00D91B00"/>
    <w:rsid w:val="00D91BAC"/>
    <w:rsid w:val="00D91C7F"/>
    <w:rsid w:val="00D91D10"/>
    <w:rsid w:val="00D91DF1"/>
    <w:rsid w:val="00D91E04"/>
    <w:rsid w:val="00D91E1C"/>
    <w:rsid w:val="00D91F1A"/>
    <w:rsid w:val="00D91F55"/>
    <w:rsid w:val="00D91F98"/>
    <w:rsid w:val="00D920A6"/>
    <w:rsid w:val="00D92141"/>
    <w:rsid w:val="00D9215C"/>
    <w:rsid w:val="00D92206"/>
    <w:rsid w:val="00D9227F"/>
    <w:rsid w:val="00D92426"/>
    <w:rsid w:val="00D924A0"/>
    <w:rsid w:val="00D92528"/>
    <w:rsid w:val="00D92577"/>
    <w:rsid w:val="00D9266D"/>
    <w:rsid w:val="00D92733"/>
    <w:rsid w:val="00D92897"/>
    <w:rsid w:val="00D92A4E"/>
    <w:rsid w:val="00D92A82"/>
    <w:rsid w:val="00D92A8E"/>
    <w:rsid w:val="00D92AC7"/>
    <w:rsid w:val="00D92B22"/>
    <w:rsid w:val="00D92B96"/>
    <w:rsid w:val="00D92C5D"/>
    <w:rsid w:val="00D92C60"/>
    <w:rsid w:val="00D92D51"/>
    <w:rsid w:val="00D92DEB"/>
    <w:rsid w:val="00D92E8A"/>
    <w:rsid w:val="00D92EE4"/>
    <w:rsid w:val="00D92FBE"/>
    <w:rsid w:val="00D930E2"/>
    <w:rsid w:val="00D93129"/>
    <w:rsid w:val="00D931FA"/>
    <w:rsid w:val="00D9327F"/>
    <w:rsid w:val="00D93372"/>
    <w:rsid w:val="00D9338D"/>
    <w:rsid w:val="00D935AB"/>
    <w:rsid w:val="00D939A7"/>
    <w:rsid w:val="00D939C0"/>
    <w:rsid w:val="00D93B67"/>
    <w:rsid w:val="00D93B70"/>
    <w:rsid w:val="00D93B8F"/>
    <w:rsid w:val="00D93C0C"/>
    <w:rsid w:val="00D93C60"/>
    <w:rsid w:val="00D94042"/>
    <w:rsid w:val="00D94076"/>
    <w:rsid w:val="00D940E5"/>
    <w:rsid w:val="00D94194"/>
    <w:rsid w:val="00D942F9"/>
    <w:rsid w:val="00D943E1"/>
    <w:rsid w:val="00D94430"/>
    <w:rsid w:val="00D9446D"/>
    <w:rsid w:val="00D94509"/>
    <w:rsid w:val="00D94516"/>
    <w:rsid w:val="00D9451F"/>
    <w:rsid w:val="00D9454A"/>
    <w:rsid w:val="00D945FB"/>
    <w:rsid w:val="00D946D6"/>
    <w:rsid w:val="00D948E3"/>
    <w:rsid w:val="00D94923"/>
    <w:rsid w:val="00D9499E"/>
    <w:rsid w:val="00D94AD8"/>
    <w:rsid w:val="00D94AE2"/>
    <w:rsid w:val="00D94C62"/>
    <w:rsid w:val="00D94C79"/>
    <w:rsid w:val="00D94FEB"/>
    <w:rsid w:val="00D95141"/>
    <w:rsid w:val="00D95264"/>
    <w:rsid w:val="00D953E6"/>
    <w:rsid w:val="00D9544D"/>
    <w:rsid w:val="00D954D1"/>
    <w:rsid w:val="00D95663"/>
    <w:rsid w:val="00D95716"/>
    <w:rsid w:val="00D9579E"/>
    <w:rsid w:val="00D95889"/>
    <w:rsid w:val="00D959DB"/>
    <w:rsid w:val="00D95A5F"/>
    <w:rsid w:val="00D95AC8"/>
    <w:rsid w:val="00D95AD2"/>
    <w:rsid w:val="00D95B46"/>
    <w:rsid w:val="00D95B4D"/>
    <w:rsid w:val="00D95B57"/>
    <w:rsid w:val="00D95C3E"/>
    <w:rsid w:val="00D95CF6"/>
    <w:rsid w:val="00D95D43"/>
    <w:rsid w:val="00D95EDE"/>
    <w:rsid w:val="00D9617E"/>
    <w:rsid w:val="00D961FF"/>
    <w:rsid w:val="00D96267"/>
    <w:rsid w:val="00D962A5"/>
    <w:rsid w:val="00D962C5"/>
    <w:rsid w:val="00D962D1"/>
    <w:rsid w:val="00D962FF"/>
    <w:rsid w:val="00D96364"/>
    <w:rsid w:val="00D963B0"/>
    <w:rsid w:val="00D964A9"/>
    <w:rsid w:val="00D964C9"/>
    <w:rsid w:val="00D964E3"/>
    <w:rsid w:val="00D96566"/>
    <w:rsid w:val="00D9659B"/>
    <w:rsid w:val="00D965D6"/>
    <w:rsid w:val="00D9671C"/>
    <w:rsid w:val="00D96808"/>
    <w:rsid w:val="00D9680A"/>
    <w:rsid w:val="00D969BF"/>
    <w:rsid w:val="00D969C4"/>
    <w:rsid w:val="00D969E9"/>
    <w:rsid w:val="00D969F6"/>
    <w:rsid w:val="00D96A8D"/>
    <w:rsid w:val="00D96B7A"/>
    <w:rsid w:val="00D96C1D"/>
    <w:rsid w:val="00D96C2D"/>
    <w:rsid w:val="00D96C93"/>
    <w:rsid w:val="00D96E31"/>
    <w:rsid w:val="00D96EEF"/>
    <w:rsid w:val="00D96FD6"/>
    <w:rsid w:val="00D970E5"/>
    <w:rsid w:val="00D9715B"/>
    <w:rsid w:val="00D97224"/>
    <w:rsid w:val="00D97270"/>
    <w:rsid w:val="00D9727A"/>
    <w:rsid w:val="00D972F0"/>
    <w:rsid w:val="00D9737F"/>
    <w:rsid w:val="00D9748F"/>
    <w:rsid w:val="00D975C3"/>
    <w:rsid w:val="00D976FE"/>
    <w:rsid w:val="00D97759"/>
    <w:rsid w:val="00D978D9"/>
    <w:rsid w:val="00D97AA1"/>
    <w:rsid w:val="00D97B5A"/>
    <w:rsid w:val="00D97C32"/>
    <w:rsid w:val="00D97C72"/>
    <w:rsid w:val="00D97C7E"/>
    <w:rsid w:val="00D97CC5"/>
    <w:rsid w:val="00D97D31"/>
    <w:rsid w:val="00D97E7E"/>
    <w:rsid w:val="00D97F5F"/>
    <w:rsid w:val="00DA002B"/>
    <w:rsid w:val="00DA017F"/>
    <w:rsid w:val="00DA01AA"/>
    <w:rsid w:val="00DA01E6"/>
    <w:rsid w:val="00DA0206"/>
    <w:rsid w:val="00DA030C"/>
    <w:rsid w:val="00DA037E"/>
    <w:rsid w:val="00DA0407"/>
    <w:rsid w:val="00DA0434"/>
    <w:rsid w:val="00DA0451"/>
    <w:rsid w:val="00DA06B6"/>
    <w:rsid w:val="00DA06BD"/>
    <w:rsid w:val="00DA0847"/>
    <w:rsid w:val="00DA0862"/>
    <w:rsid w:val="00DA08DC"/>
    <w:rsid w:val="00DA0BEA"/>
    <w:rsid w:val="00DA0CE5"/>
    <w:rsid w:val="00DA0EE1"/>
    <w:rsid w:val="00DA0F63"/>
    <w:rsid w:val="00DA101C"/>
    <w:rsid w:val="00DA1193"/>
    <w:rsid w:val="00DA11E9"/>
    <w:rsid w:val="00DA1254"/>
    <w:rsid w:val="00DA126B"/>
    <w:rsid w:val="00DA12C2"/>
    <w:rsid w:val="00DA1699"/>
    <w:rsid w:val="00DA16EE"/>
    <w:rsid w:val="00DA1706"/>
    <w:rsid w:val="00DA1778"/>
    <w:rsid w:val="00DA17B2"/>
    <w:rsid w:val="00DA188D"/>
    <w:rsid w:val="00DA18BC"/>
    <w:rsid w:val="00DA1909"/>
    <w:rsid w:val="00DA195A"/>
    <w:rsid w:val="00DA19D8"/>
    <w:rsid w:val="00DA19E7"/>
    <w:rsid w:val="00DA1AB1"/>
    <w:rsid w:val="00DA1ABB"/>
    <w:rsid w:val="00DA1B18"/>
    <w:rsid w:val="00DA1B4A"/>
    <w:rsid w:val="00DA1BD7"/>
    <w:rsid w:val="00DA1D23"/>
    <w:rsid w:val="00DA1DD8"/>
    <w:rsid w:val="00DA1EEA"/>
    <w:rsid w:val="00DA1FA1"/>
    <w:rsid w:val="00DA2226"/>
    <w:rsid w:val="00DA2307"/>
    <w:rsid w:val="00DA2346"/>
    <w:rsid w:val="00DA2395"/>
    <w:rsid w:val="00DA25B9"/>
    <w:rsid w:val="00DA2666"/>
    <w:rsid w:val="00DA2673"/>
    <w:rsid w:val="00DA2684"/>
    <w:rsid w:val="00DA273B"/>
    <w:rsid w:val="00DA2791"/>
    <w:rsid w:val="00DA2803"/>
    <w:rsid w:val="00DA2893"/>
    <w:rsid w:val="00DA28F6"/>
    <w:rsid w:val="00DA2AE0"/>
    <w:rsid w:val="00DA2C8D"/>
    <w:rsid w:val="00DA2C9F"/>
    <w:rsid w:val="00DA2D4B"/>
    <w:rsid w:val="00DA2DE4"/>
    <w:rsid w:val="00DA2EA5"/>
    <w:rsid w:val="00DA304E"/>
    <w:rsid w:val="00DA3186"/>
    <w:rsid w:val="00DA3268"/>
    <w:rsid w:val="00DA33A8"/>
    <w:rsid w:val="00DA33DC"/>
    <w:rsid w:val="00DA3417"/>
    <w:rsid w:val="00DA34BF"/>
    <w:rsid w:val="00DA3530"/>
    <w:rsid w:val="00DA356C"/>
    <w:rsid w:val="00DA3593"/>
    <w:rsid w:val="00DA36B6"/>
    <w:rsid w:val="00DA3759"/>
    <w:rsid w:val="00DA3794"/>
    <w:rsid w:val="00DA3952"/>
    <w:rsid w:val="00DA3A61"/>
    <w:rsid w:val="00DA3BDA"/>
    <w:rsid w:val="00DA3CAA"/>
    <w:rsid w:val="00DA3CE6"/>
    <w:rsid w:val="00DA3D8A"/>
    <w:rsid w:val="00DA3E29"/>
    <w:rsid w:val="00DA3E91"/>
    <w:rsid w:val="00DA3F26"/>
    <w:rsid w:val="00DA3F31"/>
    <w:rsid w:val="00DA408A"/>
    <w:rsid w:val="00DA410E"/>
    <w:rsid w:val="00DA4263"/>
    <w:rsid w:val="00DA46AC"/>
    <w:rsid w:val="00DA4766"/>
    <w:rsid w:val="00DA47BC"/>
    <w:rsid w:val="00DA4842"/>
    <w:rsid w:val="00DA487B"/>
    <w:rsid w:val="00DA491A"/>
    <w:rsid w:val="00DA49D0"/>
    <w:rsid w:val="00DA4BCA"/>
    <w:rsid w:val="00DA4BE1"/>
    <w:rsid w:val="00DA4E0A"/>
    <w:rsid w:val="00DA4E3E"/>
    <w:rsid w:val="00DA4E76"/>
    <w:rsid w:val="00DA4EA5"/>
    <w:rsid w:val="00DA4EC5"/>
    <w:rsid w:val="00DA4FDB"/>
    <w:rsid w:val="00DA505E"/>
    <w:rsid w:val="00DA507E"/>
    <w:rsid w:val="00DA5158"/>
    <w:rsid w:val="00DA516F"/>
    <w:rsid w:val="00DA51BD"/>
    <w:rsid w:val="00DA5453"/>
    <w:rsid w:val="00DA5474"/>
    <w:rsid w:val="00DA5537"/>
    <w:rsid w:val="00DA579C"/>
    <w:rsid w:val="00DA598D"/>
    <w:rsid w:val="00DA5B74"/>
    <w:rsid w:val="00DA5BCF"/>
    <w:rsid w:val="00DA5C7D"/>
    <w:rsid w:val="00DA5DC8"/>
    <w:rsid w:val="00DA5E87"/>
    <w:rsid w:val="00DA5F2C"/>
    <w:rsid w:val="00DA60D4"/>
    <w:rsid w:val="00DA616D"/>
    <w:rsid w:val="00DA62C3"/>
    <w:rsid w:val="00DA6302"/>
    <w:rsid w:val="00DA6376"/>
    <w:rsid w:val="00DA64AC"/>
    <w:rsid w:val="00DA674B"/>
    <w:rsid w:val="00DA67C4"/>
    <w:rsid w:val="00DA68BB"/>
    <w:rsid w:val="00DA6A04"/>
    <w:rsid w:val="00DA6A32"/>
    <w:rsid w:val="00DA6A7E"/>
    <w:rsid w:val="00DA6B86"/>
    <w:rsid w:val="00DA6D43"/>
    <w:rsid w:val="00DA6EEB"/>
    <w:rsid w:val="00DA6F08"/>
    <w:rsid w:val="00DA6F36"/>
    <w:rsid w:val="00DA6F55"/>
    <w:rsid w:val="00DA6FD8"/>
    <w:rsid w:val="00DA7016"/>
    <w:rsid w:val="00DA70A3"/>
    <w:rsid w:val="00DA70AE"/>
    <w:rsid w:val="00DA7125"/>
    <w:rsid w:val="00DA71B8"/>
    <w:rsid w:val="00DA7232"/>
    <w:rsid w:val="00DA7366"/>
    <w:rsid w:val="00DA74D5"/>
    <w:rsid w:val="00DA74EB"/>
    <w:rsid w:val="00DA7734"/>
    <w:rsid w:val="00DA77B6"/>
    <w:rsid w:val="00DA77E6"/>
    <w:rsid w:val="00DA7987"/>
    <w:rsid w:val="00DA7A89"/>
    <w:rsid w:val="00DA7B02"/>
    <w:rsid w:val="00DA7C15"/>
    <w:rsid w:val="00DA7CAC"/>
    <w:rsid w:val="00DA7E67"/>
    <w:rsid w:val="00DA7E7B"/>
    <w:rsid w:val="00DA7E99"/>
    <w:rsid w:val="00DA7F75"/>
    <w:rsid w:val="00DA7FC5"/>
    <w:rsid w:val="00DB0319"/>
    <w:rsid w:val="00DB0510"/>
    <w:rsid w:val="00DB0639"/>
    <w:rsid w:val="00DB06FA"/>
    <w:rsid w:val="00DB075F"/>
    <w:rsid w:val="00DB0778"/>
    <w:rsid w:val="00DB09DE"/>
    <w:rsid w:val="00DB0AA0"/>
    <w:rsid w:val="00DB0AA5"/>
    <w:rsid w:val="00DB0B96"/>
    <w:rsid w:val="00DB0BCA"/>
    <w:rsid w:val="00DB0C27"/>
    <w:rsid w:val="00DB0D8A"/>
    <w:rsid w:val="00DB0D94"/>
    <w:rsid w:val="00DB0DCD"/>
    <w:rsid w:val="00DB0E97"/>
    <w:rsid w:val="00DB0ED6"/>
    <w:rsid w:val="00DB0F3F"/>
    <w:rsid w:val="00DB0F53"/>
    <w:rsid w:val="00DB0FCC"/>
    <w:rsid w:val="00DB105D"/>
    <w:rsid w:val="00DB10C9"/>
    <w:rsid w:val="00DB137D"/>
    <w:rsid w:val="00DB1397"/>
    <w:rsid w:val="00DB13E9"/>
    <w:rsid w:val="00DB166A"/>
    <w:rsid w:val="00DB178F"/>
    <w:rsid w:val="00DB1814"/>
    <w:rsid w:val="00DB1900"/>
    <w:rsid w:val="00DB1962"/>
    <w:rsid w:val="00DB1974"/>
    <w:rsid w:val="00DB19A6"/>
    <w:rsid w:val="00DB1AB3"/>
    <w:rsid w:val="00DB1AD5"/>
    <w:rsid w:val="00DB1B6A"/>
    <w:rsid w:val="00DB1BC8"/>
    <w:rsid w:val="00DB1BE4"/>
    <w:rsid w:val="00DB1C7A"/>
    <w:rsid w:val="00DB1DAC"/>
    <w:rsid w:val="00DB1E1C"/>
    <w:rsid w:val="00DB1FF3"/>
    <w:rsid w:val="00DB2012"/>
    <w:rsid w:val="00DB208D"/>
    <w:rsid w:val="00DB20DA"/>
    <w:rsid w:val="00DB20DB"/>
    <w:rsid w:val="00DB21DF"/>
    <w:rsid w:val="00DB21E3"/>
    <w:rsid w:val="00DB2217"/>
    <w:rsid w:val="00DB227F"/>
    <w:rsid w:val="00DB22B4"/>
    <w:rsid w:val="00DB23E6"/>
    <w:rsid w:val="00DB242B"/>
    <w:rsid w:val="00DB24C3"/>
    <w:rsid w:val="00DB24CB"/>
    <w:rsid w:val="00DB24FD"/>
    <w:rsid w:val="00DB2597"/>
    <w:rsid w:val="00DB2825"/>
    <w:rsid w:val="00DB28BA"/>
    <w:rsid w:val="00DB298D"/>
    <w:rsid w:val="00DB29EF"/>
    <w:rsid w:val="00DB2BF0"/>
    <w:rsid w:val="00DB2C65"/>
    <w:rsid w:val="00DB2CE6"/>
    <w:rsid w:val="00DB2F42"/>
    <w:rsid w:val="00DB2F72"/>
    <w:rsid w:val="00DB3177"/>
    <w:rsid w:val="00DB3201"/>
    <w:rsid w:val="00DB3303"/>
    <w:rsid w:val="00DB3431"/>
    <w:rsid w:val="00DB3468"/>
    <w:rsid w:val="00DB34AD"/>
    <w:rsid w:val="00DB3619"/>
    <w:rsid w:val="00DB395D"/>
    <w:rsid w:val="00DB3967"/>
    <w:rsid w:val="00DB3C35"/>
    <w:rsid w:val="00DB3C8B"/>
    <w:rsid w:val="00DB3D24"/>
    <w:rsid w:val="00DB3E56"/>
    <w:rsid w:val="00DB3F8D"/>
    <w:rsid w:val="00DB3F8E"/>
    <w:rsid w:val="00DB4091"/>
    <w:rsid w:val="00DB4337"/>
    <w:rsid w:val="00DB45EE"/>
    <w:rsid w:val="00DB4610"/>
    <w:rsid w:val="00DB4880"/>
    <w:rsid w:val="00DB4935"/>
    <w:rsid w:val="00DB4964"/>
    <w:rsid w:val="00DB4A49"/>
    <w:rsid w:val="00DB4B3A"/>
    <w:rsid w:val="00DB4C8F"/>
    <w:rsid w:val="00DB4CF4"/>
    <w:rsid w:val="00DB4CF8"/>
    <w:rsid w:val="00DB4E9B"/>
    <w:rsid w:val="00DB4F73"/>
    <w:rsid w:val="00DB5134"/>
    <w:rsid w:val="00DB5136"/>
    <w:rsid w:val="00DB5236"/>
    <w:rsid w:val="00DB5285"/>
    <w:rsid w:val="00DB546C"/>
    <w:rsid w:val="00DB5657"/>
    <w:rsid w:val="00DB5807"/>
    <w:rsid w:val="00DB587A"/>
    <w:rsid w:val="00DB58B4"/>
    <w:rsid w:val="00DB5A7D"/>
    <w:rsid w:val="00DB5AC3"/>
    <w:rsid w:val="00DB5AD4"/>
    <w:rsid w:val="00DB5BC8"/>
    <w:rsid w:val="00DB5C04"/>
    <w:rsid w:val="00DB5C1B"/>
    <w:rsid w:val="00DB5C63"/>
    <w:rsid w:val="00DB5C6C"/>
    <w:rsid w:val="00DB5D2A"/>
    <w:rsid w:val="00DB5D7C"/>
    <w:rsid w:val="00DB5DC6"/>
    <w:rsid w:val="00DB5F03"/>
    <w:rsid w:val="00DB60B7"/>
    <w:rsid w:val="00DB60E4"/>
    <w:rsid w:val="00DB6147"/>
    <w:rsid w:val="00DB614B"/>
    <w:rsid w:val="00DB63A7"/>
    <w:rsid w:val="00DB63AE"/>
    <w:rsid w:val="00DB6414"/>
    <w:rsid w:val="00DB64D7"/>
    <w:rsid w:val="00DB660B"/>
    <w:rsid w:val="00DB66C5"/>
    <w:rsid w:val="00DB66DF"/>
    <w:rsid w:val="00DB66E6"/>
    <w:rsid w:val="00DB673C"/>
    <w:rsid w:val="00DB6887"/>
    <w:rsid w:val="00DB68BF"/>
    <w:rsid w:val="00DB6A56"/>
    <w:rsid w:val="00DB6ACA"/>
    <w:rsid w:val="00DB6B2D"/>
    <w:rsid w:val="00DB6B80"/>
    <w:rsid w:val="00DB6B98"/>
    <w:rsid w:val="00DB6BF7"/>
    <w:rsid w:val="00DB6C4B"/>
    <w:rsid w:val="00DB6C7B"/>
    <w:rsid w:val="00DB6CAA"/>
    <w:rsid w:val="00DB6D29"/>
    <w:rsid w:val="00DB6D8F"/>
    <w:rsid w:val="00DB6FFA"/>
    <w:rsid w:val="00DB70A9"/>
    <w:rsid w:val="00DB70F3"/>
    <w:rsid w:val="00DB7105"/>
    <w:rsid w:val="00DB72FC"/>
    <w:rsid w:val="00DB75D5"/>
    <w:rsid w:val="00DB764D"/>
    <w:rsid w:val="00DB7661"/>
    <w:rsid w:val="00DB7666"/>
    <w:rsid w:val="00DB767B"/>
    <w:rsid w:val="00DB76D6"/>
    <w:rsid w:val="00DB7701"/>
    <w:rsid w:val="00DB7790"/>
    <w:rsid w:val="00DB784C"/>
    <w:rsid w:val="00DB7879"/>
    <w:rsid w:val="00DB7887"/>
    <w:rsid w:val="00DB78BE"/>
    <w:rsid w:val="00DB7910"/>
    <w:rsid w:val="00DB7926"/>
    <w:rsid w:val="00DB79AB"/>
    <w:rsid w:val="00DB79F5"/>
    <w:rsid w:val="00DB7B76"/>
    <w:rsid w:val="00DB7C79"/>
    <w:rsid w:val="00DB7CE3"/>
    <w:rsid w:val="00DB7E7E"/>
    <w:rsid w:val="00DB7E82"/>
    <w:rsid w:val="00DC00D9"/>
    <w:rsid w:val="00DC01D5"/>
    <w:rsid w:val="00DC0219"/>
    <w:rsid w:val="00DC02C9"/>
    <w:rsid w:val="00DC04AF"/>
    <w:rsid w:val="00DC0506"/>
    <w:rsid w:val="00DC062B"/>
    <w:rsid w:val="00DC0653"/>
    <w:rsid w:val="00DC0700"/>
    <w:rsid w:val="00DC0716"/>
    <w:rsid w:val="00DC073A"/>
    <w:rsid w:val="00DC087A"/>
    <w:rsid w:val="00DC08A5"/>
    <w:rsid w:val="00DC08CF"/>
    <w:rsid w:val="00DC0924"/>
    <w:rsid w:val="00DC09F9"/>
    <w:rsid w:val="00DC0A0E"/>
    <w:rsid w:val="00DC0A12"/>
    <w:rsid w:val="00DC0CEC"/>
    <w:rsid w:val="00DC0D22"/>
    <w:rsid w:val="00DC0D93"/>
    <w:rsid w:val="00DC0DCC"/>
    <w:rsid w:val="00DC0EC0"/>
    <w:rsid w:val="00DC1088"/>
    <w:rsid w:val="00DC1129"/>
    <w:rsid w:val="00DC123A"/>
    <w:rsid w:val="00DC125F"/>
    <w:rsid w:val="00DC1450"/>
    <w:rsid w:val="00DC14EF"/>
    <w:rsid w:val="00DC1595"/>
    <w:rsid w:val="00DC1781"/>
    <w:rsid w:val="00DC17E4"/>
    <w:rsid w:val="00DC19BC"/>
    <w:rsid w:val="00DC1A88"/>
    <w:rsid w:val="00DC1CC6"/>
    <w:rsid w:val="00DC1CDF"/>
    <w:rsid w:val="00DC1D9C"/>
    <w:rsid w:val="00DC1E52"/>
    <w:rsid w:val="00DC1E8D"/>
    <w:rsid w:val="00DC1E96"/>
    <w:rsid w:val="00DC1F6E"/>
    <w:rsid w:val="00DC1F74"/>
    <w:rsid w:val="00DC1FB8"/>
    <w:rsid w:val="00DC210E"/>
    <w:rsid w:val="00DC21CD"/>
    <w:rsid w:val="00DC21D0"/>
    <w:rsid w:val="00DC2259"/>
    <w:rsid w:val="00DC2280"/>
    <w:rsid w:val="00DC22A4"/>
    <w:rsid w:val="00DC22D1"/>
    <w:rsid w:val="00DC23C5"/>
    <w:rsid w:val="00DC24B6"/>
    <w:rsid w:val="00DC2514"/>
    <w:rsid w:val="00DC255A"/>
    <w:rsid w:val="00DC265D"/>
    <w:rsid w:val="00DC27AF"/>
    <w:rsid w:val="00DC27D1"/>
    <w:rsid w:val="00DC2924"/>
    <w:rsid w:val="00DC294A"/>
    <w:rsid w:val="00DC297C"/>
    <w:rsid w:val="00DC2A66"/>
    <w:rsid w:val="00DC2ABB"/>
    <w:rsid w:val="00DC2ABE"/>
    <w:rsid w:val="00DC2CA1"/>
    <w:rsid w:val="00DC2D04"/>
    <w:rsid w:val="00DC2EBC"/>
    <w:rsid w:val="00DC2F8B"/>
    <w:rsid w:val="00DC310B"/>
    <w:rsid w:val="00DC3131"/>
    <w:rsid w:val="00DC3361"/>
    <w:rsid w:val="00DC33BD"/>
    <w:rsid w:val="00DC340E"/>
    <w:rsid w:val="00DC35BF"/>
    <w:rsid w:val="00DC36AB"/>
    <w:rsid w:val="00DC3767"/>
    <w:rsid w:val="00DC37B7"/>
    <w:rsid w:val="00DC38D6"/>
    <w:rsid w:val="00DC3909"/>
    <w:rsid w:val="00DC3945"/>
    <w:rsid w:val="00DC3A3F"/>
    <w:rsid w:val="00DC3A46"/>
    <w:rsid w:val="00DC3A8D"/>
    <w:rsid w:val="00DC3AB2"/>
    <w:rsid w:val="00DC3AD3"/>
    <w:rsid w:val="00DC3AE4"/>
    <w:rsid w:val="00DC3B61"/>
    <w:rsid w:val="00DC3BA9"/>
    <w:rsid w:val="00DC3C50"/>
    <w:rsid w:val="00DC3CCF"/>
    <w:rsid w:val="00DC3CD8"/>
    <w:rsid w:val="00DC3D27"/>
    <w:rsid w:val="00DC3DA3"/>
    <w:rsid w:val="00DC3FFE"/>
    <w:rsid w:val="00DC40D1"/>
    <w:rsid w:val="00DC421E"/>
    <w:rsid w:val="00DC4364"/>
    <w:rsid w:val="00DC43DA"/>
    <w:rsid w:val="00DC4419"/>
    <w:rsid w:val="00DC443D"/>
    <w:rsid w:val="00DC4474"/>
    <w:rsid w:val="00DC45AF"/>
    <w:rsid w:val="00DC45BE"/>
    <w:rsid w:val="00DC47AE"/>
    <w:rsid w:val="00DC4A12"/>
    <w:rsid w:val="00DC4A66"/>
    <w:rsid w:val="00DC4B12"/>
    <w:rsid w:val="00DC4B5B"/>
    <w:rsid w:val="00DC4BE3"/>
    <w:rsid w:val="00DC4C40"/>
    <w:rsid w:val="00DC4C83"/>
    <w:rsid w:val="00DC4D9A"/>
    <w:rsid w:val="00DC4FBB"/>
    <w:rsid w:val="00DC51F0"/>
    <w:rsid w:val="00DC5218"/>
    <w:rsid w:val="00DC521B"/>
    <w:rsid w:val="00DC536B"/>
    <w:rsid w:val="00DC539A"/>
    <w:rsid w:val="00DC54C4"/>
    <w:rsid w:val="00DC54EE"/>
    <w:rsid w:val="00DC54F5"/>
    <w:rsid w:val="00DC55A0"/>
    <w:rsid w:val="00DC563B"/>
    <w:rsid w:val="00DC565B"/>
    <w:rsid w:val="00DC56FB"/>
    <w:rsid w:val="00DC57DB"/>
    <w:rsid w:val="00DC5944"/>
    <w:rsid w:val="00DC59FE"/>
    <w:rsid w:val="00DC5A6B"/>
    <w:rsid w:val="00DC5BD8"/>
    <w:rsid w:val="00DC5C6C"/>
    <w:rsid w:val="00DC5CA8"/>
    <w:rsid w:val="00DC5CDC"/>
    <w:rsid w:val="00DC5CED"/>
    <w:rsid w:val="00DC5D60"/>
    <w:rsid w:val="00DC5DB3"/>
    <w:rsid w:val="00DC5EF7"/>
    <w:rsid w:val="00DC5FE7"/>
    <w:rsid w:val="00DC6034"/>
    <w:rsid w:val="00DC60D1"/>
    <w:rsid w:val="00DC6283"/>
    <w:rsid w:val="00DC6284"/>
    <w:rsid w:val="00DC62BC"/>
    <w:rsid w:val="00DC62E2"/>
    <w:rsid w:val="00DC63B4"/>
    <w:rsid w:val="00DC6523"/>
    <w:rsid w:val="00DC6524"/>
    <w:rsid w:val="00DC671A"/>
    <w:rsid w:val="00DC68B3"/>
    <w:rsid w:val="00DC69EC"/>
    <w:rsid w:val="00DC6A3B"/>
    <w:rsid w:val="00DC6BBE"/>
    <w:rsid w:val="00DC6CF0"/>
    <w:rsid w:val="00DC6D45"/>
    <w:rsid w:val="00DC6F3E"/>
    <w:rsid w:val="00DC704F"/>
    <w:rsid w:val="00DC7055"/>
    <w:rsid w:val="00DC7129"/>
    <w:rsid w:val="00DC7198"/>
    <w:rsid w:val="00DC727F"/>
    <w:rsid w:val="00DC72F2"/>
    <w:rsid w:val="00DC72F9"/>
    <w:rsid w:val="00DC7308"/>
    <w:rsid w:val="00DC733E"/>
    <w:rsid w:val="00DC7431"/>
    <w:rsid w:val="00DC74A0"/>
    <w:rsid w:val="00DC7576"/>
    <w:rsid w:val="00DC75BB"/>
    <w:rsid w:val="00DC7721"/>
    <w:rsid w:val="00DC779A"/>
    <w:rsid w:val="00DC77CC"/>
    <w:rsid w:val="00DC781A"/>
    <w:rsid w:val="00DC783D"/>
    <w:rsid w:val="00DC7843"/>
    <w:rsid w:val="00DC7880"/>
    <w:rsid w:val="00DC7935"/>
    <w:rsid w:val="00DC7994"/>
    <w:rsid w:val="00DC79EC"/>
    <w:rsid w:val="00DC7A0D"/>
    <w:rsid w:val="00DC7A4F"/>
    <w:rsid w:val="00DC7AB1"/>
    <w:rsid w:val="00DC7B92"/>
    <w:rsid w:val="00DC7D3D"/>
    <w:rsid w:val="00DC7E62"/>
    <w:rsid w:val="00DC7EAF"/>
    <w:rsid w:val="00DC7FCD"/>
    <w:rsid w:val="00DC8F22"/>
    <w:rsid w:val="00DD002A"/>
    <w:rsid w:val="00DD02B6"/>
    <w:rsid w:val="00DD03DA"/>
    <w:rsid w:val="00DD05B6"/>
    <w:rsid w:val="00DD05FC"/>
    <w:rsid w:val="00DD08F8"/>
    <w:rsid w:val="00DD099C"/>
    <w:rsid w:val="00DD0A2B"/>
    <w:rsid w:val="00DD0AE9"/>
    <w:rsid w:val="00DD0C67"/>
    <w:rsid w:val="00DD0E21"/>
    <w:rsid w:val="00DD0F76"/>
    <w:rsid w:val="00DD0FAC"/>
    <w:rsid w:val="00DD1059"/>
    <w:rsid w:val="00DD105B"/>
    <w:rsid w:val="00DD10E0"/>
    <w:rsid w:val="00DD1105"/>
    <w:rsid w:val="00DD12B7"/>
    <w:rsid w:val="00DD134C"/>
    <w:rsid w:val="00DD149B"/>
    <w:rsid w:val="00DD14E9"/>
    <w:rsid w:val="00DD159B"/>
    <w:rsid w:val="00DD15FB"/>
    <w:rsid w:val="00DD16DA"/>
    <w:rsid w:val="00DD16DC"/>
    <w:rsid w:val="00DD1A01"/>
    <w:rsid w:val="00DD1A27"/>
    <w:rsid w:val="00DD1B71"/>
    <w:rsid w:val="00DD1BA2"/>
    <w:rsid w:val="00DD1BAD"/>
    <w:rsid w:val="00DD1C9E"/>
    <w:rsid w:val="00DD1CAD"/>
    <w:rsid w:val="00DD1D54"/>
    <w:rsid w:val="00DD1D97"/>
    <w:rsid w:val="00DD1E90"/>
    <w:rsid w:val="00DD1F83"/>
    <w:rsid w:val="00DD1FB2"/>
    <w:rsid w:val="00DD21ED"/>
    <w:rsid w:val="00DD2243"/>
    <w:rsid w:val="00DD2257"/>
    <w:rsid w:val="00DD23F9"/>
    <w:rsid w:val="00DD24EF"/>
    <w:rsid w:val="00DD2613"/>
    <w:rsid w:val="00DD2641"/>
    <w:rsid w:val="00DD281A"/>
    <w:rsid w:val="00DD28F0"/>
    <w:rsid w:val="00DD29FD"/>
    <w:rsid w:val="00DD2D1B"/>
    <w:rsid w:val="00DD2DD0"/>
    <w:rsid w:val="00DD2E05"/>
    <w:rsid w:val="00DD2EF0"/>
    <w:rsid w:val="00DD304D"/>
    <w:rsid w:val="00DD31DB"/>
    <w:rsid w:val="00DD31F2"/>
    <w:rsid w:val="00DD3207"/>
    <w:rsid w:val="00DD332E"/>
    <w:rsid w:val="00DD3361"/>
    <w:rsid w:val="00DD33A2"/>
    <w:rsid w:val="00DD35A8"/>
    <w:rsid w:val="00DD37C6"/>
    <w:rsid w:val="00DD37E6"/>
    <w:rsid w:val="00DD3888"/>
    <w:rsid w:val="00DD3889"/>
    <w:rsid w:val="00DD38E5"/>
    <w:rsid w:val="00DD39A9"/>
    <w:rsid w:val="00DD3A2C"/>
    <w:rsid w:val="00DD3A8F"/>
    <w:rsid w:val="00DD3C29"/>
    <w:rsid w:val="00DD3CCD"/>
    <w:rsid w:val="00DD3DF9"/>
    <w:rsid w:val="00DD3E14"/>
    <w:rsid w:val="00DD3F0D"/>
    <w:rsid w:val="00DD3F3F"/>
    <w:rsid w:val="00DD3FC7"/>
    <w:rsid w:val="00DD4155"/>
    <w:rsid w:val="00DD4472"/>
    <w:rsid w:val="00DD447E"/>
    <w:rsid w:val="00DD45FB"/>
    <w:rsid w:val="00DD4660"/>
    <w:rsid w:val="00DD472B"/>
    <w:rsid w:val="00DD4798"/>
    <w:rsid w:val="00DD4AED"/>
    <w:rsid w:val="00DD4B6C"/>
    <w:rsid w:val="00DD4B89"/>
    <w:rsid w:val="00DD4C31"/>
    <w:rsid w:val="00DD4D30"/>
    <w:rsid w:val="00DD4F73"/>
    <w:rsid w:val="00DD518C"/>
    <w:rsid w:val="00DD51A3"/>
    <w:rsid w:val="00DD5388"/>
    <w:rsid w:val="00DD547C"/>
    <w:rsid w:val="00DD5498"/>
    <w:rsid w:val="00DD5504"/>
    <w:rsid w:val="00DD5555"/>
    <w:rsid w:val="00DD557E"/>
    <w:rsid w:val="00DD55A2"/>
    <w:rsid w:val="00DD560D"/>
    <w:rsid w:val="00DD5768"/>
    <w:rsid w:val="00DD581E"/>
    <w:rsid w:val="00DD584D"/>
    <w:rsid w:val="00DD5924"/>
    <w:rsid w:val="00DD5996"/>
    <w:rsid w:val="00DD5B18"/>
    <w:rsid w:val="00DD5B1A"/>
    <w:rsid w:val="00DD5BC9"/>
    <w:rsid w:val="00DD5BE7"/>
    <w:rsid w:val="00DD5C11"/>
    <w:rsid w:val="00DD5CE6"/>
    <w:rsid w:val="00DD5CF5"/>
    <w:rsid w:val="00DD5D30"/>
    <w:rsid w:val="00DD5DCE"/>
    <w:rsid w:val="00DD5E55"/>
    <w:rsid w:val="00DD5EC6"/>
    <w:rsid w:val="00DD5F72"/>
    <w:rsid w:val="00DD6005"/>
    <w:rsid w:val="00DD601C"/>
    <w:rsid w:val="00DD62D8"/>
    <w:rsid w:val="00DD63F1"/>
    <w:rsid w:val="00DD6471"/>
    <w:rsid w:val="00DD64B6"/>
    <w:rsid w:val="00DD6531"/>
    <w:rsid w:val="00DD6655"/>
    <w:rsid w:val="00DD6665"/>
    <w:rsid w:val="00DD6755"/>
    <w:rsid w:val="00DD682D"/>
    <w:rsid w:val="00DD6A71"/>
    <w:rsid w:val="00DD6A9B"/>
    <w:rsid w:val="00DD6AF4"/>
    <w:rsid w:val="00DD6B32"/>
    <w:rsid w:val="00DD6B34"/>
    <w:rsid w:val="00DD6B63"/>
    <w:rsid w:val="00DD6BAB"/>
    <w:rsid w:val="00DD6CCB"/>
    <w:rsid w:val="00DD6E1A"/>
    <w:rsid w:val="00DD7026"/>
    <w:rsid w:val="00DD70ED"/>
    <w:rsid w:val="00DD7260"/>
    <w:rsid w:val="00DD73AE"/>
    <w:rsid w:val="00DD73C0"/>
    <w:rsid w:val="00DD7590"/>
    <w:rsid w:val="00DD7622"/>
    <w:rsid w:val="00DD76E0"/>
    <w:rsid w:val="00DD771B"/>
    <w:rsid w:val="00DD7826"/>
    <w:rsid w:val="00DD7844"/>
    <w:rsid w:val="00DD7995"/>
    <w:rsid w:val="00DD79F0"/>
    <w:rsid w:val="00DD7A0F"/>
    <w:rsid w:val="00DD7B21"/>
    <w:rsid w:val="00DD7B79"/>
    <w:rsid w:val="00DD7BF2"/>
    <w:rsid w:val="00DD7C46"/>
    <w:rsid w:val="00DD7CDA"/>
    <w:rsid w:val="00DD7DDF"/>
    <w:rsid w:val="00DD7E09"/>
    <w:rsid w:val="00DD7E31"/>
    <w:rsid w:val="00DD7F08"/>
    <w:rsid w:val="00DD7FBE"/>
    <w:rsid w:val="00DE0017"/>
    <w:rsid w:val="00DE004F"/>
    <w:rsid w:val="00DE0393"/>
    <w:rsid w:val="00DE044F"/>
    <w:rsid w:val="00DE0494"/>
    <w:rsid w:val="00DE04A7"/>
    <w:rsid w:val="00DE052D"/>
    <w:rsid w:val="00DE0539"/>
    <w:rsid w:val="00DE0649"/>
    <w:rsid w:val="00DE0680"/>
    <w:rsid w:val="00DE0794"/>
    <w:rsid w:val="00DE0821"/>
    <w:rsid w:val="00DE085A"/>
    <w:rsid w:val="00DE08EB"/>
    <w:rsid w:val="00DE09C6"/>
    <w:rsid w:val="00DE0A78"/>
    <w:rsid w:val="00DE0AAE"/>
    <w:rsid w:val="00DE0B15"/>
    <w:rsid w:val="00DE0DC2"/>
    <w:rsid w:val="00DE0E51"/>
    <w:rsid w:val="00DE0E95"/>
    <w:rsid w:val="00DE0F55"/>
    <w:rsid w:val="00DE1031"/>
    <w:rsid w:val="00DE10AB"/>
    <w:rsid w:val="00DE10FF"/>
    <w:rsid w:val="00DE1120"/>
    <w:rsid w:val="00DE1154"/>
    <w:rsid w:val="00DE11C4"/>
    <w:rsid w:val="00DE11EB"/>
    <w:rsid w:val="00DE1233"/>
    <w:rsid w:val="00DE12D6"/>
    <w:rsid w:val="00DE1387"/>
    <w:rsid w:val="00DE13FA"/>
    <w:rsid w:val="00DE1403"/>
    <w:rsid w:val="00DE144D"/>
    <w:rsid w:val="00DE1460"/>
    <w:rsid w:val="00DE16B4"/>
    <w:rsid w:val="00DE1748"/>
    <w:rsid w:val="00DE17D6"/>
    <w:rsid w:val="00DE184F"/>
    <w:rsid w:val="00DE187E"/>
    <w:rsid w:val="00DE18E7"/>
    <w:rsid w:val="00DE18FC"/>
    <w:rsid w:val="00DE197E"/>
    <w:rsid w:val="00DE1A1E"/>
    <w:rsid w:val="00DE1AED"/>
    <w:rsid w:val="00DE1B47"/>
    <w:rsid w:val="00DE1BA0"/>
    <w:rsid w:val="00DE1BC8"/>
    <w:rsid w:val="00DE1BE1"/>
    <w:rsid w:val="00DE1C01"/>
    <w:rsid w:val="00DE1C3D"/>
    <w:rsid w:val="00DE1EBB"/>
    <w:rsid w:val="00DE1F70"/>
    <w:rsid w:val="00DE2120"/>
    <w:rsid w:val="00DE2163"/>
    <w:rsid w:val="00DE2187"/>
    <w:rsid w:val="00DE21B6"/>
    <w:rsid w:val="00DE21CF"/>
    <w:rsid w:val="00DE21F2"/>
    <w:rsid w:val="00DE226A"/>
    <w:rsid w:val="00DE2314"/>
    <w:rsid w:val="00DE2385"/>
    <w:rsid w:val="00DE2462"/>
    <w:rsid w:val="00DE24CA"/>
    <w:rsid w:val="00DE25D9"/>
    <w:rsid w:val="00DE2689"/>
    <w:rsid w:val="00DE28A2"/>
    <w:rsid w:val="00DE29C4"/>
    <w:rsid w:val="00DE2A33"/>
    <w:rsid w:val="00DE2C6B"/>
    <w:rsid w:val="00DE2C7B"/>
    <w:rsid w:val="00DE2D00"/>
    <w:rsid w:val="00DE2DE0"/>
    <w:rsid w:val="00DE2E32"/>
    <w:rsid w:val="00DE2F91"/>
    <w:rsid w:val="00DE2F93"/>
    <w:rsid w:val="00DE2FAB"/>
    <w:rsid w:val="00DE3003"/>
    <w:rsid w:val="00DE304F"/>
    <w:rsid w:val="00DE311A"/>
    <w:rsid w:val="00DE3183"/>
    <w:rsid w:val="00DE31B5"/>
    <w:rsid w:val="00DE32A2"/>
    <w:rsid w:val="00DE32B6"/>
    <w:rsid w:val="00DE32CE"/>
    <w:rsid w:val="00DE334D"/>
    <w:rsid w:val="00DE35BC"/>
    <w:rsid w:val="00DE36F5"/>
    <w:rsid w:val="00DE3745"/>
    <w:rsid w:val="00DE3782"/>
    <w:rsid w:val="00DE37A3"/>
    <w:rsid w:val="00DE37FC"/>
    <w:rsid w:val="00DE39FC"/>
    <w:rsid w:val="00DE3A4A"/>
    <w:rsid w:val="00DE3A72"/>
    <w:rsid w:val="00DE3B31"/>
    <w:rsid w:val="00DE3B49"/>
    <w:rsid w:val="00DE3C3B"/>
    <w:rsid w:val="00DE3CFA"/>
    <w:rsid w:val="00DE3E8A"/>
    <w:rsid w:val="00DE3E9C"/>
    <w:rsid w:val="00DE3F41"/>
    <w:rsid w:val="00DE407F"/>
    <w:rsid w:val="00DE40D4"/>
    <w:rsid w:val="00DE40DA"/>
    <w:rsid w:val="00DE4150"/>
    <w:rsid w:val="00DE4158"/>
    <w:rsid w:val="00DE4280"/>
    <w:rsid w:val="00DE42BA"/>
    <w:rsid w:val="00DE430E"/>
    <w:rsid w:val="00DE4396"/>
    <w:rsid w:val="00DE43C0"/>
    <w:rsid w:val="00DE43F0"/>
    <w:rsid w:val="00DE44A5"/>
    <w:rsid w:val="00DE44E0"/>
    <w:rsid w:val="00DE4572"/>
    <w:rsid w:val="00DE4669"/>
    <w:rsid w:val="00DE49D3"/>
    <w:rsid w:val="00DE4A08"/>
    <w:rsid w:val="00DE4B69"/>
    <w:rsid w:val="00DE4B6F"/>
    <w:rsid w:val="00DE4BC5"/>
    <w:rsid w:val="00DE4BCE"/>
    <w:rsid w:val="00DE4C8F"/>
    <w:rsid w:val="00DE4C93"/>
    <w:rsid w:val="00DE4CA3"/>
    <w:rsid w:val="00DE4D40"/>
    <w:rsid w:val="00DE4E46"/>
    <w:rsid w:val="00DE4E96"/>
    <w:rsid w:val="00DE5020"/>
    <w:rsid w:val="00DE506A"/>
    <w:rsid w:val="00DE5117"/>
    <w:rsid w:val="00DE5283"/>
    <w:rsid w:val="00DE5339"/>
    <w:rsid w:val="00DE5485"/>
    <w:rsid w:val="00DE57F6"/>
    <w:rsid w:val="00DE59F3"/>
    <w:rsid w:val="00DE5A08"/>
    <w:rsid w:val="00DE5A7C"/>
    <w:rsid w:val="00DE5B42"/>
    <w:rsid w:val="00DE5B70"/>
    <w:rsid w:val="00DE5BE0"/>
    <w:rsid w:val="00DE5C13"/>
    <w:rsid w:val="00DE5C65"/>
    <w:rsid w:val="00DE5DF0"/>
    <w:rsid w:val="00DE5E77"/>
    <w:rsid w:val="00DE5EB7"/>
    <w:rsid w:val="00DE60E7"/>
    <w:rsid w:val="00DE6163"/>
    <w:rsid w:val="00DE627F"/>
    <w:rsid w:val="00DE6310"/>
    <w:rsid w:val="00DE637F"/>
    <w:rsid w:val="00DE641F"/>
    <w:rsid w:val="00DE6573"/>
    <w:rsid w:val="00DE658B"/>
    <w:rsid w:val="00DE663D"/>
    <w:rsid w:val="00DE66B1"/>
    <w:rsid w:val="00DE676E"/>
    <w:rsid w:val="00DE67DE"/>
    <w:rsid w:val="00DE6B9C"/>
    <w:rsid w:val="00DE6C19"/>
    <w:rsid w:val="00DE6C21"/>
    <w:rsid w:val="00DE6CBA"/>
    <w:rsid w:val="00DE6D8B"/>
    <w:rsid w:val="00DE6F4D"/>
    <w:rsid w:val="00DE6FB5"/>
    <w:rsid w:val="00DE6FB7"/>
    <w:rsid w:val="00DE7011"/>
    <w:rsid w:val="00DE7143"/>
    <w:rsid w:val="00DE7287"/>
    <w:rsid w:val="00DE72C2"/>
    <w:rsid w:val="00DE73E0"/>
    <w:rsid w:val="00DE73FF"/>
    <w:rsid w:val="00DE74CB"/>
    <w:rsid w:val="00DE7523"/>
    <w:rsid w:val="00DE7561"/>
    <w:rsid w:val="00DE758E"/>
    <w:rsid w:val="00DE75B0"/>
    <w:rsid w:val="00DE76EC"/>
    <w:rsid w:val="00DE76FD"/>
    <w:rsid w:val="00DE77A1"/>
    <w:rsid w:val="00DE7848"/>
    <w:rsid w:val="00DE7865"/>
    <w:rsid w:val="00DE78DA"/>
    <w:rsid w:val="00DE7A2D"/>
    <w:rsid w:val="00DE7A3D"/>
    <w:rsid w:val="00DE7A48"/>
    <w:rsid w:val="00DE7B9D"/>
    <w:rsid w:val="00DE7C59"/>
    <w:rsid w:val="00DE7CB4"/>
    <w:rsid w:val="00DE7CCC"/>
    <w:rsid w:val="00DE7E7E"/>
    <w:rsid w:val="00DE7EC6"/>
    <w:rsid w:val="00DE7EC7"/>
    <w:rsid w:val="00DF0032"/>
    <w:rsid w:val="00DF00B4"/>
    <w:rsid w:val="00DF01A1"/>
    <w:rsid w:val="00DF01B4"/>
    <w:rsid w:val="00DF0207"/>
    <w:rsid w:val="00DF0278"/>
    <w:rsid w:val="00DF02AC"/>
    <w:rsid w:val="00DF033D"/>
    <w:rsid w:val="00DF046B"/>
    <w:rsid w:val="00DF04F3"/>
    <w:rsid w:val="00DF050E"/>
    <w:rsid w:val="00DF0575"/>
    <w:rsid w:val="00DF0752"/>
    <w:rsid w:val="00DF097A"/>
    <w:rsid w:val="00DF0AEE"/>
    <w:rsid w:val="00DF0B33"/>
    <w:rsid w:val="00DF0B53"/>
    <w:rsid w:val="00DF0B9D"/>
    <w:rsid w:val="00DF0BE8"/>
    <w:rsid w:val="00DF0BEF"/>
    <w:rsid w:val="00DF0CB3"/>
    <w:rsid w:val="00DF0D65"/>
    <w:rsid w:val="00DF1017"/>
    <w:rsid w:val="00DF109F"/>
    <w:rsid w:val="00DF10DE"/>
    <w:rsid w:val="00DF114E"/>
    <w:rsid w:val="00DF1211"/>
    <w:rsid w:val="00DF12E0"/>
    <w:rsid w:val="00DF139B"/>
    <w:rsid w:val="00DF13BD"/>
    <w:rsid w:val="00DF13D7"/>
    <w:rsid w:val="00DF1423"/>
    <w:rsid w:val="00DF142F"/>
    <w:rsid w:val="00DF17FD"/>
    <w:rsid w:val="00DF18AA"/>
    <w:rsid w:val="00DF1911"/>
    <w:rsid w:val="00DF19A1"/>
    <w:rsid w:val="00DF1A3A"/>
    <w:rsid w:val="00DF1B24"/>
    <w:rsid w:val="00DF1B46"/>
    <w:rsid w:val="00DF1B49"/>
    <w:rsid w:val="00DF1C5D"/>
    <w:rsid w:val="00DF1DB5"/>
    <w:rsid w:val="00DF1DD3"/>
    <w:rsid w:val="00DF1F50"/>
    <w:rsid w:val="00DF1FC1"/>
    <w:rsid w:val="00DF20C2"/>
    <w:rsid w:val="00DF21AA"/>
    <w:rsid w:val="00DF226D"/>
    <w:rsid w:val="00DF23C3"/>
    <w:rsid w:val="00DF23D9"/>
    <w:rsid w:val="00DF2411"/>
    <w:rsid w:val="00DF2474"/>
    <w:rsid w:val="00DF2499"/>
    <w:rsid w:val="00DF24A0"/>
    <w:rsid w:val="00DF24F0"/>
    <w:rsid w:val="00DF2540"/>
    <w:rsid w:val="00DF2570"/>
    <w:rsid w:val="00DF28A5"/>
    <w:rsid w:val="00DF299F"/>
    <w:rsid w:val="00DF2BBB"/>
    <w:rsid w:val="00DF2C99"/>
    <w:rsid w:val="00DF2CF9"/>
    <w:rsid w:val="00DF2FE4"/>
    <w:rsid w:val="00DF30E9"/>
    <w:rsid w:val="00DF3108"/>
    <w:rsid w:val="00DF31C3"/>
    <w:rsid w:val="00DF31D0"/>
    <w:rsid w:val="00DF31EE"/>
    <w:rsid w:val="00DF3288"/>
    <w:rsid w:val="00DF33DD"/>
    <w:rsid w:val="00DF3409"/>
    <w:rsid w:val="00DF3451"/>
    <w:rsid w:val="00DF351F"/>
    <w:rsid w:val="00DF3527"/>
    <w:rsid w:val="00DF35FC"/>
    <w:rsid w:val="00DF3638"/>
    <w:rsid w:val="00DF3670"/>
    <w:rsid w:val="00DF3837"/>
    <w:rsid w:val="00DF39D0"/>
    <w:rsid w:val="00DF3B7F"/>
    <w:rsid w:val="00DF3C9F"/>
    <w:rsid w:val="00DF3EEB"/>
    <w:rsid w:val="00DF3F98"/>
    <w:rsid w:val="00DF3FDB"/>
    <w:rsid w:val="00DF4136"/>
    <w:rsid w:val="00DF41BA"/>
    <w:rsid w:val="00DF4242"/>
    <w:rsid w:val="00DF4271"/>
    <w:rsid w:val="00DF439F"/>
    <w:rsid w:val="00DF4469"/>
    <w:rsid w:val="00DF45E2"/>
    <w:rsid w:val="00DF460F"/>
    <w:rsid w:val="00DF4616"/>
    <w:rsid w:val="00DF466E"/>
    <w:rsid w:val="00DF4676"/>
    <w:rsid w:val="00DF46C1"/>
    <w:rsid w:val="00DF4934"/>
    <w:rsid w:val="00DF4A92"/>
    <w:rsid w:val="00DF4A9D"/>
    <w:rsid w:val="00DF4B92"/>
    <w:rsid w:val="00DF4C5F"/>
    <w:rsid w:val="00DF4DDD"/>
    <w:rsid w:val="00DF4E1B"/>
    <w:rsid w:val="00DF4E43"/>
    <w:rsid w:val="00DF4E99"/>
    <w:rsid w:val="00DF50F1"/>
    <w:rsid w:val="00DF511B"/>
    <w:rsid w:val="00DF51A6"/>
    <w:rsid w:val="00DF526C"/>
    <w:rsid w:val="00DF5279"/>
    <w:rsid w:val="00DF53BD"/>
    <w:rsid w:val="00DF53E6"/>
    <w:rsid w:val="00DF541E"/>
    <w:rsid w:val="00DF5519"/>
    <w:rsid w:val="00DF55D5"/>
    <w:rsid w:val="00DF569C"/>
    <w:rsid w:val="00DF5783"/>
    <w:rsid w:val="00DF58C1"/>
    <w:rsid w:val="00DF59B3"/>
    <w:rsid w:val="00DF5A3D"/>
    <w:rsid w:val="00DF5AED"/>
    <w:rsid w:val="00DF5D11"/>
    <w:rsid w:val="00DF5E81"/>
    <w:rsid w:val="00DF5F2D"/>
    <w:rsid w:val="00DF605E"/>
    <w:rsid w:val="00DF615D"/>
    <w:rsid w:val="00DF6207"/>
    <w:rsid w:val="00DF6221"/>
    <w:rsid w:val="00DF6397"/>
    <w:rsid w:val="00DF63D7"/>
    <w:rsid w:val="00DF6518"/>
    <w:rsid w:val="00DF6602"/>
    <w:rsid w:val="00DF6724"/>
    <w:rsid w:val="00DF672B"/>
    <w:rsid w:val="00DF6749"/>
    <w:rsid w:val="00DF6904"/>
    <w:rsid w:val="00DF695A"/>
    <w:rsid w:val="00DF6AAE"/>
    <w:rsid w:val="00DF6BCA"/>
    <w:rsid w:val="00DF6CBD"/>
    <w:rsid w:val="00DF6CEC"/>
    <w:rsid w:val="00DF6ECE"/>
    <w:rsid w:val="00DF6FB1"/>
    <w:rsid w:val="00DF6FD9"/>
    <w:rsid w:val="00DF6FE1"/>
    <w:rsid w:val="00DF709B"/>
    <w:rsid w:val="00DF743C"/>
    <w:rsid w:val="00DF747B"/>
    <w:rsid w:val="00DF74D4"/>
    <w:rsid w:val="00DF74F6"/>
    <w:rsid w:val="00DF75FE"/>
    <w:rsid w:val="00DF7604"/>
    <w:rsid w:val="00DF762F"/>
    <w:rsid w:val="00DF76E8"/>
    <w:rsid w:val="00DF774A"/>
    <w:rsid w:val="00DF7818"/>
    <w:rsid w:val="00DF7842"/>
    <w:rsid w:val="00DF7860"/>
    <w:rsid w:val="00DF78C6"/>
    <w:rsid w:val="00DF78F8"/>
    <w:rsid w:val="00DF7989"/>
    <w:rsid w:val="00DF7A7E"/>
    <w:rsid w:val="00DF7B83"/>
    <w:rsid w:val="00DF7BBB"/>
    <w:rsid w:val="00DF7BBE"/>
    <w:rsid w:val="00DF7D9F"/>
    <w:rsid w:val="00DF7DEA"/>
    <w:rsid w:val="00DF7FAD"/>
    <w:rsid w:val="00E0002A"/>
    <w:rsid w:val="00E00074"/>
    <w:rsid w:val="00E0007F"/>
    <w:rsid w:val="00E00149"/>
    <w:rsid w:val="00E0014B"/>
    <w:rsid w:val="00E001A2"/>
    <w:rsid w:val="00E00298"/>
    <w:rsid w:val="00E002B8"/>
    <w:rsid w:val="00E002DB"/>
    <w:rsid w:val="00E002E4"/>
    <w:rsid w:val="00E0042D"/>
    <w:rsid w:val="00E00482"/>
    <w:rsid w:val="00E00701"/>
    <w:rsid w:val="00E00B46"/>
    <w:rsid w:val="00E00D05"/>
    <w:rsid w:val="00E00D93"/>
    <w:rsid w:val="00E00E19"/>
    <w:rsid w:val="00E00EC5"/>
    <w:rsid w:val="00E00EFA"/>
    <w:rsid w:val="00E00F50"/>
    <w:rsid w:val="00E00FD8"/>
    <w:rsid w:val="00E01062"/>
    <w:rsid w:val="00E010D2"/>
    <w:rsid w:val="00E01214"/>
    <w:rsid w:val="00E01389"/>
    <w:rsid w:val="00E013B5"/>
    <w:rsid w:val="00E014E2"/>
    <w:rsid w:val="00E014EE"/>
    <w:rsid w:val="00E015BB"/>
    <w:rsid w:val="00E01730"/>
    <w:rsid w:val="00E01789"/>
    <w:rsid w:val="00E017AA"/>
    <w:rsid w:val="00E01915"/>
    <w:rsid w:val="00E01ABA"/>
    <w:rsid w:val="00E01B07"/>
    <w:rsid w:val="00E01B15"/>
    <w:rsid w:val="00E01C5B"/>
    <w:rsid w:val="00E01C86"/>
    <w:rsid w:val="00E01D56"/>
    <w:rsid w:val="00E01F6A"/>
    <w:rsid w:val="00E02102"/>
    <w:rsid w:val="00E02181"/>
    <w:rsid w:val="00E02260"/>
    <w:rsid w:val="00E02375"/>
    <w:rsid w:val="00E02487"/>
    <w:rsid w:val="00E024AC"/>
    <w:rsid w:val="00E024B7"/>
    <w:rsid w:val="00E02533"/>
    <w:rsid w:val="00E02579"/>
    <w:rsid w:val="00E025BA"/>
    <w:rsid w:val="00E025F2"/>
    <w:rsid w:val="00E02668"/>
    <w:rsid w:val="00E02702"/>
    <w:rsid w:val="00E02742"/>
    <w:rsid w:val="00E027C1"/>
    <w:rsid w:val="00E02838"/>
    <w:rsid w:val="00E02937"/>
    <w:rsid w:val="00E02A16"/>
    <w:rsid w:val="00E02A38"/>
    <w:rsid w:val="00E02A7F"/>
    <w:rsid w:val="00E02ACB"/>
    <w:rsid w:val="00E02B01"/>
    <w:rsid w:val="00E02B36"/>
    <w:rsid w:val="00E02B7F"/>
    <w:rsid w:val="00E02BD5"/>
    <w:rsid w:val="00E02D0A"/>
    <w:rsid w:val="00E02EC2"/>
    <w:rsid w:val="00E02ED5"/>
    <w:rsid w:val="00E02FB5"/>
    <w:rsid w:val="00E03008"/>
    <w:rsid w:val="00E0301B"/>
    <w:rsid w:val="00E03071"/>
    <w:rsid w:val="00E03290"/>
    <w:rsid w:val="00E0334E"/>
    <w:rsid w:val="00E03431"/>
    <w:rsid w:val="00E0344A"/>
    <w:rsid w:val="00E034AB"/>
    <w:rsid w:val="00E0358C"/>
    <w:rsid w:val="00E03599"/>
    <w:rsid w:val="00E036C1"/>
    <w:rsid w:val="00E036F4"/>
    <w:rsid w:val="00E03861"/>
    <w:rsid w:val="00E0386D"/>
    <w:rsid w:val="00E038C1"/>
    <w:rsid w:val="00E03B76"/>
    <w:rsid w:val="00E03BFE"/>
    <w:rsid w:val="00E03CB3"/>
    <w:rsid w:val="00E03D65"/>
    <w:rsid w:val="00E03E72"/>
    <w:rsid w:val="00E03EDA"/>
    <w:rsid w:val="00E03EF4"/>
    <w:rsid w:val="00E03F0C"/>
    <w:rsid w:val="00E03F76"/>
    <w:rsid w:val="00E03FAC"/>
    <w:rsid w:val="00E0406D"/>
    <w:rsid w:val="00E040D9"/>
    <w:rsid w:val="00E042E1"/>
    <w:rsid w:val="00E04362"/>
    <w:rsid w:val="00E04391"/>
    <w:rsid w:val="00E043F7"/>
    <w:rsid w:val="00E0440F"/>
    <w:rsid w:val="00E044AE"/>
    <w:rsid w:val="00E044DE"/>
    <w:rsid w:val="00E04620"/>
    <w:rsid w:val="00E04704"/>
    <w:rsid w:val="00E0471C"/>
    <w:rsid w:val="00E0472F"/>
    <w:rsid w:val="00E0474F"/>
    <w:rsid w:val="00E04805"/>
    <w:rsid w:val="00E04A58"/>
    <w:rsid w:val="00E04AE6"/>
    <w:rsid w:val="00E04B1E"/>
    <w:rsid w:val="00E04B87"/>
    <w:rsid w:val="00E04BC9"/>
    <w:rsid w:val="00E04CF2"/>
    <w:rsid w:val="00E04D14"/>
    <w:rsid w:val="00E04D3F"/>
    <w:rsid w:val="00E04E05"/>
    <w:rsid w:val="00E050B2"/>
    <w:rsid w:val="00E05128"/>
    <w:rsid w:val="00E0517D"/>
    <w:rsid w:val="00E051BC"/>
    <w:rsid w:val="00E05486"/>
    <w:rsid w:val="00E0557F"/>
    <w:rsid w:val="00E055C6"/>
    <w:rsid w:val="00E0564B"/>
    <w:rsid w:val="00E0567F"/>
    <w:rsid w:val="00E056CF"/>
    <w:rsid w:val="00E05748"/>
    <w:rsid w:val="00E057A6"/>
    <w:rsid w:val="00E057D9"/>
    <w:rsid w:val="00E058D5"/>
    <w:rsid w:val="00E05906"/>
    <w:rsid w:val="00E059B2"/>
    <w:rsid w:val="00E05A37"/>
    <w:rsid w:val="00E05A5B"/>
    <w:rsid w:val="00E05AC9"/>
    <w:rsid w:val="00E05AFC"/>
    <w:rsid w:val="00E05F6F"/>
    <w:rsid w:val="00E05FAA"/>
    <w:rsid w:val="00E06108"/>
    <w:rsid w:val="00E06125"/>
    <w:rsid w:val="00E06190"/>
    <w:rsid w:val="00E06254"/>
    <w:rsid w:val="00E062FC"/>
    <w:rsid w:val="00E06468"/>
    <w:rsid w:val="00E06524"/>
    <w:rsid w:val="00E0654B"/>
    <w:rsid w:val="00E0671E"/>
    <w:rsid w:val="00E06793"/>
    <w:rsid w:val="00E0679F"/>
    <w:rsid w:val="00E06865"/>
    <w:rsid w:val="00E068F6"/>
    <w:rsid w:val="00E069A2"/>
    <w:rsid w:val="00E06A06"/>
    <w:rsid w:val="00E06C6B"/>
    <w:rsid w:val="00E06D7A"/>
    <w:rsid w:val="00E06E38"/>
    <w:rsid w:val="00E06EA9"/>
    <w:rsid w:val="00E06F35"/>
    <w:rsid w:val="00E06F4D"/>
    <w:rsid w:val="00E06F68"/>
    <w:rsid w:val="00E06FBB"/>
    <w:rsid w:val="00E06FFD"/>
    <w:rsid w:val="00E070B9"/>
    <w:rsid w:val="00E07106"/>
    <w:rsid w:val="00E0727D"/>
    <w:rsid w:val="00E07324"/>
    <w:rsid w:val="00E073FE"/>
    <w:rsid w:val="00E07425"/>
    <w:rsid w:val="00E0744A"/>
    <w:rsid w:val="00E074BB"/>
    <w:rsid w:val="00E07593"/>
    <w:rsid w:val="00E075E6"/>
    <w:rsid w:val="00E07664"/>
    <w:rsid w:val="00E07681"/>
    <w:rsid w:val="00E076AC"/>
    <w:rsid w:val="00E076B5"/>
    <w:rsid w:val="00E0771C"/>
    <w:rsid w:val="00E0775D"/>
    <w:rsid w:val="00E077C7"/>
    <w:rsid w:val="00E078A5"/>
    <w:rsid w:val="00E0792E"/>
    <w:rsid w:val="00E07996"/>
    <w:rsid w:val="00E07B06"/>
    <w:rsid w:val="00E07B66"/>
    <w:rsid w:val="00E07C09"/>
    <w:rsid w:val="00E10028"/>
    <w:rsid w:val="00E100AC"/>
    <w:rsid w:val="00E1014E"/>
    <w:rsid w:val="00E10165"/>
    <w:rsid w:val="00E101A1"/>
    <w:rsid w:val="00E10418"/>
    <w:rsid w:val="00E1049C"/>
    <w:rsid w:val="00E10512"/>
    <w:rsid w:val="00E10550"/>
    <w:rsid w:val="00E10707"/>
    <w:rsid w:val="00E1089F"/>
    <w:rsid w:val="00E108CF"/>
    <w:rsid w:val="00E10B32"/>
    <w:rsid w:val="00E10E8C"/>
    <w:rsid w:val="00E10F80"/>
    <w:rsid w:val="00E10FFA"/>
    <w:rsid w:val="00E1100C"/>
    <w:rsid w:val="00E110A0"/>
    <w:rsid w:val="00E111F9"/>
    <w:rsid w:val="00E113F9"/>
    <w:rsid w:val="00E11559"/>
    <w:rsid w:val="00E115D9"/>
    <w:rsid w:val="00E115F3"/>
    <w:rsid w:val="00E116B0"/>
    <w:rsid w:val="00E11723"/>
    <w:rsid w:val="00E1186D"/>
    <w:rsid w:val="00E118EE"/>
    <w:rsid w:val="00E11958"/>
    <w:rsid w:val="00E11966"/>
    <w:rsid w:val="00E11A19"/>
    <w:rsid w:val="00E11BDA"/>
    <w:rsid w:val="00E11BF4"/>
    <w:rsid w:val="00E11C2C"/>
    <w:rsid w:val="00E11CCD"/>
    <w:rsid w:val="00E11E24"/>
    <w:rsid w:val="00E11F7A"/>
    <w:rsid w:val="00E11FB8"/>
    <w:rsid w:val="00E1204D"/>
    <w:rsid w:val="00E120F4"/>
    <w:rsid w:val="00E122DD"/>
    <w:rsid w:val="00E122DE"/>
    <w:rsid w:val="00E122F6"/>
    <w:rsid w:val="00E1233A"/>
    <w:rsid w:val="00E12361"/>
    <w:rsid w:val="00E12418"/>
    <w:rsid w:val="00E12455"/>
    <w:rsid w:val="00E124E6"/>
    <w:rsid w:val="00E127A3"/>
    <w:rsid w:val="00E127C9"/>
    <w:rsid w:val="00E128A3"/>
    <w:rsid w:val="00E12911"/>
    <w:rsid w:val="00E12AB6"/>
    <w:rsid w:val="00E12D74"/>
    <w:rsid w:val="00E12E6F"/>
    <w:rsid w:val="00E12FCC"/>
    <w:rsid w:val="00E130E8"/>
    <w:rsid w:val="00E1316C"/>
    <w:rsid w:val="00E131FA"/>
    <w:rsid w:val="00E13288"/>
    <w:rsid w:val="00E132CD"/>
    <w:rsid w:val="00E1342C"/>
    <w:rsid w:val="00E13575"/>
    <w:rsid w:val="00E1357E"/>
    <w:rsid w:val="00E135D8"/>
    <w:rsid w:val="00E13839"/>
    <w:rsid w:val="00E138F7"/>
    <w:rsid w:val="00E13990"/>
    <w:rsid w:val="00E13BB7"/>
    <w:rsid w:val="00E13C04"/>
    <w:rsid w:val="00E13C5E"/>
    <w:rsid w:val="00E13D79"/>
    <w:rsid w:val="00E13D96"/>
    <w:rsid w:val="00E13DCC"/>
    <w:rsid w:val="00E13DD4"/>
    <w:rsid w:val="00E13EE0"/>
    <w:rsid w:val="00E13F00"/>
    <w:rsid w:val="00E13F1B"/>
    <w:rsid w:val="00E13F60"/>
    <w:rsid w:val="00E13F80"/>
    <w:rsid w:val="00E14046"/>
    <w:rsid w:val="00E1407F"/>
    <w:rsid w:val="00E140E7"/>
    <w:rsid w:val="00E14111"/>
    <w:rsid w:val="00E1415B"/>
    <w:rsid w:val="00E141B3"/>
    <w:rsid w:val="00E1463E"/>
    <w:rsid w:val="00E1472B"/>
    <w:rsid w:val="00E14789"/>
    <w:rsid w:val="00E14791"/>
    <w:rsid w:val="00E148DC"/>
    <w:rsid w:val="00E14BD0"/>
    <w:rsid w:val="00E14BF5"/>
    <w:rsid w:val="00E14CF5"/>
    <w:rsid w:val="00E14CFC"/>
    <w:rsid w:val="00E14D9B"/>
    <w:rsid w:val="00E14EB4"/>
    <w:rsid w:val="00E15053"/>
    <w:rsid w:val="00E15092"/>
    <w:rsid w:val="00E150D1"/>
    <w:rsid w:val="00E1515C"/>
    <w:rsid w:val="00E151A6"/>
    <w:rsid w:val="00E15266"/>
    <w:rsid w:val="00E15344"/>
    <w:rsid w:val="00E154E9"/>
    <w:rsid w:val="00E15503"/>
    <w:rsid w:val="00E1564C"/>
    <w:rsid w:val="00E156D4"/>
    <w:rsid w:val="00E1572E"/>
    <w:rsid w:val="00E158AA"/>
    <w:rsid w:val="00E1590B"/>
    <w:rsid w:val="00E159B2"/>
    <w:rsid w:val="00E159D0"/>
    <w:rsid w:val="00E15BD8"/>
    <w:rsid w:val="00E15BE1"/>
    <w:rsid w:val="00E15C7D"/>
    <w:rsid w:val="00E15D13"/>
    <w:rsid w:val="00E15D3D"/>
    <w:rsid w:val="00E15D5C"/>
    <w:rsid w:val="00E15D8B"/>
    <w:rsid w:val="00E15E6E"/>
    <w:rsid w:val="00E16038"/>
    <w:rsid w:val="00E16113"/>
    <w:rsid w:val="00E16179"/>
    <w:rsid w:val="00E16301"/>
    <w:rsid w:val="00E163BB"/>
    <w:rsid w:val="00E16451"/>
    <w:rsid w:val="00E16570"/>
    <w:rsid w:val="00E167CF"/>
    <w:rsid w:val="00E1685C"/>
    <w:rsid w:val="00E169E2"/>
    <w:rsid w:val="00E16A16"/>
    <w:rsid w:val="00E16AAA"/>
    <w:rsid w:val="00E16AC1"/>
    <w:rsid w:val="00E16B48"/>
    <w:rsid w:val="00E16C8A"/>
    <w:rsid w:val="00E16CDF"/>
    <w:rsid w:val="00E16DE2"/>
    <w:rsid w:val="00E16E91"/>
    <w:rsid w:val="00E16EAF"/>
    <w:rsid w:val="00E17030"/>
    <w:rsid w:val="00E17215"/>
    <w:rsid w:val="00E17298"/>
    <w:rsid w:val="00E172F6"/>
    <w:rsid w:val="00E174D7"/>
    <w:rsid w:val="00E17659"/>
    <w:rsid w:val="00E176E5"/>
    <w:rsid w:val="00E17723"/>
    <w:rsid w:val="00E177C0"/>
    <w:rsid w:val="00E177D7"/>
    <w:rsid w:val="00E1790F"/>
    <w:rsid w:val="00E179A4"/>
    <w:rsid w:val="00E17BA8"/>
    <w:rsid w:val="00E17BAD"/>
    <w:rsid w:val="00E17D74"/>
    <w:rsid w:val="00E17E7F"/>
    <w:rsid w:val="00E17F44"/>
    <w:rsid w:val="00E17F53"/>
    <w:rsid w:val="00E17FD6"/>
    <w:rsid w:val="00E200E5"/>
    <w:rsid w:val="00E200E9"/>
    <w:rsid w:val="00E2013D"/>
    <w:rsid w:val="00E20153"/>
    <w:rsid w:val="00E201C5"/>
    <w:rsid w:val="00E2022E"/>
    <w:rsid w:val="00E20293"/>
    <w:rsid w:val="00E202D6"/>
    <w:rsid w:val="00E20437"/>
    <w:rsid w:val="00E20727"/>
    <w:rsid w:val="00E207C7"/>
    <w:rsid w:val="00E20810"/>
    <w:rsid w:val="00E20B1F"/>
    <w:rsid w:val="00E20BE3"/>
    <w:rsid w:val="00E20CDD"/>
    <w:rsid w:val="00E20CF5"/>
    <w:rsid w:val="00E20E2D"/>
    <w:rsid w:val="00E20E48"/>
    <w:rsid w:val="00E20E60"/>
    <w:rsid w:val="00E20EFB"/>
    <w:rsid w:val="00E20F11"/>
    <w:rsid w:val="00E20F81"/>
    <w:rsid w:val="00E20FA7"/>
    <w:rsid w:val="00E2108D"/>
    <w:rsid w:val="00E210B5"/>
    <w:rsid w:val="00E210F9"/>
    <w:rsid w:val="00E21142"/>
    <w:rsid w:val="00E211BD"/>
    <w:rsid w:val="00E21263"/>
    <w:rsid w:val="00E21310"/>
    <w:rsid w:val="00E21315"/>
    <w:rsid w:val="00E21386"/>
    <w:rsid w:val="00E213B4"/>
    <w:rsid w:val="00E213C8"/>
    <w:rsid w:val="00E214A5"/>
    <w:rsid w:val="00E21524"/>
    <w:rsid w:val="00E2153C"/>
    <w:rsid w:val="00E21563"/>
    <w:rsid w:val="00E215A9"/>
    <w:rsid w:val="00E215E7"/>
    <w:rsid w:val="00E21619"/>
    <w:rsid w:val="00E21625"/>
    <w:rsid w:val="00E216F6"/>
    <w:rsid w:val="00E219ED"/>
    <w:rsid w:val="00E21A15"/>
    <w:rsid w:val="00E21C33"/>
    <w:rsid w:val="00E21C3D"/>
    <w:rsid w:val="00E21C8D"/>
    <w:rsid w:val="00E21CA1"/>
    <w:rsid w:val="00E21CEE"/>
    <w:rsid w:val="00E21D5F"/>
    <w:rsid w:val="00E21DD1"/>
    <w:rsid w:val="00E21E1D"/>
    <w:rsid w:val="00E21E38"/>
    <w:rsid w:val="00E21E93"/>
    <w:rsid w:val="00E21F91"/>
    <w:rsid w:val="00E21FB5"/>
    <w:rsid w:val="00E22010"/>
    <w:rsid w:val="00E2207F"/>
    <w:rsid w:val="00E220E0"/>
    <w:rsid w:val="00E221EB"/>
    <w:rsid w:val="00E222CA"/>
    <w:rsid w:val="00E223EC"/>
    <w:rsid w:val="00E224D1"/>
    <w:rsid w:val="00E225EA"/>
    <w:rsid w:val="00E22602"/>
    <w:rsid w:val="00E2261B"/>
    <w:rsid w:val="00E2271D"/>
    <w:rsid w:val="00E228BF"/>
    <w:rsid w:val="00E228E2"/>
    <w:rsid w:val="00E22945"/>
    <w:rsid w:val="00E2294F"/>
    <w:rsid w:val="00E229C1"/>
    <w:rsid w:val="00E229CB"/>
    <w:rsid w:val="00E22A08"/>
    <w:rsid w:val="00E22C37"/>
    <w:rsid w:val="00E22C80"/>
    <w:rsid w:val="00E22D2E"/>
    <w:rsid w:val="00E22D4D"/>
    <w:rsid w:val="00E22E1A"/>
    <w:rsid w:val="00E22EE2"/>
    <w:rsid w:val="00E22F68"/>
    <w:rsid w:val="00E23024"/>
    <w:rsid w:val="00E2316A"/>
    <w:rsid w:val="00E2327C"/>
    <w:rsid w:val="00E232ED"/>
    <w:rsid w:val="00E23307"/>
    <w:rsid w:val="00E23309"/>
    <w:rsid w:val="00E23353"/>
    <w:rsid w:val="00E234FB"/>
    <w:rsid w:val="00E23521"/>
    <w:rsid w:val="00E2357A"/>
    <w:rsid w:val="00E23599"/>
    <w:rsid w:val="00E2362E"/>
    <w:rsid w:val="00E2365D"/>
    <w:rsid w:val="00E236C2"/>
    <w:rsid w:val="00E2370C"/>
    <w:rsid w:val="00E23808"/>
    <w:rsid w:val="00E238AA"/>
    <w:rsid w:val="00E238EC"/>
    <w:rsid w:val="00E2396B"/>
    <w:rsid w:val="00E239DC"/>
    <w:rsid w:val="00E23A9C"/>
    <w:rsid w:val="00E23B26"/>
    <w:rsid w:val="00E23B40"/>
    <w:rsid w:val="00E23BFE"/>
    <w:rsid w:val="00E23C02"/>
    <w:rsid w:val="00E23C82"/>
    <w:rsid w:val="00E23D0C"/>
    <w:rsid w:val="00E2410F"/>
    <w:rsid w:val="00E24127"/>
    <w:rsid w:val="00E2416F"/>
    <w:rsid w:val="00E2439D"/>
    <w:rsid w:val="00E243B6"/>
    <w:rsid w:val="00E24415"/>
    <w:rsid w:val="00E244AB"/>
    <w:rsid w:val="00E246F5"/>
    <w:rsid w:val="00E24A8B"/>
    <w:rsid w:val="00E24B8C"/>
    <w:rsid w:val="00E24BAE"/>
    <w:rsid w:val="00E24BF0"/>
    <w:rsid w:val="00E24C9E"/>
    <w:rsid w:val="00E24DD5"/>
    <w:rsid w:val="00E24DF5"/>
    <w:rsid w:val="00E24E3B"/>
    <w:rsid w:val="00E24E59"/>
    <w:rsid w:val="00E25039"/>
    <w:rsid w:val="00E25160"/>
    <w:rsid w:val="00E25174"/>
    <w:rsid w:val="00E2518A"/>
    <w:rsid w:val="00E2519A"/>
    <w:rsid w:val="00E25207"/>
    <w:rsid w:val="00E2527A"/>
    <w:rsid w:val="00E253B1"/>
    <w:rsid w:val="00E25452"/>
    <w:rsid w:val="00E25468"/>
    <w:rsid w:val="00E25560"/>
    <w:rsid w:val="00E255E7"/>
    <w:rsid w:val="00E258A2"/>
    <w:rsid w:val="00E25A19"/>
    <w:rsid w:val="00E25B43"/>
    <w:rsid w:val="00E25C26"/>
    <w:rsid w:val="00E25D26"/>
    <w:rsid w:val="00E25D55"/>
    <w:rsid w:val="00E25F40"/>
    <w:rsid w:val="00E25F58"/>
    <w:rsid w:val="00E26040"/>
    <w:rsid w:val="00E26199"/>
    <w:rsid w:val="00E2629F"/>
    <w:rsid w:val="00E262BC"/>
    <w:rsid w:val="00E26314"/>
    <w:rsid w:val="00E264CC"/>
    <w:rsid w:val="00E265E7"/>
    <w:rsid w:val="00E266F3"/>
    <w:rsid w:val="00E26729"/>
    <w:rsid w:val="00E26760"/>
    <w:rsid w:val="00E267AF"/>
    <w:rsid w:val="00E26954"/>
    <w:rsid w:val="00E269A8"/>
    <w:rsid w:val="00E26B05"/>
    <w:rsid w:val="00E26B56"/>
    <w:rsid w:val="00E26C0C"/>
    <w:rsid w:val="00E26D51"/>
    <w:rsid w:val="00E26F39"/>
    <w:rsid w:val="00E27094"/>
    <w:rsid w:val="00E2713B"/>
    <w:rsid w:val="00E27175"/>
    <w:rsid w:val="00E27176"/>
    <w:rsid w:val="00E2718D"/>
    <w:rsid w:val="00E2722F"/>
    <w:rsid w:val="00E27261"/>
    <w:rsid w:val="00E272B4"/>
    <w:rsid w:val="00E27334"/>
    <w:rsid w:val="00E274C8"/>
    <w:rsid w:val="00E275A1"/>
    <w:rsid w:val="00E27894"/>
    <w:rsid w:val="00E278DC"/>
    <w:rsid w:val="00E2796D"/>
    <w:rsid w:val="00E2799F"/>
    <w:rsid w:val="00E279DC"/>
    <w:rsid w:val="00E27AA5"/>
    <w:rsid w:val="00E27C27"/>
    <w:rsid w:val="00E27C49"/>
    <w:rsid w:val="00E27D87"/>
    <w:rsid w:val="00E27E76"/>
    <w:rsid w:val="00E27EC3"/>
    <w:rsid w:val="00E27F9D"/>
    <w:rsid w:val="00E27FC2"/>
    <w:rsid w:val="00E3001C"/>
    <w:rsid w:val="00E301CF"/>
    <w:rsid w:val="00E30215"/>
    <w:rsid w:val="00E303CB"/>
    <w:rsid w:val="00E30463"/>
    <w:rsid w:val="00E30489"/>
    <w:rsid w:val="00E304A4"/>
    <w:rsid w:val="00E304D3"/>
    <w:rsid w:val="00E304DE"/>
    <w:rsid w:val="00E305C3"/>
    <w:rsid w:val="00E3073F"/>
    <w:rsid w:val="00E3098A"/>
    <w:rsid w:val="00E30A15"/>
    <w:rsid w:val="00E30A5A"/>
    <w:rsid w:val="00E30B7C"/>
    <w:rsid w:val="00E30C91"/>
    <w:rsid w:val="00E30C92"/>
    <w:rsid w:val="00E30D5B"/>
    <w:rsid w:val="00E30F11"/>
    <w:rsid w:val="00E30F37"/>
    <w:rsid w:val="00E3101A"/>
    <w:rsid w:val="00E31068"/>
    <w:rsid w:val="00E312C7"/>
    <w:rsid w:val="00E312D5"/>
    <w:rsid w:val="00E31407"/>
    <w:rsid w:val="00E3157A"/>
    <w:rsid w:val="00E3167E"/>
    <w:rsid w:val="00E3172D"/>
    <w:rsid w:val="00E317D2"/>
    <w:rsid w:val="00E31861"/>
    <w:rsid w:val="00E319A4"/>
    <w:rsid w:val="00E31A18"/>
    <w:rsid w:val="00E31A23"/>
    <w:rsid w:val="00E31B38"/>
    <w:rsid w:val="00E31B62"/>
    <w:rsid w:val="00E31BC9"/>
    <w:rsid w:val="00E31CE3"/>
    <w:rsid w:val="00E31D59"/>
    <w:rsid w:val="00E31E3D"/>
    <w:rsid w:val="00E31F5A"/>
    <w:rsid w:val="00E32184"/>
    <w:rsid w:val="00E32256"/>
    <w:rsid w:val="00E3226A"/>
    <w:rsid w:val="00E322A3"/>
    <w:rsid w:val="00E32322"/>
    <w:rsid w:val="00E3245C"/>
    <w:rsid w:val="00E3251C"/>
    <w:rsid w:val="00E3267D"/>
    <w:rsid w:val="00E326DC"/>
    <w:rsid w:val="00E3270F"/>
    <w:rsid w:val="00E3290F"/>
    <w:rsid w:val="00E32990"/>
    <w:rsid w:val="00E329EB"/>
    <w:rsid w:val="00E329EF"/>
    <w:rsid w:val="00E32A3D"/>
    <w:rsid w:val="00E32B9B"/>
    <w:rsid w:val="00E32BCF"/>
    <w:rsid w:val="00E32BFD"/>
    <w:rsid w:val="00E32CD0"/>
    <w:rsid w:val="00E32CF0"/>
    <w:rsid w:val="00E32D5C"/>
    <w:rsid w:val="00E32E41"/>
    <w:rsid w:val="00E32FB4"/>
    <w:rsid w:val="00E32FB8"/>
    <w:rsid w:val="00E33025"/>
    <w:rsid w:val="00E3302D"/>
    <w:rsid w:val="00E3304A"/>
    <w:rsid w:val="00E330CB"/>
    <w:rsid w:val="00E331A9"/>
    <w:rsid w:val="00E332FB"/>
    <w:rsid w:val="00E33373"/>
    <w:rsid w:val="00E333A2"/>
    <w:rsid w:val="00E334C5"/>
    <w:rsid w:val="00E33531"/>
    <w:rsid w:val="00E335E3"/>
    <w:rsid w:val="00E33679"/>
    <w:rsid w:val="00E337E8"/>
    <w:rsid w:val="00E337FC"/>
    <w:rsid w:val="00E33815"/>
    <w:rsid w:val="00E3389B"/>
    <w:rsid w:val="00E339CD"/>
    <w:rsid w:val="00E33A00"/>
    <w:rsid w:val="00E33B39"/>
    <w:rsid w:val="00E33B7D"/>
    <w:rsid w:val="00E33B85"/>
    <w:rsid w:val="00E33C69"/>
    <w:rsid w:val="00E33CD3"/>
    <w:rsid w:val="00E33E2B"/>
    <w:rsid w:val="00E34036"/>
    <w:rsid w:val="00E34079"/>
    <w:rsid w:val="00E34088"/>
    <w:rsid w:val="00E34234"/>
    <w:rsid w:val="00E34373"/>
    <w:rsid w:val="00E34423"/>
    <w:rsid w:val="00E34452"/>
    <w:rsid w:val="00E345DE"/>
    <w:rsid w:val="00E34676"/>
    <w:rsid w:val="00E34834"/>
    <w:rsid w:val="00E3487D"/>
    <w:rsid w:val="00E3493E"/>
    <w:rsid w:val="00E349F0"/>
    <w:rsid w:val="00E34E41"/>
    <w:rsid w:val="00E34F9A"/>
    <w:rsid w:val="00E34FAD"/>
    <w:rsid w:val="00E35007"/>
    <w:rsid w:val="00E3501E"/>
    <w:rsid w:val="00E3506A"/>
    <w:rsid w:val="00E352A9"/>
    <w:rsid w:val="00E35329"/>
    <w:rsid w:val="00E3532B"/>
    <w:rsid w:val="00E3539A"/>
    <w:rsid w:val="00E353A7"/>
    <w:rsid w:val="00E35521"/>
    <w:rsid w:val="00E35591"/>
    <w:rsid w:val="00E355B6"/>
    <w:rsid w:val="00E355DA"/>
    <w:rsid w:val="00E355E9"/>
    <w:rsid w:val="00E3591B"/>
    <w:rsid w:val="00E35A14"/>
    <w:rsid w:val="00E35BB6"/>
    <w:rsid w:val="00E35C2F"/>
    <w:rsid w:val="00E35CA9"/>
    <w:rsid w:val="00E35EBD"/>
    <w:rsid w:val="00E36053"/>
    <w:rsid w:val="00E36091"/>
    <w:rsid w:val="00E36239"/>
    <w:rsid w:val="00E3628D"/>
    <w:rsid w:val="00E36314"/>
    <w:rsid w:val="00E3639E"/>
    <w:rsid w:val="00E36526"/>
    <w:rsid w:val="00E36643"/>
    <w:rsid w:val="00E36668"/>
    <w:rsid w:val="00E3670C"/>
    <w:rsid w:val="00E36760"/>
    <w:rsid w:val="00E36789"/>
    <w:rsid w:val="00E3687E"/>
    <w:rsid w:val="00E368EC"/>
    <w:rsid w:val="00E36A75"/>
    <w:rsid w:val="00E36A9C"/>
    <w:rsid w:val="00E36C3C"/>
    <w:rsid w:val="00E36D52"/>
    <w:rsid w:val="00E36DC5"/>
    <w:rsid w:val="00E36F68"/>
    <w:rsid w:val="00E36F93"/>
    <w:rsid w:val="00E36FF8"/>
    <w:rsid w:val="00E3701A"/>
    <w:rsid w:val="00E3708E"/>
    <w:rsid w:val="00E371B9"/>
    <w:rsid w:val="00E37246"/>
    <w:rsid w:val="00E37277"/>
    <w:rsid w:val="00E3727C"/>
    <w:rsid w:val="00E3742B"/>
    <w:rsid w:val="00E375BD"/>
    <w:rsid w:val="00E375DC"/>
    <w:rsid w:val="00E3770E"/>
    <w:rsid w:val="00E37770"/>
    <w:rsid w:val="00E37784"/>
    <w:rsid w:val="00E377CA"/>
    <w:rsid w:val="00E37844"/>
    <w:rsid w:val="00E378C7"/>
    <w:rsid w:val="00E3795B"/>
    <w:rsid w:val="00E37B45"/>
    <w:rsid w:val="00E37B50"/>
    <w:rsid w:val="00E37C0F"/>
    <w:rsid w:val="00E37C60"/>
    <w:rsid w:val="00E37D40"/>
    <w:rsid w:val="00E37FF2"/>
    <w:rsid w:val="00E40043"/>
    <w:rsid w:val="00E400D7"/>
    <w:rsid w:val="00E40119"/>
    <w:rsid w:val="00E40245"/>
    <w:rsid w:val="00E402D0"/>
    <w:rsid w:val="00E40396"/>
    <w:rsid w:val="00E403DF"/>
    <w:rsid w:val="00E40452"/>
    <w:rsid w:val="00E40596"/>
    <w:rsid w:val="00E405C2"/>
    <w:rsid w:val="00E40681"/>
    <w:rsid w:val="00E4079A"/>
    <w:rsid w:val="00E408F8"/>
    <w:rsid w:val="00E40949"/>
    <w:rsid w:val="00E40AA2"/>
    <w:rsid w:val="00E40B12"/>
    <w:rsid w:val="00E40B2D"/>
    <w:rsid w:val="00E40BBF"/>
    <w:rsid w:val="00E40DC8"/>
    <w:rsid w:val="00E40E34"/>
    <w:rsid w:val="00E40E6E"/>
    <w:rsid w:val="00E40F1E"/>
    <w:rsid w:val="00E40F4D"/>
    <w:rsid w:val="00E410BF"/>
    <w:rsid w:val="00E410DA"/>
    <w:rsid w:val="00E4113D"/>
    <w:rsid w:val="00E411CE"/>
    <w:rsid w:val="00E413B2"/>
    <w:rsid w:val="00E41421"/>
    <w:rsid w:val="00E41451"/>
    <w:rsid w:val="00E414BC"/>
    <w:rsid w:val="00E41530"/>
    <w:rsid w:val="00E417DE"/>
    <w:rsid w:val="00E417E7"/>
    <w:rsid w:val="00E418CD"/>
    <w:rsid w:val="00E4190D"/>
    <w:rsid w:val="00E4193E"/>
    <w:rsid w:val="00E41A03"/>
    <w:rsid w:val="00E41A7E"/>
    <w:rsid w:val="00E41AE2"/>
    <w:rsid w:val="00E41B0E"/>
    <w:rsid w:val="00E41B9B"/>
    <w:rsid w:val="00E41C40"/>
    <w:rsid w:val="00E41D8E"/>
    <w:rsid w:val="00E41E3A"/>
    <w:rsid w:val="00E420AC"/>
    <w:rsid w:val="00E420DD"/>
    <w:rsid w:val="00E420F3"/>
    <w:rsid w:val="00E42112"/>
    <w:rsid w:val="00E42171"/>
    <w:rsid w:val="00E42189"/>
    <w:rsid w:val="00E42280"/>
    <w:rsid w:val="00E42498"/>
    <w:rsid w:val="00E424EC"/>
    <w:rsid w:val="00E42570"/>
    <w:rsid w:val="00E4275E"/>
    <w:rsid w:val="00E42846"/>
    <w:rsid w:val="00E42906"/>
    <w:rsid w:val="00E42985"/>
    <w:rsid w:val="00E42A4C"/>
    <w:rsid w:val="00E42B4A"/>
    <w:rsid w:val="00E42D87"/>
    <w:rsid w:val="00E42E42"/>
    <w:rsid w:val="00E42E83"/>
    <w:rsid w:val="00E42F8E"/>
    <w:rsid w:val="00E43015"/>
    <w:rsid w:val="00E430F5"/>
    <w:rsid w:val="00E43148"/>
    <w:rsid w:val="00E431B0"/>
    <w:rsid w:val="00E432AE"/>
    <w:rsid w:val="00E43336"/>
    <w:rsid w:val="00E4336E"/>
    <w:rsid w:val="00E4340D"/>
    <w:rsid w:val="00E43453"/>
    <w:rsid w:val="00E43563"/>
    <w:rsid w:val="00E435D7"/>
    <w:rsid w:val="00E43684"/>
    <w:rsid w:val="00E436D5"/>
    <w:rsid w:val="00E436E7"/>
    <w:rsid w:val="00E43882"/>
    <w:rsid w:val="00E4391B"/>
    <w:rsid w:val="00E43A58"/>
    <w:rsid w:val="00E43C23"/>
    <w:rsid w:val="00E43E6A"/>
    <w:rsid w:val="00E43F02"/>
    <w:rsid w:val="00E43F22"/>
    <w:rsid w:val="00E43F24"/>
    <w:rsid w:val="00E43F44"/>
    <w:rsid w:val="00E43FFB"/>
    <w:rsid w:val="00E44148"/>
    <w:rsid w:val="00E4415C"/>
    <w:rsid w:val="00E44488"/>
    <w:rsid w:val="00E445E8"/>
    <w:rsid w:val="00E44696"/>
    <w:rsid w:val="00E44755"/>
    <w:rsid w:val="00E44792"/>
    <w:rsid w:val="00E4481B"/>
    <w:rsid w:val="00E44861"/>
    <w:rsid w:val="00E44A2E"/>
    <w:rsid w:val="00E44AC8"/>
    <w:rsid w:val="00E44B1B"/>
    <w:rsid w:val="00E44BBD"/>
    <w:rsid w:val="00E44BD9"/>
    <w:rsid w:val="00E44C3B"/>
    <w:rsid w:val="00E44CCF"/>
    <w:rsid w:val="00E44E1D"/>
    <w:rsid w:val="00E44F1C"/>
    <w:rsid w:val="00E44F1E"/>
    <w:rsid w:val="00E45035"/>
    <w:rsid w:val="00E450CE"/>
    <w:rsid w:val="00E452A2"/>
    <w:rsid w:val="00E45387"/>
    <w:rsid w:val="00E454FC"/>
    <w:rsid w:val="00E4552F"/>
    <w:rsid w:val="00E455B9"/>
    <w:rsid w:val="00E45624"/>
    <w:rsid w:val="00E456CD"/>
    <w:rsid w:val="00E456F0"/>
    <w:rsid w:val="00E457D5"/>
    <w:rsid w:val="00E4592E"/>
    <w:rsid w:val="00E4597C"/>
    <w:rsid w:val="00E459AB"/>
    <w:rsid w:val="00E45BCA"/>
    <w:rsid w:val="00E45BCC"/>
    <w:rsid w:val="00E45FD8"/>
    <w:rsid w:val="00E45FE2"/>
    <w:rsid w:val="00E46277"/>
    <w:rsid w:val="00E462A5"/>
    <w:rsid w:val="00E4639A"/>
    <w:rsid w:val="00E464C4"/>
    <w:rsid w:val="00E465AA"/>
    <w:rsid w:val="00E465FA"/>
    <w:rsid w:val="00E46822"/>
    <w:rsid w:val="00E46AB8"/>
    <w:rsid w:val="00E46BA2"/>
    <w:rsid w:val="00E46BD0"/>
    <w:rsid w:val="00E46BED"/>
    <w:rsid w:val="00E46C91"/>
    <w:rsid w:val="00E46CFF"/>
    <w:rsid w:val="00E46E5D"/>
    <w:rsid w:val="00E46FCA"/>
    <w:rsid w:val="00E470C8"/>
    <w:rsid w:val="00E470CA"/>
    <w:rsid w:val="00E47196"/>
    <w:rsid w:val="00E471E6"/>
    <w:rsid w:val="00E47320"/>
    <w:rsid w:val="00E47480"/>
    <w:rsid w:val="00E47565"/>
    <w:rsid w:val="00E475E2"/>
    <w:rsid w:val="00E47694"/>
    <w:rsid w:val="00E4769D"/>
    <w:rsid w:val="00E477F0"/>
    <w:rsid w:val="00E47803"/>
    <w:rsid w:val="00E47889"/>
    <w:rsid w:val="00E478E9"/>
    <w:rsid w:val="00E479AF"/>
    <w:rsid w:val="00E47C39"/>
    <w:rsid w:val="00E47CA4"/>
    <w:rsid w:val="00E47D73"/>
    <w:rsid w:val="00E47D8C"/>
    <w:rsid w:val="00E47DB7"/>
    <w:rsid w:val="00E47DE9"/>
    <w:rsid w:val="00E47DFC"/>
    <w:rsid w:val="00E50165"/>
    <w:rsid w:val="00E5027F"/>
    <w:rsid w:val="00E5028A"/>
    <w:rsid w:val="00E502FC"/>
    <w:rsid w:val="00E5032B"/>
    <w:rsid w:val="00E50349"/>
    <w:rsid w:val="00E50548"/>
    <w:rsid w:val="00E50555"/>
    <w:rsid w:val="00E50599"/>
    <w:rsid w:val="00E50724"/>
    <w:rsid w:val="00E5096C"/>
    <w:rsid w:val="00E50997"/>
    <w:rsid w:val="00E5099F"/>
    <w:rsid w:val="00E509D9"/>
    <w:rsid w:val="00E50A04"/>
    <w:rsid w:val="00E50A13"/>
    <w:rsid w:val="00E50A52"/>
    <w:rsid w:val="00E50A7F"/>
    <w:rsid w:val="00E50B14"/>
    <w:rsid w:val="00E50B8F"/>
    <w:rsid w:val="00E50CB1"/>
    <w:rsid w:val="00E50D86"/>
    <w:rsid w:val="00E50DA0"/>
    <w:rsid w:val="00E50EB8"/>
    <w:rsid w:val="00E50FC1"/>
    <w:rsid w:val="00E51060"/>
    <w:rsid w:val="00E510F8"/>
    <w:rsid w:val="00E51123"/>
    <w:rsid w:val="00E512DF"/>
    <w:rsid w:val="00E512EC"/>
    <w:rsid w:val="00E512FE"/>
    <w:rsid w:val="00E513E9"/>
    <w:rsid w:val="00E513FF"/>
    <w:rsid w:val="00E5162D"/>
    <w:rsid w:val="00E5165F"/>
    <w:rsid w:val="00E51660"/>
    <w:rsid w:val="00E51746"/>
    <w:rsid w:val="00E517DF"/>
    <w:rsid w:val="00E51827"/>
    <w:rsid w:val="00E51836"/>
    <w:rsid w:val="00E51D11"/>
    <w:rsid w:val="00E51D4A"/>
    <w:rsid w:val="00E51E3C"/>
    <w:rsid w:val="00E51FB2"/>
    <w:rsid w:val="00E52036"/>
    <w:rsid w:val="00E52057"/>
    <w:rsid w:val="00E52076"/>
    <w:rsid w:val="00E521B2"/>
    <w:rsid w:val="00E5228D"/>
    <w:rsid w:val="00E523DA"/>
    <w:rsid w:val="00E52496"/>
    <w:rsid w:val="00E52648"/>
    <w:rsid w:val="00E5264F"/>
    <w:rsid w:val="00E527CC"/>
    <w:rsid w:val="00E527FD"/>
    <w:rsid w:val="00E52884"/>
    <w:rsid w:val="00E52B2A"/>
    <w:rsid w:val="00E52BD6"/>
    <w:rsid w:val="00E52C86"/>
    <w:rsid w:val="00E52C91"/>
    <w:rsid w:val="00E52CA4"/>
    <w:rsid w:val="00E52DF7"/>
    <w:rsid w:val="00E52E90"/>
    <w:rsid w:val="00E53099"/>
    <w:rsid w:val="00E5309D"/>
    <w:rsid w:val="00E53111"/>
    <w:rsid w:val="00E531B7"/>
    <w:rsid w:val="00E5320E"/>
    <w:rsid w:val="00E53312"/>
    <w:rsid w:val="00E53394"/>
    <w:rsid w:val="00E5351E"/>
    <w:rsid w:val="00E5352F"/>
    <w:rsid w:val="00E53620"/>
    <w:rsid w:val="00E5362B"/>
    <w:rsid w:val="00E53632"/>
    <w:rsid w:val="00E536BE"/>
    <w:rsid w:val="00E53B7F"/>
    <w:rsid w:val="00E53C20"/>
    <w:rsid w:val="00E53C35"/>
    <w:rsid w:val="00E53C4D"/>
    <w:rsid w:val="00E53C92"/>
    <w:rsid w:val="00E53E15"/>
    <w:rsid w:val="00E54031"/>
    <w:rsid w:val="00E540D4"/>
    <w:rsid w:val="00E5411B"/>
    <w:rsid w:val="00E54142"/>
    <w:rsid w:val="00E541B2"/>
    <w:rsid w:val="00E541BB"/>
    <w:rsid w:val="00E542A1"/>
    <w:rsid w:val="00E54318"/>
    <w:rsid w:val="00E5438F"/>
    <w:rsid w:val="00E545AE"/>
    <w:rsid w:val="00E54794"/>
    <w:rsid w:val="00E547CE"/>
    <w:rsid w:val="00E5485F"/>
    <w:rsid w:val="00E548F2"/>
    <w:rsid w:val="00E54A00"/>
    <w:rsid w:val="00E54A29"/>
    <w:rsid w:val="00E54AB2"/>
    <w:rsid w:val="00E54B2A"/>
    <w:rsid w:val="00E54BC9"/>
    <w:rsid w:val="00E54C26"/>
    <w:rsid w:val="00E54E01"/>
    <w:rsid w:val="00E54F2F"/>
    <w:rsid w:val="00E55049"/>
    <w:rsid w:val="00E55139"/>
    <w:rsid w:val="00E55143"/>
    <w:rsid w:val="00E55170"/>
    <w:rsid w:val="00E5517D"/>
    <w:rsid w:val="00E551C1"/>
    <w:rsid w:val="00E55474"/>
    <w:rsid w:val="00E55486"/>
    <w:rsid w:val="00E554EF"/>
    <w:rsid w:val="00E55652"/>
    <w:rsid w:val="00E55953"/>
    <w:rsid w:val="00E55ADA"/>
    <w:rsid w:val="00E55B1C"/>
    <w:rsid w:val="00E55C06"/>
    <w:rsid w:val="00E55C18"/>
    <w:rsid w:val="00E55C56"/>
    <w:rsid w:val="00E55CD9"/>
    <w:rsid w:val="00E55CDC"/>
    <w:rsid w:val="00E55DD2"/>
    <w:rsid w:val="00E55DE0"/>
    <w:rsid w:val="00E5602F"/>
    <w:rsid w:val="00E5610A"/>
    <w:rsid w:val="00E56135"/>
    <w:rsid w:val="00E56155"/>
    <w:rsid w:val="00E5620C"/>
    <w:rsid w:val="00E562C2"/>
    <w:rsid w:val="00E562D0"/>
    <w:rsid w:val="00E565BF"/>
    <w:rsid w:val="00E566D5"/>
    <w:rsid w:val="00E566DF"/>
    <w:rsid w:val="00E56782"/>
    <w:rsid w:val="00E568A7"/>
    <w:rsid w:val="00E568DE"/>
    <w:rsid w:val="00E5691D"/>
    <w:rsid w:val="00E56967"/>
    <w:rsid w:val="00E56A36"/>
    <w:rsid w:val="00E56BC5"/>
    <w:rsid w:val="00E56BED"/>
    <w:rsid w:val="00E56E85"/>
    <w:rsid w:val="00E56F69"/>
    <w:rsid w:val="00E57230"/>
    <w:rsid w:val="00E57276"/>
    <w:rsid w:val="00E572CF"/>
    <w:rsid w:val="00E57330"/>
    <w:rsid w:val="00E57417"/>
    <w:rsid w:val="00E5765A"/>
    <w:rsid w:val="00E57689"/>
    <w:rsid w:val="00E5769F"/>
    <w:rsid w:val="00E576F8"/>
    <w:rsid w:val="00E577C5"/>
    <w:rsid w:val="00E57874"/>
    <w:rsid w:val="00E5794A"/>
    <w:rsid w:val="00E57A88"/>
    <w:rsid w:val="00E57B14"/>
    <w:rsid w:val="00E57B73"/>
    <w:rsid w:val="00E57BCF"/>
    <w:rsid w:val="00E57D2A"/>
    <w:rsid w:val="00E57E2B"/>
    <w:rsid w:val="00E57E5E"/>
    <w:rsid w:val="00E57EC9"/>
    <w:rsid w:val="00E57EDA"/>
    <w:rsid w:val="00E57F44"/>
    <w:rsid w:val="00E57FA7"/>
    <w:rsid w:val="00E57FEA"/>
    <w:rsid w:val="00E60058"/>
    <w:rsid w:val="00E60226"/>
    <w:rsid w:val="00E60248"/>
    <w:rsid w:val="00E60376"/>
    <w:rsid w:val="00E603DF"/>
    <w:rsid w:val="00E605A2"/>
    <w:rsid w:val="00E605ED"/>
    <w:rsid w:val="00E6061B"/>
    <w:rsid w:val="00E6064B"/>
    <w:rsid w:val="00E607E0"/>
    <w:rsid w:val="00E60841"/>
    <w:rsid w:val="00E608D7"/>
    <w:rsid w:val="00E6091F"/>
    <w:rsid w:val="00E60962"/>
    <w:rsid w:val="00E60B5E"/>
    <w:rsid w:val="00E60C23"/>
    <w:rsid w:val="00E60E85"/>
    <w:rsid w:val="00E60F33"/>
    <w:rsid w:val="00E60F3F"/>
    <w:rsid w:val="00E60F4E"/>
    <w:rsid w:val="00E60F51"/>
    <w:rsid w:val="00E60F72"/>
    <w:rsid w:val="00E611AA"/>
    <w:rsid w:val="00E61311"/>
    <w:rsid w:val="00E6137F"/>
    <w:rsid w:val="00E613C4"/>
    <w:rsid w:val="00E615E1"/>
    <w:rsid w:val="00E61654"/>
    <w:rsid w:val="00E61675"/>
    <w:rsid w:val="00E616AA"/>
    <w:rsid w:val="00E617AD"/>
    <w:rsid w:val="00E61850"/>
    <w:rsid w:val="00E6198A"/>
    <w:rsid w:val="00E61B93"/>
    <w:rsid w:val="00E61BB9"/>
    <w:rsid w:val="00E61CAF"/>
    <w:rsid w:val="00E61D1C"/>
    <w:rsid w:val="00E61DC5"/>
    <w:rsid w:val="00E61F2A"/>
    <w:rsid w:val="00E620E9"/>
    <w:rsid w:val="00E620EC"/>
    <w:rsid w:val="00E6210D"/>
    <w:rsid w:val="00E621F1"/>
    <w:rsid w:val="00E6222C"/>
    <w:rsid w:val="00E6225D"/>
    <w:rsid w:val="00E6228B"/>
    <w:rsid w:val="00E6248B"/>
    <w:rsid w:val="00E62541"/>
    <w:rsid w:val="00E62826"/>
    <w:rsid w:val="00E62848"/>
    <w:rsid w:val="00E629B4"/>
    <w:rsid w:val="00E62A53"/>
    <w:rsid w:val="00E62AB2"/>
    <w:rsid w:val="00E62B48"/>
    <w:rsid w:val="00E62C38"/>
    <w:rsid w:val="00E62C55"/>
    <w:rsid w:val="00E62C6C"/>
    <w:rsid w:val="00E62D0A"/>
    <w:rsid w:val="00E62E48"/>
    <w:rsid w:val="00E62F61"/>
    <w:rsid w:val="00E62FBF"/>
    <w:rsid w:val="00E63029"/>
    <w:rsid w:val="00E630B4"/>
    <w:rsid w:val="00E6319E"/>
    <w:rsid w:val="00E631A4"/>
    <w:rsid w:val="00E63354"/>
    <w:rsid w:val="00E63380"/>
    <w:rsid w:val="00E633DF"/>
    <w:rsid w:val="00E63470"/>
    <w:rsid w:val="00E634CC"/>
    <w:rsid w:val="00E6351E"/>
    <w:rsid w:val="00E636FE"/>
    <w:rsid w:val="00E63739"/>
    <w:rsid w:val="00E63796"/>
    <w:rsid w:val="00E637B3"/>
    <w:rsid w:val="00E637C7"/>
    <w:rsid w:val="00E638B4"/>
    <w:rsid w:val="00E63938"/>
    <w:rsid w:val="00E63966"/>
    <w:rsid w:val="00E639A3"/>
    <w:rsid w:val="00E639A8"/>
    <w:rsid w:val="00E63A86"/>
    <w:rsid w:val="00E63AD8"/>
    <w:rsid w:val="00E63B12"/>
    <w:rsid w:val="00E63B41"/>
    <w:rsid w:val="00E63B84"/>
    <w:rsid w:val="00E63D13"/>
    <w:rsid w:val="00E63D31"/>
    <w:rsid w:val="00E63DD1"/>
    <w:rsid w:val="00E63E2D"/>
    <w:rsid w:val="00E63EEE"/>
    <w:rsid w:val="00E6406C"/>
    <w:rsid w:val="00E6413E"/>
    <w:rsid w:val="00E64270"/>
    <w:rsid w:val="00E642A7"/>
    <w:rsid w:val="00E642F2"/>
    <w:rsid w:val="00E6436F"/>
    <w:rsid w:val="00E643F2"/>
    <w:rsid w:val="00E64436"/>
    <w:rsid w:val="00E644CE"/>
    <w:rsid w:val="00E64597"/>
    <w:rsid w:val="00E64601"/>
    <w:rsid w:val="00E646A0"/>
    <w:rsid w:val="00E6471C"/>
    <w:rsid w:val="00E6479F"/>
    <w:rsid w:val="00E647A0"/>
    <w:rsid w:val="00E64875"/>
    <w:rsid w:val="00E6496B"/>
    <w:rsid w:val="00E64999"/>
    <w:rsid w:val="00E64A4E"/>
    <w:rsid w:val="00E64A8E"/>
    <w:rsid w:val="00E64D0D"/>
    <w:rsid w:val="00E64D73"/>
    <w:rsid w:val="00E64F28"/>
    <w:rsid w:val="00E64F29"/>
    <w:rsid w:val="00E64F4C"/>
    <w:rsid w:val="00E6509F"/>
    <w:rsid w:val="00E650BA"/>
    <w:rsid w:val="00E65121"/>
    <w:rsid w:val="00E6514A"/>
    <w:rsid w:val="00E65165"/>
    <w:rsid w:val="00E651EF"/>
    <w:rsid w:val="00E65285"/>
    <w:rsid w:val="00E652F4"/>
    <w:rsid w:val="00E6536C"/>
    <w:rsid w:val="00E65472"/>
    <w:rsid w:val="00E654AC"/>
    <w:rsid w:val="00E657F0"/>
    <w:rsid w:val="00E65840"/>
    <w:rsid w:val="00E6598A"/>
    <w:rsid w:val="00E659CB"/>
    <w:rsid w:val="00E659CF"/>
    <w:rsid w:val="00E65A19"/>
    <w:rsid w:val="00E65A8D"/>
    <w:rsid w:val="00E65AD8"/>
    <w:rsid w:val="00E65B35"/>
    <w:rsid w:val="00E65BB3"/>
    <w:rsid w:val="00E65C31"/>
    <w:rsid w:val="00E65C6C"/>
    <w:rsid w:val="00E65D95"/>
    <w:rsid w:val="00E65D9C"/>
    <w:rsid w:val="00E65FC2"/>
    <w:rsid w:val="00E66017"/>
    <w:rsid w:val="00E6616B"/>
    <w:rsid w:val="00E66212"/>
    <w:rsid w:val="00E66269"/>
    <w:rsid w:val="00E664EA"/>
    <w:rsid w:val="00E66632"/>
    <w:rsid w:val="00E66686"/>
    <w:rsid w:val="00E667B0"/>
    <w:rsid w:val="00E667E1"/>
    <w:rsid w:val="00E66852"/>
    <w:rsid w:val="00E668ED"/>
    <w:rsid w:val="00E66938"/>
    <w:rsid w:val="00E669E9"/>
    <w:rsid w:val="00E66ABA"/>
    <w:rsid w:val="00E66B13"/>
    <w:rsid w:val="00E66C44"/>
    <w:rsid w:val="00E66CEA"/>
    <w:rsid w:val="00E66EB3"/>
    <w:rsid w:val="00E66EE2"/>
    <w:rsid w:val="00E66F7F"/>
    <w:rsid w:val="00E67091"/>
    <w:rsid w:val="00E670BB"/>
    <w:rsid w:val="00E6716E"/>
    <w:rsid w:val="00E67199"/>
    <w:rsid w:val="00E6727B"/>
    <w:rsid w:val="00E6728D"/>
    <w:rsid w:val="00E672CB"/>
    <w:rsid w:val="00E67353"/>
    <w:rsid w:val="00E6738C"/>
    <w:rsid w:val="00E673CF"/>
    <w:rsid w:val="00E6751D"/>
    <w:rsid w:val="00E6751E"/>
    <w:rsid w:val="00E67578"/>
    <w:rsid w:val="00E676A1"/>
    <w:rsid w:val="00E67968"/>
    <w:rsid w:val="00E67A90"/>
    <w:rsid w:val="00E67B30"/>
    <w:rsid w:val="00E67BD3"/>
    <w:rsid w:val="00E67C97"/>
    <w:rsid w:val="00E67CD0"/>
    <w:rsid w:val="00E67DA3"/>
    <w:rsid w:val="00E67E7C"/>
    <w:rsid w:val="00E67EA0"/>
    <w:rsid w:val="00E67EC5"/>
    <w:rsid w:val="00E67F25"/>
    <w:rsid w:val="00E67F71"/>
    <w:rsid w:val="00E7005A"/>
    <w:rsid w:val="00E700A1"/>
    <w:rsid w:val="00E700B5"/>
    <w:rsid w:val="00E70225"/>
    <w:rsid w:val="00E7026F"/>
    <w:rsid w:val="00E7033B"/>
    <w:rsid w:val="00E70550"/>
    <w:rsid w:val="00E70692"/>
    <w:rsid w:val="00E706D5"/>
    <w:rsid w:val="00E70798"/>
    <w:rsid w:val="00E70852"/>
    <w:rsid w:val="00E708D1"/>
    <w:rsid w:val="00E7098C"/>
    <w:rsid w:val="00E70A4C"/>
    <w:rsid w:val="00E70B2E"/>
    <w:rsid w:val="00E70BD5"/>
    <w:rsid w:val="00E70D02"/>
    <w:rsid w:val="00E70D3C"/>
    <w:rsid w:val="00E70DA0"/>
    <w:rsid w:val="00E70DA2"/>
    <w:rsid w:val="00E70E28"/>
    <w:rsid w:val="00E70E32"/>
    <w:rsid w:val="00E70E9B"/>
    <w:rsid w:val="00E70FA3"/>
    <w:rsid w:val="00E71082"/>
    <w:rsid w:val="00E710C0"/>
    <w:rsid w:val="00E7112A"/>
    <w:rsid w:val="00E7122D"/>
    <w:rsid w:val="00E7123C"/>
    <w:rsid w:val="00E712AE"/>
    <w:rsid w:val="00E71342"/>
    <w:rsid w:val="00E71482"/>
    <w:rsid w:val="00E714A4"/>
    <w:rsid w:val="00E71609"/>
    <w:rsid w:val="00E71766"/>
    <w:rsid w:val="00E71794"/>
    <w:rsid w:val="00E717E6"/>
    <w:rsid w:val="00E718A8"/>
    <w:rsid w:val="00E71971"/>
    <w:rsid w:val="00E71A97"/>
    <w:rsid w:val="00E71B47"/>
    <w:rsid w:val="00E71B55"/>
    <w:rsid w:val="00E71C65"/>
    <w:rsid w:val="00E71C96"/>
    <w:rsid w:val="00E71E6F"/>
    <w:rsid w:val="00E71E9D"/>
    <w:rsid w:val="00E71EB3"/>
    <w:rsid w:val="00E72029"/>
    <w:rsid w:val="00E72126"/>
    <w:rsid w:val="00E7214E"/>
    <w:rsid w:val="00E72228"/>
    <w:rsid w:val="00E72302"/>
    <w:rsid w:val="00E72498"/>
    <w:rsid w:val="00E724E4"/>
    <w:rsid w:val="00E724FF"/>
    <w:rsid w:val="00E72529"/>
    <w:rsid w:val="00E72670"/>
    <w:rsid w:val="00E726DA"/>
    <w:rsid w:val="00E7279B"/>
    <w:rsid w:val="00E7285D"/>
    <w:rsid w:val="00E728DC"/>
    <w:rsid w:val="00E7290C"/>
    <w:rsid w:val="00E72998"/>
    <w:rsid w:val="00E729CF"/>
    <w:rsid w:val="00E72A7C"/>
    <w:rsid w:val="00E72B04"/>
    <w:rsid w:val="00E72C83"/>
    <w:rsid w:val="00E72DD6"/>
    <w:rsid w:val="00E72F35"/>
    <w:rsid w:val="00E72FC0"/>
    <w:rsid w:val="00E73072"/>
    <w:rsid w:val="00E73263"/>
    <w:rsid w:val="00E73354"/>
    <w:rsid w:val="00E7339A"/>
    <w:rsid w:val="00E73619"/>
    <w:rsid w:val="00E73775"/>
    <w:rsid w:val="00E73779"/>
    <w:rsid w:val="00E737D2"/>
    <w:rsid w:val="00E738B8"/>
    <w:rsid w:val="00E739B8"/>
    <w:rsid w:val="00E739F7"/>
    <w:rsid w:val="00E73A85"/>
    <w:rsid w:val="00E73AED"/>
    <w:rsid w:val="00E73B6F"/>
    <w:rsid w:val="00E73BEA"/>
    <w:rsid w:val="00E73C07"/>
    <w:rsid w:val="00E73D3B"/>
    <w:rsid w:val="00E73D4C"/>
    <w:rsid w:val="00E73D93"/>
    <w:rsid w:val="00E73DB3"/>
    <w:rsid w:val="00E73F17"/>
    <w:rsid w:val="00E74063"/>
    <w:rsid w:val="00E7417B"/>
    <w:rsid w:val="00E7417F"/>
    <w:rsid w:val="00E742EC"/>
    <w:rsid w:val="00E7457A"/>
    <w:rsid w:val="00E7458F"/>
    <w:rsid w:val="00E745FC"/>
    <w:rsid w:val="00E74664"/>
    <w:rsid w:val="00E7474B"/>
    <w:rsid w:val="00E74812"/>
    <w:rsid w:val="00E74850"/>
    <w:rsid w:val="00E7488E"/>
    <w:rsid w:val="00E74979"/>
    <w:rsid w:val="00E749C5"/>
    <w:rsid w:val="00E749E2"/>
    <w:rsid w:val="00E74A44"/>
    <w:rsid w:val="00E74B3D"/>
    <w:rsid w:val="00E74C80"/>
    <w:rsid w:val="00E74CBD"/>
    <w:rsid w:val="00E74D08"/>
    <w:rsid w:val="00E74E67"/>
    <w:rsid w:val="00E74E92"/>
    <w:rsid w:val="00E750BF"/>
    <w:rsid w:val="00E75153"/>
    <w:rsid w:val="00E7516F"/>
    <w:rsid w:val="00E751C8"/>
    <w:rsid w:val="00E751EB"/>
    <w:rsid w:val="00E75207"/>
    <w:rsid w:val="00E753FF"/>
    <w:rsid w:val="00E75466"/>
    <w:rsid w:val="00E7546C"/>
    <w:rsid w:val="00E7548B"/>
    <w:rsid w:val="00E754D8"/>
    <w:rsid w:val="00E7571B"/>
    <w:rsid w:val="00E75748"/>
    <w:rsid w:val="00E75856"/>
    <w:rsid w:val="00E7586D"/>
    <w:rsid w:val="00E75907"/>
    <w:rsid w:val="00E759FB"/>
    <w:rsid w:val="00E75C22"/>
    <w:rsid w:val="00E75CD1"/>
    <w:rsid w:val="00E75D64"/>
    <w:rsid w:val="00E75D99"/>
    <w:rsid w:val="00E75DF2"/>
    <w:rsid w:val="00E7606F"/>
    <w:rsid w:val="00E76155"/>
    <w:rsid w:val="00E764A3"/>
    <w:rsid w:val="00E76597"/>
    <w:rsid w:val="00E7659D"/>
    <w:rsid w:val="00E76655"/>
    <w:rsid w:val="00E76690"/>
    <w:rsid w:val="00E766D7"/>
    <w:rsid w:val="00E76723"/>
    <w:rsid w:val="00E76755"/>
    <w:rsid w:val="00E7678E"/>
    <w:rsid w:val="00E767F4"/>
    <w:rsid w:val="00E76862"/>
    <w:rsid w:val="00E7687A"/>
    <w:rsid w:val="00E768CC"/>
    <w:rsid w:val="00E7690E"/>
    <w:rsid w:val="00E769B7"/>
    <w:rsid w:val="00E76B7E"/>
    <w:rsid w:val="00E76E9B"/>
    <w:rsid w:val="00E76ED9"/>
    <w:rsid w:val="00E770C2"/>
    <w:rsid w:val="00E770DF"/>
    <w:rsid w:val="00E7723B"/>
    <w:rsid w:val="00E772D2"/>
    <w:rsid w:val="00E772F9"/>
    <w:rsid w:val="00E77375"/>
    <w:rsid w:val="00E773F3"/>
    <w:rsid w:val="00E77443"/>
    <w:rsid w:val="00E7769B"/>
    <w:rsid w:val="00E77916"/>
    <w:rsid w:val="00E77A4F"/>
    <w:rsid w:val="00E77A7C"/>
    <w:rsid w:val="00E77AFA"/>
    <w:rsid w:val="00E77AFE"/>
    <w:rsid w:val="00E77B0F"/>
    <w:rsid w:val="00E77B74"/>
    <w:rsid w:val="00E77B95"/>
    <w:rsid w:val="00E77BE9"/>
    <w:rsid w:val="00E77DD7"/>
    <w:rsid w:val="00E8001F"/>
    <w:rsid w:val="00E80057"/>
    <w:rsid w:val="00E80087"/>
    <w:rsid w:val="00E806DC"/>
    <w:rsid w:val="00E80A82"/>
    <w:rsid w:val="00E80AA7"/>
    <w:rsid w:val="00E80B05"/>
    <w:rsid w:val="00E80B65"/>
    <w:rsid w:val="00E80D86"/>
    <w:rsid w:val="00E80E1E"/>
    <w:rsid w:val="00E80E8E"/>
    <w:rsid w:val="00E80FB7"/>
    <w:rsid w:val="00E811F5"/>
    <w:rsid w:val="00E81266"/>
    <w:rsid w:val="00E81340"/>
    <w:rsid w:val="00E8143C"/>
    <w:rsid w:val="00E8150F"/>
    <w:rsid w:val="00E81730"/>
    <w:rsid w:val="00E818EA"/>
    <w:rsid w:val="00E81A27"/>
    <w:rsid w:val="00E81B36"/>
    <w:rsid w:val="00E81D3B"/>
    <w:rsid w:val="00E81D7F"/>
    <w:rsid w:val="00E81DC1"/>
    <w:rsid w:val="00E81E54"/>
    <w:rsid w:val="00E81E78"/>
    <w:rsid w:val="00E81EF8"/>
    <w:rsid w:val="00E81F3B"/>
    <w:rsid w:val="00E82014"/>
    <w:rsid w:val="00E82071"/>
    <w:rsid w:val="00E82079"/>
    <w:rsid w:val="00E821A1"/>
    <w:rsid w:val="00E821A2"/>
    <w:rsid w:val="00E8227E"/>
    <w:rsid w:val="00E822AE"/>
    <w:rsid w:val="00E823E5"/>
    <w:rsid w:val="00E82550"/>
    <w:rsid w:val="00E8263A"/>
    <w:rsid w:val="00E827A5"/>
    <w:rsid w:val="00E82894"/>
    <w:rsid w:val="00E828F7"/>
    <w:rsid w:val="00E82A5F"/>
    <w:rsid w:val="00E82B85"/>
    <w:rsid w:val="00E82C7C"/>
    <w:rsid w:val="00E82D0B"/>
    <w:rsid w:val="00E82D4F"/>
    <w:rsid w:val="00E82D95"/>
    <w:rsid w:val="00E82E31"/>
    <w:rsid w:val="00E82E54"/>
    <w:rsid w:val="00E82E9A"/>
    <w:rsid w:val="00E82EE9"/>
    <w:rsid w:val="00E82F70"/>
    <w:rsid w:val="00E8300E"/>
    <w:rsid w:val="00E8306E"/>
    <w:rsid w:val="00E831AE"/>
    <w:rsid w:val="00E83289"/>
    <w:rsid w:val="00E83303"/>
    <w:rsid w:val="00E83410"/>
    <w:rsid w:val="00E83458"/>
    <w:rsid w:val="00E83462"/>
    <w:rsid w:val="00E834AE"/>
    <w:rsid w:val="00E8357C"/>
    <w:rsid w:val="00E8362C"/>
    <w:rsid w:val="00E83732"/>
    <w:rsid w:val="00E83A17"/>
    <w:rsid w:val="00E83A49"/>
    <w:rsid w:val="00E83B39"/>
    <w:rsid w:val="00E83B72"/>
    <w:rsid w:val="00E83BAC"/>
    <w:rsid w:val="00E83C0C"/>
    <w:rsid w:val="00E83C18"/>
    <w:rsid w:val="00E83C9E"/>
    <w:rsid w:val="00E83CB3"/>
    <w:rsid w:val="00E83CDF"/>
    <w:rsid w:val="00E83E32"/>
    <w:rsid w:val="00E83E34"/>
    <w:rsid w:val="00E83E35"/>
    <w:rsid w:val="00E840E8"/>
    <w:rsid w:val="00E840FD"/>
    <w:rsid w:val="00E84183"/>
    <w:rsid w:val="00E841AD"/>
    <w:rsid w:val="00E84247"/>
    <w:rsid w:val="00E84256"/>
    <w:rsid w:val="00E843B2"/>
    <w:rsid w:val="00E84421"/>
    <w:rsid w:val="00E845FA"/>
    <w:rsid w:val="00E84776"/>
    <w:rsid w:val="00E84880"/>
    <w:rsid w:val="00E84923"/>
    <w:rsid w:val="00E8498D"/>
    <w:rsid w:val="00E84A5D"/>
    <w:rsid w:val="00E84A74"/>
    <w:rsid w:val="00E84B36"/>
    <w:rsid w:val="00E84B57"/>
    <w:rsid w:val="00E84B68"/>
    <w:rsid w:val="00E84BB6"/>
    <w:rsid w:val="00E84BD0"/>
    <w:rsid w:val="00E84C36"/>
    <w:rsid w:val="00E84CDE"/>
    <w:rsid w:val="00E84D44"/>
    <w:rsid w:val="00E84D71"/>
    <w:rsid w:val="00E84DAC"/>
    <w:rsid w:val="00E84E18"/>
    <w:rsid w:val="00E84FF1"/>
    <w:rsid w:val="00E85039"/>
    <w:rsid w:val="00E85170"/>
    <w:rsid w:val="00E8528C"/>
    <w:rsid w:val="00E852D0"/>
    <w:rsid w:val="00E8534A"/>
    <w:rsid w:val="00E853EF"/>
    <w:rsid w:val="00E85506"/>
    <w:rsid w:val="00E85564"/>
    <w:rsid w:val="00E85763"/>
    <w:rsid w:val="00E85817"/>
    <w:rsid w:val="00E85823"/>
    <w:rsid w:val="00E859CB"/>
    <w:rsid w:val="00E85AAF"/>
    <w:rsid w:val="00E85B7E"/>
    <w:rsid w:val="00E85C11"/>
    <w:rsid w:val="00E85D1D"/>
    <w:rsid w:val="00E86042"/>
    <w:rsid w:val="00E8610F"/>
    <w:rsid w:val="00E861C1"/>
    <w:rsid w:val="00E861DE"/>
    <w:rsid w:val="00E86352"/>
    <w:rsid w:val="00E86356"/>
    <w:rsid w:val="00E863BF"/>
    <w:rsid w:val="00E863C7"/>
    <w:rsid w:val="00E8651E"/>
    <w:rsid w:val="00E86559"/>
    <w:rsid w:val="00E86587"/>
    <w:rsid w:val="00E8660D"/>
    <w:rsid w:val="00E867D5"/>
    <w:rsid w:val="00E867FC"/>
    <w:rsid w:val="00E86881"/>
    <w:rsid w:val="00E868AC"/>
    <w:rsid w:val="00E868F1"/>
    <w:rsid w:val="00E86C03"/>
    <w:rsid w:val="00E86D6C"/>
    <w:rsid w:val="00E86E11"/>
    <w:rsid w:val="00E86EDC"/>
    <w:rsid w:val="00E86F1F"/>
    <w:rsid w:val="00E86FF7"/>
    <w:rsid w:val="00E8704E"/>
    <w:rsid w:val="00E870CD"/>
    <w:rsid w:val="00E870E5"/>
    <w:rsid w:val="00E87157"/>
    <w:rsid w:val="00E8722A"/>
    <w:rsid w:val="00E87378"/>
    <w:rsid w:val="00E8741A"/>
    <w:rsid w:val="00E87437"/>
    <w:rsid w:val="00E87518"/>
    <w:rsid w:val="00E87692"/>
    <w:rsid w:val="00E877B0"/>
    <w:rsid w:val="00E879D1"/>
    <w:rsid w:val="00E87A97"/>
    <w:rsid w:val="00E87ABA"/>
    <w:rsid w:val="00E87AD7"/>
    <w:rsid w:val="00E87B83"/>
    <w:rsid w:val="00E87D28"/>
    <w:rsid w:val="00E87E2A"/>
    <w:rsid w:val="00E87E48"/>
    <w:rsid w:val="00E900B6"/>
    <w:rsid w:val="00E900C5"/>
    <w:rsid w:val="00E901FC"/>
    <w:rsid w:val="00E90219"/>
    <w:rsid w:val="00E903D1"/>
    <w:rsid w:val="00E90479"/>
    <w:rsid w:val="00E904A6"/>
    <w:rsid w:val="00E904B2"/>
    <w:rsid w:val="00E9052D"/>
    <w:rsid w:val="00E9061E"/>
    <w:rsid w:val="00E90621"/>
    <w:rsid w:val="00E9062C"/>
    <w:rsid w:val="00E906E2"/>
    <w:rsid w:val="00E90703"/>
    <w:rsid w:val="00E9074A"/>
    <w:rsid w:val="00E907C9"/>
    <w:rsid w:val="00E907E2"/>
    <w:rsid w:val="00E90855"/>
    <w:rsid w:val="00E90986"/>
    <w:rsid w:val="00E90B70"/>
    <w:rsid w:val="00E90CA2"/>
    <w:rsid w:val="00E90CAA"/>
    <w:rsid w:val="00E90CEC"/>
    <w:rsid w:val="00E90EC1"/>
    <w:rsid w:val="00E90F63"/>
    <w:rsid w:val="00E90F9F"/>
    <w:rsid w:val="00E90FCA"/>
    <w:rsid w:val="00E9107D"/>
    <w:rsid w:val="00E91259"/>
    <w:rsid w:val="00E91287"/>
    <w:rsid w:val="00E91374"/>
    <w:rsid w:val="00E913F7"/>
    <w:rsid w:val="00E915F5"/>
    <w:rsid w:val="00E915FF"/>
    <w:rsid w:val="00E91644"/>
    <w:rsid w:val="00E9165E"/>
    <w:rsid w:val="00E9179B"/>
    <w:rsid w:val="00E91830"/>
    <w:rsid w:val="00E9191E"/>
    <w:rsid w:val="00E919B8"/>
    <w:rsid w:val="00E919D5"/>
    <w:rsid w:val="00E91A5C"/>
    <w:rsid w:val="00E91A65"/>
    <w:rsid w:val="00E91AAF"/>
    <w:rsid w:val="00E91B23"/>
    <w:rsid w:val="00E91B36"/>
    <w:rsid w:val="00E91D5B"/>
    <w:rsid w:val="00E91D72"/>
    <w:rsid w:val="00E91D77"/>
    <w:rsid w:val="00E91E2E"/>
    <w:rsid w:val="00E91E57"/>
    <w:rsid w:val="00E91EB4"/>
    <w:rsid w:val="00E91F1F"/>
    <w:rsid w:val="00E91F69"/>
    <w:rsid w:val="00E91FB9"/>
    <w:rsid w:val="00E92180"/>
    <w:rsid w:val="00E921CE"/>
    <w:rsid w:val="00E92200"/>
    <w:rsid w:val="00E9220A"/>
    <w:rsid w:val="00E92246"/>
    <w:rsid w:val="00E922BB"/>
    <w:rsid w:val="00E92381"/>
    <w:rsid w:val="00E923DA"/>
    <w:rsid w:val="00E923E1"/>
    <w:rsid w:val="00E92403"/>
    <w:rsid w:val="00E9240A"/>
    <w:rsid w:val="00E92432"/>
    <w:rsid w:val="00E9248B"/>
    <w:rsid w:val="00E924F4"/>
    <w:rsid w:val="00E92538"/>
    <w:rsid w:val="00E925ED"/>
    <w:rsid w:val="00E928AF"/>
    <w:rsid w:val="00E92A50"/>
    <w:rsid w:val="00E92B81"/>
    <w:rsid w:val="00E92BD6"/>
    <w:rsid w:val="00E92C04"/>
    <w:rsid w:val="00E92D00"/>
    <w:rsid w:val="00E92ECA"/>
    <w:rsid w:val="00E930BA"/>
    <w:rsid w:val="00E93226"/>
    <w:rsid w:val="00E93288"/>
    <w:rsid w:val="00E93332"/>
    <w:rsid w:val="00E93345"/>
    <w:rsid w:val="00E93359"/>
    <w:rsid w:val="00E93595"/>
    <w:rsid w:val="00E9367A"/>
    <w:rsid w:val="00E936FA"/>
    <w:rsid w:val="00E937A1"/>
    <w:rsid w:val="00E93961"/>
    <w:rsid w:val="00E93962"/>
    <w:rsid w:val="00E9396B"/>
    <w:rsid w:val="00E939CC"/>
    <w:rsid w:val="00E93A38"/>
    <w:rsid w:val="00E93A3B"/>
    <w:rsid w:val="00E93B2B"/>
    <w:rsid w:val="00E93B57"/>
    <w:rsid w:val="00E93E28"/>
    <w:rsid w:val="00E93F0F"/>
    <w:rsid w:val="00E9408C"/>
    <w:rsid w:val="00E9409B"/>
    <w:rsid w:val="00E940A3"/>
    <w:rsid w:val="00E94202"/>
    <w:rsid w:val="00E94422"/>
    <w:rsid w:val="00E94447"/>
    <w:rsid w:val="00E9448F"/>
    <w:rsid w:val="00E945BE"/>
    <w:rsid w:val="00E94641"/>
    <w:rsid w:val="00E94775"/>
    <w:rsid w:val="00E94798"/>
    <w:rsid w:val="00E947CE"/>
    <w:rsid w:val="00E947D9"/>
    <w:rsid w:val="00E948DC"/>
    <w:rsid w:val="00E94963"/>
    <w:rsid w:val="00E94A9C"/>
    <w:rsid w:val="00E94C5A"/>
    <w:rsid w:val="00E94C5E"/>
    <w:rsid w:val="00E94CF4"/>
    <w:rsid w:val="00E94DDF"/>
    <w:rsid w:val="00E94E6D"/>
    <w:rsid w:val="00E95211"/>
    <w:rsid w:val="00E952F9"/>
    <w:rsid w:val="00E95364"/>
    <w:rsid w:val="00E95366"/>
    <w:rsid w:val="00E95394"/>
    <w:rsid w:val="00E953A7"/>
    <w:rsid w:val="00E95498"/>
    <w:rsid w:val="00E956BA"/>
    <w:rsid w:val="00E9586C"/>
    <w:rsid w:val="00E958E9"/>
    <w:rsid w:val="00E95902"/>
    <w:rsid w:val="00E959A3"/>
    <w:rsid w:val="00E95A63"/>
    <w:rsid w:val="00E95B11"/>
    <w:rsid w:val="00E95D6E"/>
    <w:rsid w:val="00E95ED8"/>
    <w:rsid w:val="00E95FB8"/>
    <w:rsid w:val="00E95FCE"/>
    <w:rsid w:val="00E963FD"/>
    <w:rsid w:val="00E96448"/>
    <w:rsid w:val="00E965F6"/>
    <w:rsid w:val="00E9678F"/>
    <w:rsid w:val="00E9680B"/>
    <w:rsid w:val="00E968A4"/>
    <w:rsid w:val="00E968CE"/>
    <w:rsid w:val="00E9693F"/>
    <w:rsid w:val="00E96A4E"/>
    <w:rsid w:val="00E96ABB"/>
    <w:rsid w:val="00E96B49"/>
    <w:rsid w:val="00E96B7F"/>
    <w:rsid w:val="00E96C17"/>
    <w:rsid w:val="00E96C26"/>
    <w:rsid w:val="00E96CAF"/>
    <w:rsid w:val="00E96CDE"/>
    <w:rsid w:val="00E96D1B"/>
    <w:rsid w:val="00E96D32"/>
    <w:rsid w:val="00E96E8E"/>
    <w:rsid w:val="00E96F40"/>
    <w:rsid w:val="00E96F7E"/>
    <w:rsid w:val="00E96FB7"/>
    <w:rsid w:val="00E97132"/>
    <w:rsid w:val="00E97152"/>
    <w:rsid w:val="00E9726B"/>
    <w:rsid w:val="00E97364"/>
    <w:rsid w:val="00E97587"/>
    <w:rsid w:val="00E97686"/>
    <w:rsid w:val="00E976DE"/>
    <w:rsid w:val="00E976DF"/>
    <w:rsid w:val="00E97701"/>
    <w:rsid w:val="00E97784"/>
    <w:rsid w:val="00E9786E"/>
    <w:rsid w:val="00E9792A"/>
    <w:rsid w:val="00E9792D"/>
    <w:rsid w:val="00E97B5E"/>
    <w:rsid w:val="00E97BEE"/>
    <w:rsid w:val="00E97C86"/>
    <w:rsid w:val="00E97CA0"/>
    <w:rsid w:val="00E97D46"/>
    <w:rsid w:val="00E97DAC"/>
    <w:rsid w:val="00E97DCA"/>
    <w:rsid w:val="00E97DDF"/>
    <w:rsid w:val="00E97F0C"/>
    <w:rsid w:val="00EA0023"/>
    <w:rsid w:val="00EA00DD"/>
    <w:rsid w:val="00EA014D"/>
    <w:rsid w:val="00EA0207"/>
    <w:rsid w:val="00EA023B"/>
    <w:rsid w:val="00EA0296"/>
    <w:rsid w:val="00EA0525"/>
    <w:rsid w:val="00EA05E1"/>
    <w:rsid w:val="00EA06F2"/>
    <w:rsid w:val="00EA0793"/>
    <w:rsid w:val="00EA0878"/>
    <w:rsid w:val="00EA0894"/>
    <w:rsid w:val="00EA0903"/>
    <w:rsid w:val="00EA090B"/>
    <w:rsid w:val="00EA0945"/>
    <w:rsid w:val="00EA09D9"/>
    <w:rsid w:val="00EA0A27"/>
    <w:rsid w:val="00EA0A3B"/>
    <w:rsid w:val="00EA0A62"/>
    <w:rsid w:val="00EA0A65"/>
    <w:rsid w:val="00EA0B21"/>
    <w:rsid w:val="00EA0B51"/>
    <w:rsid w:val="00EA0C30"/>
    <w:rsid w:val="00EA0C79"/>
    <w:rsid w:val="00EA0CC4"/>
    <w:rsid w:val="00EA0CF3"/>
    <w:rsid w:val="00EA0D16"/>
    <w:rsid w:val="00EA0DBF"/>
    <w:rsid w:val="00EA0EBA"/>
    <w:rsid w:val="00EA0EBB"/>
    <w:rsid w:val="00EA0FDA"/>
    <w:rsid w:val="00EA1072"/>
    <w:rsid w:val="00EA10C3"/>
    <w:rsid w:val="00EA11A2"/>
    <w:rsid w:val="00EA11CF"/>
    <w:rsid w:val="00EA122B"/>
    <w:rsid w:val="00EA1279"/>
    <w:rsid w:val="00EA12AD"/>
    <w:rsid w:val="00EA12B7"/>
    <w:rsid w:val="00EA13A5"/>
    <w:rsid w:val="00EA13AB"/>
    <w:rsid w:val="00EA1583"/>
    <w:rsid w:val="00EA1819"/>
    <w:rsid w:val="00EA185B"/>
    <w:rsid w:val="00EA1A8D"/>
    <w:rsid w:val="00EA1B91"/>
    <w:rsid w:val="00EA1BF8"/>
    <w:rsid w:val="00EA1CC0"/>
    <w:rsid w:val="00EA1D2C"/>
    <w:rsid w:val="00EA1D83"/>
    <w:rsid w:val="00EA1D89"/>
    <w:rsid w:val="00EA1E31"/>
    <w:rsid w:val="00EA1EF7"/>
    <w:rsid w:val="00EA2119"/>
    <w:rsid w:val="00EA22B6"/>
    <w:rsid w:val="00EA232B"/>
    <w:rsid w:val="00EA2368"/>
    <w:rsid w:val="00EA24B7"/>
    <w:rsid w:val="00EA2517"/>
    <w:rsid w:val="00EA25B2"/>
    <w:rsid w:val="00EA2636"/>
    <w:rsid w:val="00EA2652"/>
    <w:rsid w:val="00EA26C8"/>
    <w:rsid w:val="00EA270C"/>
    <w:rsid w:val="00EA27E8"/>
    <w:rsid w:val="00EA28CB"/>
    <w:rsid w:val="00EA28E0"/>
    <w:rsid w:val="00EA29A1"/>
    <w:rsid w:val="00EA29E1"/>
    <w:rsid w:val="00EA2BD2"/>
    <w:rsid w:val="00EA2C26"/>
    <w:rsid w:val="00EA2D35"/>
    <w:rsid w:val="00EA2D9E"/>
    <w:rsid w:val="00EA2EC7"/>
    <w:rsid w:val="00EA2F29"/>
    <w:rsid w:val="00EA2F6A"/>
    <w:rsid w:val="00EA3056"/>
    <w:rsid w:val="00EA31EB"/>
    <w:rsid w:val="00EA3310"/>
    <w:rsid w:val="00EA3375"/>
    <w:rsid w:val="00EA3507"/>
    <w:rsid w:val="00EA35A9"/>
    <w:rsid w:val="00EA3609"/>
    <w:rsid w:val="00EA360D"/>
    <w:rsid w:val="00EA37C3"/>
    <w:rsid w:val="00EA39F7"/>
    <w:rsid w:val="00EA39FD"/>
    <w:rsid w:val="00EA3A72"/>
    <w:rsid w:val="00EA3A98"/>
    <w:rsid w:val="00EA3C2E"/>
    <w:rsid w:val="00EA3C65"/>
    <w:rsid w:val="00EA3CFE"/>
    <w:rsid w:val="00EA3DAB"/>
    <w:rsid w:val="00EA4080"/>
    <w:rsid w:val="00EA40A0"/>
    <w:rsid w:val="00EA40BB"/>
    <w:rsid w:val="00EA4196"/>
    <w:rsid w:val="00EA41F9"/>
    <w:rsid w:val="00EA428C"/>
    <w:rsid w:val="00EA429E"/>
    <w:rsid w:val="00EA439A"/>
    <w:rsid w:val="00EA43EE"/>
    <w:rsid w:val="00EA44BC"/>
    <w:rsid w:val="00EA44D9"/>
    <w:rsid w:val="00EA464F"/>
    <w:rsid w:val="00EA4754"/>
    <w:rsid w:val="00EA47F4"/>
    <w:rsid w:val="00EA4842"/>
    <w:rsid w:val="00EA4898"/>
    <w:rsid w:val="00EA491F"/>
    <w:rsid w:val="00EA4942"/>
    <w:rsid w:val="00EA49FA"/>
    <w:rsid w:val="00EA4ACF"/>
    <w:rsid w:val="00EA4C8F"/>
    <w:rsid w:val="00EA4D30"/>
    <w:rsid w:val="00EA4DAE"/>
    <w:rsid w:val="00EA4E4F"/>
    <w:rsid w:val="00EA4E67"/>
    <w:rsid w:val="00EA4ED5"/>
    <w:rsid w:val="00EA4EDF"/>
    <w:rsid w:val="00EA4F2D"/>
    <w:rsid w:val="00EA51B0"/>
    <w:rsid w:val="00EA538D"/>
    <w:rsid w:val="00EA5442"/>
    <w:rsid w:val="00EA550D"/>
    <w:rsid w:val="00EA55D3"/>
    <w:rsid w:val="00EA56A4"/>
    <w:rsid w:val="00EA5824"/>
    <w:rsid w:val="00EA5937"/>
    <w:rsid w:val="00EA5A34"/>
    <w:rsid w:val="00EA5ACE"/>
    <w:rsid w:val="00EA5AEE"/>
    <w:rsid w:val="00EA5B2D"/>
    <w:rsid w:val="00EA5B75"/>
    <w:rsid w:val="00EA5B7F"/>
    <w:rsid w:val="00EA5CA8"/>
    <w:rsid w:val="00EA5E0A"/>
    <w:rsid w:val="00EA5E38"/>
    <w:rsid w:val="00EA5EDA"/>
    <w:rsid w:val="00EA5F3E"/>
    <w:rsid w:val="00EA5F9B"/>
    <w:rsid w:val="00EA608A"/>
    <w:rsid w:val="00EA6274"/>
    <w:rsid w:val="00EA62C4"/>
    <w:rsid w:val="00EA6349"/>
    <w:rsid w:val="00EA638F"/>
    <w:rsid w:val="00EA641E"/>
    <w:rsid w:val="00EA64BD"/>
    <w:rsid w:val="00EA6628"/>
    <w:rsid w:val="00EA668A"/>
    <w:rsid w:val="00EA66E5"/>
    <w:rsid w:val="00EA671D"/>
    <w:rsid w:val="00EA6901"/>
    <w:rsid w:val="00EA69D9"/>
    <w:rsid w:val="00EA6A2C"/>
    <w:rsid w:val="00EA6ABE"/>
    <w:rsid w:val="00EA6AF2"/>
    <w:rsid w:val="00EA6C9B"/>
    <w:rsid w:val="00EA6DB9"/>
    <w:rsid w:val="00EA6E03"/>
    <w:rsid w:val="00EA6EB3"/>
    <w:rsid w:val="00EA7069"/>
    <w:rsid w:val="00EA707D"/>
    <w:rsid w:val="00EA712B"/>
    <w:rsid w:val="00EA71EE"/>
    <w:rsid w:val="00EA73A3"/>
    <w:rsid w:val="00EA7440"/>
    <w:rsid w:val="00EA751B"/>
    <w:rsid w:val="00EA7593"/>
    <w:rsid w:val="00EA7691"/>
    <w:rsid w:val="00EA76D1"/>
    <w:rsid w:val="00EA76F2"/>
    <w:rsid w:val="00EA77C7"/>
    <w:rsid w:val="00EA7949"/>
    <w:rsid w:val="00EA796A"/>
    <w:rsid w:val="00EA7990"/>
    <w:rsid w:val="00EA7CF3"/>
    <w:rsid w:val="00EA7F70"/>
    <w:rsid w:val="00EA7F83"/>
    <w:rsid w:val="00EB0020"/>
    <w:rsid w:val="00EB0185"/>
    <w:rsid w:val="00EB026C"/>
    <w:rsid w:val="00EB02E1"/>
    <w:rsid w:val="00EB035D"/>
    <w:rsid w:val="00EB03A7"/>
    <w:rsid w:val="00EB054A"/>
    <w:rsid w:val="00EB059F"/>
    <w:rsid w:val="00EB05CF"/>
    <w:rsid w:val="00EB0636"/>
    <w:rsid w:val="00EB070C"/>
    <w:rsid w:val="00EB0999"/>
    <w:rsid w:val="00EB0B87"/>
    <w:rsid w:val="00EB0CB6"/>
    <w:rsid w:val="00EB0D71"/>
    <w:rsid w:val="00EB0D7A"/>
    <w:rsid w:val="00EB0E51"/>
    <w:rsid w:val="00EB1085"/>
    <w:rsid w:val="00EB10EB"/>
    <w:rsid w:val="00EB11E8"/>
    <w:rsid w:val="00EB1425"/>
    <w:rsid w:val="00EB1529"/>
    <w:rsid w:val="00EB155D"/>
    <w:rsid w:val="00EB1698"/>
    <w:rsid w:val="00EB1840"/>
    <w:rsid w:val="00EB187F"/>
    <w:rsid w:val="00EB1B59"/>
    <w:rsid w:val="00EB1CE3"/>
    <w:rsid w:val="00EB1DD7"/>
    <w:rsid w:val="00EB1EF7"/>
    <w:rsid w:val="00EB1F1F"/>
    <w:rsid w:val="00EB1F20"/>
    <w:rsid w:val="00EB204F"/>
    <w:rsid w:val="00EB224C"/>
    <w:rsid w:val="00EB2280"/>
    <w:rsid w:val="00EB22A7"/>
    <w:rsid w:val="00EB22D8"/>
    <w:rsid w:val="00EB2533"/>
    <w:rsid w:val="00EB2725"/>
    <w:rsid w:val="00EB28A6"/>
    <w:rsid w:val="00EB2A29"/>
    <w:rsid w:val="00EB2AAF"/>
    <w:rsid w:val="00EB2AC5"/>
    <w:rsid w:val="00EB2B15"/>
    <w:rsid w:val="00EB2B26"/>
    <w:rsid w:val="00EB2BB2"/>
    <w:rsid w:val="00EB2D64"/>
    <w:rsid w:val="00EB2EC1"/>
    <w:rsid w:val="00EB2F70"/>
    <w:rsid w:val="00EB2FBE"/>
    <w:rsid w:val="00EB2FF5"/>
    <w:rsid w:val="00EB301A"/>
    <w:rsid w:val="00EB3107"/>
    <w:rsid w:val="00EB313F"/>
    <w:rsid w:val="00EB3161"/>
    <w:rsid w:val="00EB3177"/>
    <w:rsid w:val="00EB3272"/>
    <w:rsid w:val="00EB32F2"/>
    <w:rsid w:val="00EB3490"/>
    <w:rsid w:val="00EB34CE"/>
    <w:rsid w:val="00EB35B4"/>
    <w:rsid w:val="00EB39A6"/>
    <w:rsid w:val="00EB3A33"/>
    <w:rsid w:val="00EB3A85"/>
    <w:rsid w:val="00EB3C52"/>
    <w:rsid w:val="00EB3CD2"/>
    <w:rsid w:val="00EB3D08"/>
    <w:rsid w:val="00EB3DBC"/>
    <w:rsid w:val="00EB3DFB"/>
    <w:rsid w:val="00EB3EDC"/>
    <w:rsid w:val="00EB3FD4"/>
    <w:rsid w:val="00EB4015"/>
    <w:rsid w:val="00EB4156"/>
    <w:rsid w:val="00EB4180"/>
    <w:rsid w:val="00EB428A"/>
    <w:rsid w:val="00EB4375"/>
    <w:rsid w:val="00EB4496"/>
    <w:rsid w:val="00EB44D2"/>
    <w:rsid w:val="00EB44DF"/>
    <w:rsid w:val="00EB4750"/>
    <w:rsid w:val="00EB4781"/>
    <w:rsid w:val="00EB47A0"/>
    <w:rsid w:val="00EB4BFB"/>
    <w:rsid w:val="00EB4F09"/>
    <w:rsid w:val="00EB4FCA"/>
    <w:rsid w:val="00EB4FD0"/>
    <w:rsid w:val="00EB4FEE"/>
    <w:rsid w:val="00EB5079"/>
    <w:rsid w:val="00EB51C9"/>
    <w:rsid w:val="00EB56AB"/>
    <w:rsid w:val="00EB5795"/>
    <w:rsid w:val="00EB57A7"/>
    <w:rsid w:val="00EB594E"/>
    <w:rsid w:val="00EB595C"/>
    <w:rsid w:val="00EB5A3E"/>
    <w:rsid w:val="00EB5A53"/>
    <w:rsid w:val="00EB5BF8"/>
    <w:rsid w:val="00EB5E5C"/>
    <w:rsid w:val="00EB5F23"/>
    <w:rsid w:val="00EB5F93"/>
    <w:rsid w:val="00EB5FAF"/>
    <w:rsid w:val="00EB5FDD"/>
    <w:rsid w:val="00EB6076"/>
    <w:rsid w:val="00EB6092"/>
    <w:rsid w:val="00EB614F"/>
    <w:rsid w:val="00EB6477"/>
    <w:rsid w:val="00EB6559"/>
    <w:rsid w:val="00EB6584"/>
    <w:rsid w:val="00EB6649"/>
    <w:rsid w:val="00EB6659"/>
    <w:rsid w:val="00EB68E8"/>
    <w:rsid w:val="00EB6A50"/>
    <w:rsid w:val="00EB6A51"/>
    <w:rsid w:val="00EB6C27"/>
    <w:rsid w:val="00EB6D3F"/>
    <w:rsid w:val="00EB6E46"/>
    <w:rsid w:val="00EB6E4A"/>
    <w:rsid w:val="00EB6F06"/>
    <w:rsid w:val="00EB704D"/>
    <w:rsid w:val="00EB70C3"/>
    <w:rsid w:val="00EB70CE"/>
    <w:rsid w:val="00EB7126"/>
    <w:rsid w:val="00EB716C"/>
    <w:rsid w:val="00EB7188"/>
    <w:rsid w:val="00EB720A"/>
    <w:rsid w:val="00EB72CD"/>
    <w:rsid w:val="00EB732D"/>
    <w:rsid w:val="00EB73DE"/>
    <w:rsid w:val="00EB74FA"/>
    <w:rsid w:val="00EB7728"/>
    <w:rsid w:val="00EB77CE"/>
    <w:rsid w:val="00EB77D0"/>
    <w:rsid w:val="00EB77EE"/>
    <w:rsid w:val="00EB7919"/>
    <w:rsid w:val="00EB7A5C"/>
    <w:rsid w:val="00EB7A82"/>
    <w:rsid w:val="00EB7A9C"/>
    <w:rsid w:val="00EB7B6E"/>
    <w:rsid w:val="00EB7BEF"/>
    <w:rsid w:val="00EB7C5B"/>
    <w:rsid w:val="00EB7C78"/>
    <w:rsid w:val="00EB7E2A"/>
    <w:rsid w:val="00EB7E4F"/>
    <w:rsid w:val="00EBFD98"/>
    <w:rsid w:val="00EC01B8"/>
    <w:rsid w:val="00EC0294"/>
    <w:rsid w:val="00EC02CC"/>
    <w:rsid w:val="00EC0506"/>
    <w:rsid w:val="00EC05F8"/>
    <w:rsid w:val="00EC0606"/>
    <w:rsid w:val="00EC0613"/>
    <w:rsid w:val="00EC068A"/>
    <w:rsid w:val="00EC0692"/>
    <w:rsid w:val="00EC06E7"/>
    <w:rsid w:val="00EC06E8"/>
    <w:rsid w:val="00EC07B0"/>
    <w:rsid w:val="00EC07D8"/>
    <w:rsid w:val="00EC089E"/>
    <w:rsid w:val="00EC08A1"/>
    <w:rsid w:val="00EC08CB"/>
    <w:rsid w:val="00EC0B03"/>
    <w:rsid w:val="00EC0C3B"/>
    <w:rsid w:val="00EC0CB0"/>
    <w:rsid w:val="00EC0EE5"/>
    <w:rsid w:val="00EC0EF5"/>
    <w:rsid w:val="00EC0FC5"/>
    <w:rsid w:val="00EC104A"/>
    <w:rsid w:val="00EC1310"/>
    <w:rsid w:val="00EC137F"/>
    <w:rsid w:val="00EC1471"/>
    <w:rsid w:val="00EC1592"/>
    <w:rsid w:val="00EC15A1"/>
    <w:rsid w:val="00EC15AD"/>
    <w:rsid w:val="00EC1632"/>
    <w:rsid w:val="00EC164A"/>
    <w:rsid w:val="00EC1657"/>
    <w:rsid w:val="00EC16F5"/>
    <w:rsid w:val="00EC17D1"/>
    <w:rsid w:val="00EC17F2"/>
    <w:rsid w:val="00EC185F"/>
    <w:rsid w:val="00EC189C"/>
    <w:rsid w:val="00EC1986"/>
    <w:rsid w:val="00EC1B74"/>
    <w:rsid w:val="00EC1D03"/>
    <w:rsid w:val="00EC1DB0"/>
    <w:rsid w:val="00EC1EB5"/>
    <w:rsid w:val="00EC1EBE"/>
    <w:rsid w:val="00EC1EF0"/>
    <w:rsid w:val="00EC1F20"/>
    <w:rsid w:val="00EC20AD"/>
    <w:rsid w:val="00EC20B8"/>
    <w:rsid w:val="00EC21A6"/>
    <w:rsid w:val="00EC225E"/>
    <w:rsid w:val="00EC227C"/>
    <w:rsid w:val="00EC2295"/>
    <w:rsid w:val="00EC2413"/>
    <w:rsid w:val="00EC24DF"/>
    <w:rsid w:val="00EC2528"/>
    <w:rsid w:val="00EC2531"/>
    <w:rsid w:val="00EC27F2"/>
    <w:rsid w:val="00EC2BC1"/>
    <w:rsid w:val="00EC2C48"/>
    <w:rsid w:val="00EC2CA1"/>
    <w:rsid w:val="00EC2CB5"/>
    <w:rsid w:val="00EC2CEF"/>
    <w:rsid w:val="00EC2D1F"/>
    <w:rsid w:val="00EC2D35"/>
    <w:rsid w:val="00EC2D97"/>
    <w:rsid w:val="00EC2DA6"/>
    <w:rsid w:val="00EC2DF0"/>
    <w:rsid w:val="00EC2E0D"/>
    <w:rsid w:val="00EC2F74"/>
    <w:rsid w:val="00EC2FA1"/>
    <w:rsid w:val="00EC2FC2"/>
    <w:rsid w:val="00EC2FE5"/>
    <w:rsid w:val="00EC31FE"/>
    <w:rsid w:val="00EC3299"/>
    <w:rsid w:val="00EC3516"/>
    <w:rsid w:val="00EC3537"/>
    <w:rsid w:val="00EC3568"/>
    <w:rsid w:val="00EC36A1"/>
    <w:rsid w:val="00EC3765"/>
    <w:rsid w:val="00EC3896"/>
    <w:rsid w:val="00EC38C8"/>
    <w:rsid w:val="00EC3921"/>
    <w:rsid w:val="00EC39AB"/>
    <w:rsid w:val="00EC39DE"/>
    <w:rsid w:val="00EC3B0E"/>
    <w:rsid w:val="00EC3B62"/>
    <w:rsid w:val="00EC3C4A"/>
    <w:rsid w:val="00EC3C76"/>
    <w:rsid w:val="00EC3D18"/>
    <w:rsid w:val="00EC3D6A"/>
    <w:rsid w:val="00EC3D77"/>
    <w:rsid w:val="00EC3EE9"/>
    <w:rsid w:val="00EC3FD9"/>
    <w:rsid w:val="00EC40D3"/>
    <w:rsid w:val="00EC413E"/>
    <w:rsid w:val="00EC4225"/>
    <w:rsid w:val="00EC424C"/>
    <w:rsid w:val="00EC4470"/>
    <w:rsid w:val="00EC448A"/>
    <w:rsid w:val="00EC44F6"/>
    <w:rsid w:val="00EC4506"/>
    <w:rsid w:val="00EC455D"/>
    <w:rsid w:val="00EC45AA"/>
    <w:rsid w:val="00EC45C8"/>
    <w:rsid w:val="00EC4980"/>
    <w:rsid w:val="00EC4A65"/>
    <w:rsid w:val="00EC4ADE"/>
    <w:rsid w:val="00EC4B2E"/>
    <w:rsid w:val="00EC4BA6"/>
    <w:rsid w:val="00EC4C42"/>
    <w:rsid w:val="00EC4C5F"/>
    <w:rsid w:val="00EC4D14"/>
    <w:rsid w:val="00EC4D89"/>
    <w:rsid w:val="00EC4F3E"/>
    <w:rsid w:val="00EC50C6"/>
    <w:rsid w:val="00EC5196"/>
    <w:rsid w:val="00EC51FB"/>
    <w:rsid w:val="00EC5227"/>
    <w:rsid w:val="00EC5389"/>
    <w:rsid w:val="00EC5498"/>
    <w:rsid w:val="00EC55DD"/>
    <w:rsid w:val="00EC55F1"/>
    <w:rsid w:val="00EC5676"/>
    <w:rsid w:val="00EC583E"/>
    <w:rsid w:val="00EC593F"/>
    <w:rsid w:val="00EC59B0"/>
    <w:rsid w:val="00EC59D9"/>
    <w:rsid w:val="00EC5B5A"/>
    <w:rsid w:val="00EC5B5B"/>
    <w:rsid w:val="00EC5DB3"/>
    <w:rsid w:val="00EC5E33"/>
    <w:rsid w:val="00EC5FDF"/>
    <w:rsid w:val="00EC6063"/>
    <w:rsid w:val="00EC610B"/>
    <w:rsid w:val="00EC6142"/>
    <w:rsid w:val="00EC6196"/>
    <w:rsid w:val="00EC61E2"/>
    <w:rsid w:val="00EC61E4"/>
    <w:rsid w:val="00EC6200"/>
    <w:rsid w:val="00EC6306"/>
    <w:rsid w:val="00EC6367"/>
    <w:rsid w:val="00EC6419"/>
    <w:rsid w:val="00EC645C"/>
    <w:rsid w:val="00EC6542"/>
    <w:rsid w:val="00EC65C9"/>
    <w:rsid w:val="00EC65FA"/>
    <w:rsid w:val="00EC6623"/>
    <w:rsid w:val="00EC6646"/>
    <w:rsid w:val="00EC66CB"/>
    <w:rsid w:val="00EC66D0"/>
    <w:rsid w:val="00EC673D"/>
    <w:rsid w:val="00EC6858"/>
    <w:rsid w:val="00EC6896"/>
    <w:rsid w:val="00EC6898"/>
    <w:rsid w:val="00EC69B5"/>
    <w:rsid w:val="00EC6C3E"/>
    <w:rsid w:val="00EC6CBD"/>
    <w:rsid w:val="00EC6E18"/>
    <w:rsid w:val="00EC6E23"/>
    <w:rsid w:val="00EC6E2A"/>
    <w:rsid w:val="00EC6E73"/>
    <w:rsid w:val="00EC6ECA"/>
    <w:rsid w:val="00EC6F2A"/>
    <w:rsid w:val="00EC702F"/>
    <w:rsid w:val="00EC71D1"/>
    <w:rsid w:val="00EC71E3"/>
    <w:rsid w:val="00EC71E5"/>
    <w:rsid w:val="00EC7433"/>
    <w:rsid w:val="00EC7442"/>
    <w:rsid w:val="00EC7456"/>
    <w:rsid w:val="00EC747E"/>
    <w:rsid w:val="00EC7529"/>
    <w:rsid w:val="00EC7590"/>
    <w:rsid w:val="00EC75E2"/>
    <w:rsid w:val="00EC77D5"/>
    <w:rsid w:val="00EC7802"/>
    <w:rsid w:val="00EC787A"/>
    <w:rsid w:val="00EC78BF"/>
    <w:rsid w:val="00EC78C0"/>
    <w:rsid w:val="00EC78C5"/>
    <w:rsid w:val="00EC79D4"/>
    <w:rsid w:val="00EC7BDC"/>
    <w:rsid w:val="00EC7DD2"/>
    <w:rsid w:val="00EC7EE6"/>
    <w:rsid w:val="00EC7EFF"/>
    <w:rsid w:val="00EC7FF1"/>
    <w:rsid w:val="00ED00CD"/>
    <w:rsid w:val="00ED01F8"/>
    <w:rsid w:val="00ED0290"/>
    <w:rsid w:val="00ED02F6"/>
    <w:rsid w:val="00ED0309"/>
    <w:rsid w:val="00ED0344"/>
    <w:rsid w:val="00ED0549"/>
    <w:rsid w:val="00ED066D"/>
    <w:rsid w:val="00ED0779"/>
    <w:rsid w:val="00ED0788"/>
    <w:rsid w:val="00ED0816"/>
    <w:rsid w:val="00ED08CA"/>
    <w:rsid w:val="00ED09AC"/>
    <w:rsid w:val="00ED09EC"/>
    <w:rsid w:val="00ED0A50"/>
    <w:rsid w:val="00ED0C81"/>
    <w:rsid w:val="00ED0E1C"/>
    <w:rsid w:val="00ED1075"/>
    <w:rsid w:val="00ED1086"/>
    <w:rsid w:val="00ED1175"/>
    <w:rsid w:val="00ED126F"/>
    <w:rsid w:val="00ED12B2"/>
    <w:rsid w:val="00ED1319"/>
    <w:rsid w:val="00ED148A"/>
    <w:rsid w:val="00ED153D"/>
    <w:rsid w:val="00ED15F2"/>
    <w:rsid w:val="00ED1741"/>
    <w:rsid w:val="00ED1789"/>
    <w:rsid w:val="00ED1AD5"/>
    <w:rsid w:val="00ED1B2E"/>
    <w:rsid w:val="00ED1B49"/>
    <w:rsid w:val="00ED1B88"/>
    <w:rsid w:val="00ED1BE5"/>
    <w:rsid w:val="00ED1C7C"/>
    <w:rsid w:val="00ED1D10"/>
    <w:rsid w:val="00ED1D13"/>
    <w:rsid w:val="00ED1D6C"/>
    <w:rsid w:val="00ED1D78"/>
    <w:rsid w:val="00ED1DB7"/>
    <w:rsid w:val="00ED1DD8"/>
    <w:rsid w:val="00ED1DFB"/>
    <w:rsid w:val="00ED1E82"/>
    <w:rsid w:val="00ED1EDE"/>
    <w:rsid w:val="00ED1F2C"/>
    <w:rsid w:val="00ED20E7"/>
    <w:rsid w:val="00ED21C1"/>
    <w:rsid w:val="00ED22B8"/>
    <w:rsid w:val="00ED22B9"/>
    <w:rsid w:val="00ED243A"/>
    <w:rsid w:val="00ED251D"/>
    <w:rsid w:val="00ED2676"/>
    <w:rsid w:val="00ED2693"/>
    <w:rsid w:val="00ED26DD"/>
    <w:rsid w:val="00ED2A05"/>
    <w:rsid w:val="00ED2ABA"/>
    <w:rsid w:val="00ED2AC5"/>
    <w:rsid w:val="00ED2C62"/>
    <w:rsid w:val="00ED319D"/>
    <w:rsid w:val="00ED31F3"/>
    <w:rsid w:val="00ED3203"/>
    <w:rsid w:val="00ED359F"/>
    <w:rsid w:val="00ED3657"/>
    <w:rsid w:val="00ED3797"/>
    <w:rsid w:val="00ED3847"/>
    <w:rsid w:val="00ED3986"/>
    <w:rsid w:val="00ED39C5"/>
    <w:rsid w:val="00ED39D2"/>
    <w:rsid w:val="00ED3A0D"/>
    <w:rsid w:val="00ED3A7F"/>
    <w:rsid w:val="00ED3B09"/>
    <w:rsid w:val="00ED3B74"/>
    <w:rsid w:val="00ED3C35"/>
    <w:rsid w:val="00ED3CB6"/>
    <w:rsid w:val="00ED3E23"/>
    <w:rsid w:val="00ED3ED7"/>
    <w:rsid w:val="00ED3F9B"/>
    <w:rsid w:val="00ED413F"/>
    <w:rsid w:val="00ED4156"/>
    <w:rsid w:val="00ED4173"/>
    <w:rsid w:val="00ED41D3"/>
    <w:rsid w:val="00ED41F1"/>
    <w:rsid w:val="00ED41FA"/>
    <w:rsid w:val="00ED4252"/>
    <w:rsid w:val="00ED43BC"/>
    <w:rsid w:val="00ED4489"/>
    <w:rsid w:val="00ED44CF"/>
    <w:rsid w:val="00ED45D6"/>
    <w:rsid w:val="00ED4608"/>
    <w:rsid w:val="00ED46A8"/>
    <w:rsid w:val="00ED4789"/>
    <w:rsid w:val="00ED4A19"/>
    <w:rsid w:val="00ED4ADF"/>
    <w:rsid w:val="00ED4B22"/>
    <w:rsid w:val="00ED4B82"/>
    <w:rsid w:val="00ED4C84"/>
    <w:rsid w:val="00ED4D0D"/>
    <w:rsid w:val="00ED4D6C"/>
    <w:rsid w:val="00ED4E2B"/>
    <w:rsid w:val="00ED4E9A"/>
    <w:rsid w:val="00ED4EE2"/>
    <w:rsid w:val="00ED4FCA"/>
    <w:rsid w:val="00ED4FE2"/>
    <w:rsid w:val="00ED501A"/>
    <w:rsid w:val="00ED52B7"/>
    <w:rsid w:val="00ED52EE"/>
    <w:rsid w:val="00ED5311"/>
    <w:rsid w:val="00ED5437"/>
    <w:rsid w:val="00ED54E5"/>
    <w:rsid w:val="00ED55B1"/>
    <w:rsid w:val="00ED55B6"/>
    <w:rsid w:val="00ED57CC"/>
    <w:rsid w:val="00ED57EA"/>
    <w:rsid w:val="00ED5963"/>
    <w:rsid w:val="00ED59E6"/>
    <w:rsid w:val="00ED5B28"/>
    <w:rsid w:val="00ED5B93"/>
    <w:rsid w:val="00ED5CA7"/>
    <w:rsid w:val="00ED5CE1"/>
    <w:rsid w:val="00ED5CFC"/>
    <w:rsid w:val="00ED5D76"/>
    <w:rsid w:val="00ED5DE8"/>
    <w:rsid w:val="00ED5E6D"/>
    <w:rsid w:val="00ED5FB4"/>
    <w:rsid w:val="00ED60A8"/>
    <w:rsid w:val="00ED60BF"/>
    <w:rsid w:val="00ED60FF"/>
    <w:rsid w:val="00ED6120"/>
    <w:rsid w:val="00ED614D"/>
    <w:rsid w:val="00ED6161"/>
    <w:rsid w:val="00ED6193"/>
    <w:rsid w:val="00ED62EF"/>
    <w:rsid w:val="00ED6313"/>
    <w:rsid w:val="00ED6455"/>
    <w:rsid w:val="00ED652A"/>
    <w:rsid w:val="00ED673F"/>
    <w:rsid w:val="00ED6764"/>
    <w:rsid w:val="00ED683A"/>
    <w:rsid w:val="00ED688A"/>
    <w:rsid w:val="00ED689E"/>
    <w:rsid w:val="00ED690B"/>
    <w:rsid w:val="00ED69C9"/>
    <w:rsid w:val="00ED69DD"/>
    <w:rsid w:val="00ED6A66"/>
    <w:rsid w:val="00ED6BAF"/>
    <w:rsid w:val="00ED6BB6"/>
    <w:rsid w:val="00ED6BD2"/>
    <w:rsid w:val="00ED6BE8"/>
    <w:rsid w:val="00ED6C64"/>
    <w:rsid w:val="00ED6C71"/>
    <w:rsid w:val="00ED6CF8"/>
    <w:rsid w:val="00ED6D47"/>
    <w:rsid w:val="00ED6DC7"/>
    <w:rsid w:val="00ED6EAA"/>
    <w:rsid w:val="00ED6F91"/>
    <w:rsid w:val="00ED6FFB"/>
    <w:rsid w:val="00ED7186"/>
    <w:rsid w:val="00ED71DB"/>
    <w:rsid w:val="00ED72EF"/>
    <w:rsid w:val="00ED735E"/>
    <w:rsid w:val="00ED739E"/>
    <w:rsid w:val="00ED7486"/>
    <w:rsid w:val="00ED74CD"/>
    <w:rsid w:val="00ED7517"/>
    <w:rsid w:val="00ED75BA"/>
    <w:rsid w:val="00ED75C2"/>
    <w:rsid w:val="00ED7646"/>
    <w:rsid w:val="00ED7789"/>
    <w:rsid w:val="00ED7907"/>
    <w:rsid w:val="00ED7A19"/>
    <w:rsid w:val="00ED7A79"/>
    <w:rsid w:val="00ED7BF4"/>
    <w:rsid w:val="00ED7C32"/>
    <w:rsid w:val="00ED7CB4"/>
    <w:rsid w:val="00ED7CC3"/>
    <w:rsid w:val="00ED7D0A"/>
    <w:rsid w:val="00ED7E16"/>
    <w:rsid w:val="00ED7E3C"/>
    <w:rsid w:val="00ED7F6E"/>
    <w:rsid w:val="00ED7FCD"/>
    <w:rsid w:val="00EE0061"/>
    <w:rsid w:val="00EE0084"/>
    <w:rsid w:val="00EE00DB"/>
    <w:rsid w:val="00EE00E4"/>
    <w:rsid w:val="00EE0167"/>
    <w:rsid w:val="00EE0377"/>
    <w:rsid w:val="00EE0467"/>
    <w:rsid w:val="00EE05DA"/>
    <w:rsid w:val="00EE06D0"/>
    <w:rsid w:val="00EE07E8"/>
    <w:rsid w:val="00EE099D"/>
    <w:rsid w:val="00EE0B35"/>
    <w:rsid w:val="00EE0B9F"/>
    <w:rsid w:val="00EE0C6D"/>
    <w:rsid w:val="00EE0C8A"/>
    <w:rsid w:val="00EE104B"/>
    <w:rsid w:val="00EE11C9"/>
    <w:rsid w:val="00EE13A9"/>
    <w:rsid w:val="00EE13B3"/>
    <w:rsid w:val="00EE13E2"/>
    <w:rsid w:val="00EE142B"/>
    <w:rsid w:val="00EE147D"/>
    <w:rsid w:val="00EE14A4"/>
    <w:rsid w:val="00EE14A5"/>
    <w:rsid w:val="00EE15C0"/>
    <w:rsid w:val="00EE180E"/>
    <w:rsid w:val="00EE182C"/>
    <w:rsid w:val="00EE1A05"/>
    <w:rsid w:val="00EE1A82"/>
    <w:rsid w:val="00EE1A91"/>
    <w:rsid w:val="00EE1AA9"/>
    <w:rsid w:val="00EE1BC2"/>
    <w:rsid w:val="00EE1C0E"/>
    <w:rsid w:val="00EE1FA8"/>
    <w:rsid w:val="00EE21A8"/>
    <w:rsid w:val="00EE21AA"/>
    <w:rsid w:val="00EE21B1"/>
    <w:rsid w:val="00EE2344"/>
    <w:rsid w:val="00EE24DA"/>
    <w:rsid w:val="00EE24ED"/>
    <w:rsid w:val="00EE2596"/>
    <w:rsid w:val="00EE25DB"/>
    <w:rsid w:val="00EE2714"/>
    <w:rsid w:val="00EE2721"/>
    <w:rsid w:val="00EE27AA"/>
    <w:rsid w:val="00EE2852"/>
    <w:rsid w:val="00EE293A"/>
    <w:rsid w:val="00EE2C11"/>
    <w:rsid w:val="00EE2C6F"/>
    <w:rsid w:val="00EE2D3B"/>
    <w:rsid w:val="00EE2E98"/>
    <w:rsid w:val="00EE2FA7"/>
    <w:rsid w:val="00EE3079"/>
    <w:rsid w:val="00EE3099"/>
    <w:rsid w:val="00EE3115"/>
    <w:rsid w:val="00EE3195"/>
    <w:rsid w:val="00EE3234"/>
    <w:rsid w:val="00EE341E"/>
    <w:rsid w:val="00EE35B2"/>
    <w:rsid w:val="00EE361B"/>
    <w:rsid w:val="00EE3673"/>
    <w:rsid w:val="00EE3733"/>
    <w:rsid w:val="00EE374C"/>
    <w:rsid w:val="00EE3762"/>
    <w:rsid w:val="00EE3800"/>
    <w:rsid w:val="00EE3807"/>
    <w:rsid w:val="00EE3984"/>
    <w:rsid w:val="00EE3AA8"/>
    <w:rsid w:val="00EE3B08"/>
    <w:rsid w:val="00EE3B1D"/>
    <w:rsid w:val="00EE3BB8"/>
    <w:rsid w:val="00EE4110"/>
    <w:rsid w:val="00EE4147"/>
    <w:rsid w:val="00EE41C4"/>
    <w:rsid w:val="00EE4266"/>
    <w:rsid w:val="00EE42C0"/>
    <w:rsid w:val="00EE433A"/>
    <w:rsid w:val="00EE4455"/>
    <w:rsid w:val="00EE44A3"/>
    <w:rsid w:val="00EE4833"/>
    <w:rsid w:val="00EE4879"/>
    <w:rsid w:val="00EE491E"/>
    <w:rsid w:val="00EE49CE"/>
    <w:rsid w:val="00EE49EB"/>
    <w:rsid w:val="00EE4C7F"/>
    <w:rsid w:val="00EE4D82"/>
    <w:rsid w:val="00EE4FA0"/>
    <w:rsid w:val="00EE5070"/>
    <w:rsid w:val="00EE5088"/>
    <w:rsid w:val="00EE50AD"/>
    <w:rsid w:val="00EE50C6"/>
    <w:rsid w:val="00EE50F6"/>
    <w:rsid w:val="00EE51BC"/>
    <w:rsid w:val="00EE5335"/>
    <w:rsid w:val="00EE5365"/>
    <w:rsid w:val="00EE54F8"/>
    <w:rsid w:val="00EE5725"/>
    <w:rsid w:val="00EE5872"/>
    <w:rsid w:val="00EE5A23"/>
    <w:rsid w:val="00EE5B19"/>
    <w:rsid w:val="00EE5B83"/>
    <w:rsid w:val="00EE5BA6"/>
    <w:rsid w:val="00EE5BD8"/>
    <w:rsid w:val="00EE5D8D"/>
    <w:rsid w:val="00EE5E08"/>
    <w:rsid w:val="00EE5EB7"/>
    <w:rsid w:val="00EE5F12"/>
    <w:rsid w:val="00EE61F9"/>
    <w:rsid w:val="00EE62F2"/>
    <w:rsid w:val="00EE63C4"/>
    <w:rsid w:val="00EE644F"/>
    <w:rsid w:val="00EE6476"/>
    <w:rsid w:val="00EE64E0"/>
    <w:rsid w:val="00EE64E9"/>
    <w:rsid w:val="00EE658A"/>
    <w:rsid w:val="00EE6596"/>
    <w:rsid w:val="00EE660A"/>
    <w:rsid w:val="00EE663D"/>
    <w:rsid w:val="00EE6761"/>
    <w:rsid w:val="00EE67B1"/>
    <w:rsid w:val="00EE68AB"/>
    <w:rsid w:val="00EE6903"/>
    <w:rsid w:val="00EE695A"/>
    <w:rsid w:val="00EE6A3E"/>
    <w:rsid w:val="00EE6BC4"/>
    <w:rsid w:val="00EE6C04"/>
    <w:rsid w:val="00EE6C2A"/>
    <w:rsid w:val="00EE6F1F"/>
    <w:rsid w:val="00EE70E9"/>
    <w:rsid w:val="00EE7262"/>
    <w:rsid w:val="00EE7395"/>
    <w:rsid w:val="00EE73D9"/>
    <w:rsid w:val="00EE7495"/>
    <w:rsid w:val="00EE75C9"/>
    <w:rsid w:val="00EE760A"/>
    <w:rsid w:val="00EE765C"/>
    <w:rsid w:val="00EE77CE"/>
    <w:rsid w:val="00EE77E9"/>
    <w:rsid w:val="00EE79E3"/>
    <w:rsid w:val="00EE7C74"/>
    <w:rsid w:val="00EE7DD2"/>
    <w:rsid w:val="00EE7EB3"/>
    <w:rsid w:val="00EE7F94"/>
    <w:rsid w:val="00EE7FD7"/>
    <w:rsid w:val="00EEA4DC"/>
    <w:rsid w:val="00EF0118"/>
    <w:rsid w:val="00EF01EA"/>
    <w:rsid w:val="00EF0363"/>
    <w:rsid w:val="00EF036F"/>
    <w:rsid w:val="00EF03F5"/>
    <w:rsid w:val="00EF0446"/>
    <w:rsid w:val="00EF0496"/>
    <w:rsid w:val="00EF0503"/>
    <w:rsid w:val="00EF05B8"/>
    <w:rsid w:val="00EF0611"/>
    <w:rsid w:val="00EF0688"/>
    <w:rsid w:val="00EF068B"/>
    <w:rsid w:val="00EF0701"/>
    <w:rsid w:val="00EF081F"/>
    <w:rsid w:val="00EF0868"/>
    <w:rsid w:val="00EF09AB"/>
    <w:rsid w:val="00EF0B13"/>
    <w:rsid w:val="00EF0B72"/>
    <w:rsid w:val="00EF0C2F"/>
    <w:rsid w:val="00EF0C5C"/>
    <w:rsid w:val="00EF0E36"/>
    <w:rsid w:val="00EF1013"/>
    <w:rsid w:val="00EF1015"/>
    <w:rsid w:val="00EF10FF"/>
    <w:rsid w:val="00EF1177"/>
    <w:rsid w:val="00EF11C3"/>
    <w:rsid w:val="00EF11E2"/>
    <w:rsid w:val="00EF124C"/>
    <w:rsid w:val="00EF1320"/>
    <w:rsid w:val="00EF133A"/>
    <w:rsid w:val="00EF13B6"/>
    <w:rsid w:val="00EF14D0"/>
    <w:rsid w:val="00EF15C4"/>
    <w:rsid w:val="00EF15CC"/>
    <w:rsid w:val="00EF162D"/>
    <w:rsid w:val="00EF17B7"/>
    <w:rsid w:val="00EF19BB"/>
    <w:rsid w:val="00EF1B86"/>
    <w:rsid w:val="00EF1BF3"/>
    <w:rsid w:val="00EF1CFB"/>
    <w:rsid w:val="00EF1D7F"/>
    <w:rsid w:val="00EF1F0D"/>
    <w:rsid w:val="00EF1F74"/>
    <w:rsid w:val="00EF1F98"/>
    <w:rsid w:val="00EF2046"/>
    <w:rsid w:val="00EF2142"/>
    <w:rsid w:val="00EF2231"/>
    <w:rsid w:val="00EF2279"/>
    <w:rsid w:val="00EF23C0"/>
    <w:rsid w:val="00EF23D8"/>
    <w:rsid w:val="00EF2628"/>
    <w:rsid w:val="00EF2657"/>
    <w:rsid w:val="00EF26D4"/>
    <w:rsid w:val="00EF27D9"/>
    <w:rsid w:val="00EF2859"/>
    <w:rsid w:val="00EF28A0"/>
    <w:rsid w:val="00EF28E5"/>
    <w:rsid w:val="00EF290E"/>
    <w:rsid w:val="00EF2A6D"/>
    <w:rsid w:val="00EF2A7F"/>
    <w:rsid w:val="00EF2B35"/>
    <w:rsid w:val="00EF2D36"/>
    <w:rsid w:val="00EF2DDC"/>
    <w:rsid w:val="00EF2E99"/>
    <w:rsid w:val="00EF2ED1"/>
    <w:rsid w:val="00EF305F"/>
    <w:rsid w:val="00EF323B"/>
    <w:rsid w:val="00EF32AF"/>
    <w:rsid w:val="00EF32BC"/>
    <w:rsid w:val="00EF3318"/>
    <w:rsid w:val="00EF3449"/>
    <w:rsid w:val="00EF3700"/>
    <w:rsid w:val="00EF38F5"/>
    <w:rsid w:val="00EF395B"/>
    <w:rsid w:val="00EF395C"/>
    <w:rsid w:val="00EF3A10"/>
    <w:rsid w:val="00EF3A39"/>
    <w:rsid w:val="00EF3A4F"/>
    <w:rsid w:val="00EF3C34"/>
    <w:rsid w:val="00EF3CB9"/>
    <w:rsid w:val="00EF3CEC"/>
    <w:rsid w:val="00EF3DD9"/>
    <w:rsid w:val="00EF3DE5"/>
    <w:rsid w:val="00EF3F49"/>
    <w:rsid w:val="00EF409D"/>
    <w:rsid w:val="00EF420C"/>
    <w:rsid w:val="00EF42BB"/>
    <w:rsid w:val="00EF4310"/>
    <w:rsid w:val="00EF432D"/>
    <w:rsid w:val="00EF433B"/>
    <w:rsid w:val="00EF4375"/>
    <w:rsid w:val="00EF439B"/>
    <w:rsid w:val="00EF43F5"/>
    <w:rsid w:val="00EF4408"/>
    <w:rsid w:val="00EF449B"/>
    <w:rsid w:val="00EF457F"/>
    <w:rsid w:val="00EF4706"/>
    <w:rsid w:val="00EF47A6"/>
    <w:rsid w:val="00EF48B1"/>
    <w:rsid w:val="00EF48F2"/>
    <w:rsid w:val="00EF4940"/>
    <w:rsid w:val="00EF4A59"/>
    <w:rsid w:val="00EF4B26"/>
    <w:rsid w:val="00EF4C80"/>
    <w:rsid w:val="00EF4C83"/>
    <w:rsid w:val="00EF4D4B"/>
    <w:rsid w:val="00EF4D81"/>
    <w:rsid w:val="00EF4EFB"/>
    <w:rsid w:val="00EF501F"/>
    <w:rsid w:val="00EF5245"/>
    <w:rsid w:val="00EF52E2"/>
    <w:rsid w:val="00EF54D0"/>
    <w:rsid w:val="00EF5565"/>
    <w:rsid w:val="00EF55CC"/>
    <w:rsid w:val="00EF561B"/>
    <w:rsid w:val="00EF5633"/>
    <w:rsid w:val="00EF56B7"/>
    <w:rsid w:val="00EF56CA"/>
    <w:rsid w:val="00EF56F3"/>
    <w:rsid w:val="00EF57D8"/>
    <w:rsid w:val="00EF5890"/>
    <w:rsid w:val="00EF58A7"/>
    <w:rsid w:val="00EF58F8"/>
    <w:rsid w:val="00EF5903"/>
    <w:rsid w:val="00EF5A1A"/>
    <w:rsid w:val="00EF5B92"/>
    <w:rsid w:val="00EF5D89"/>
    <w:rsid w:val="00EF5D93"/>
    <w:rsid w:val="00EF6093"/>
    <w:rsid w:val="00EF6098"/>
    <w:rsid w:val="00EF60D9"/>
    <w:rsid w:val="00EF618C"/>
    <w:rsid w:val="00EF622D"/>
    <w:rsid w:val="00EF62AB"/>
    <w:rsid w:val="00EF62C5"/>
    <w:rsid w:val="00EF633D"/>
    <w:rsid w:val="00EF63B8"/>
    <w:rsid w:val="00EF63DD"/>
    <w:rsid w:val="00EF643D"/>
    <w:rsid w:val="00EF6514"/>
    <w:rsid w:val="00EF6538"/>
    <w:rsid w:val="00EF65B2"/>
    <w:rsid w:val="00EF673D"/>
    <w:rsid w:val="00EF68B0"/>
    <w:rsid w:val="00EF69C6"/>
    <w:rsid w:val="00EF6B77"/>
    <w:rsid w:val="00EF6BC6"/>
    <w:rsid w:val="00EF6C34"/>
    <w:rsid w:val="00EF6CD6"/>
    <w:rsid w:val="00EF6ECA"/>
    <w:rsid w:val="00EF6FBA"/>
    <w:rsid w:val="00EF6FE4"/>
    <w:rsid w:val="00EF71A5"/>
    <w:rsid w:val="00EF72B6"/>
    <w:rsid w:val="00EF73D7"/>
    <w:rsid w:val="00EF7554"/>
    <w:rsid w:val="00EF7557"/>
    <w:rsid w:val="00EF7917"/>
    <w:rsid w:val="00EF7997"/>
    <w:rsid w:val="00EF79DB"/>
    <w:rsid w:val="00EF79E0"/>
    <w:rsid w:val="00EF79FE"/>
    <w:rsid w:val="00EF7B70"/>
    <w:rsid w:val="00EF7BCC"/>
    <w:rsid w:val="00EF7CDB"/>
    <w:rsid w:val="00EF7ED5"/>
    <w:rsid w:val="00EF7F51"/>
    <w:rsid w:val="00EF7F8E"/>
    <w:rsid w:val="00F001CB"/>
    <w:rsid w:val="00F001FA"/>
    <w:rsid w:val="00F002B6"/>
    <w:rsid w:val="00F004F0"/>
    <w:rsid w:val="00F004F3"/>
    <w:rsid w:val="00F005CF"/>
    <w:rsid w:val="00F0067B"/>
    <w:rsid w:val="00F006B4"/>
    <w:rsid w:val="00F006D4"/>
    <w:rsid w:val="00F00766"/>
    <w:rsid w:val="00F00799"/>
    <w:rsid w:val="00F008A5"/>
    <w:rsid w:val="00F00943"/>
    <w:rsid w:val="00F009BE"/>
    <w:rsid w:val="00F009D6"/>
    <w:rsid w:val="00F009EF"/>
    <w:rsid w:val="00F00A01"/>
    <w:rsid w:val="00F00A92"/>
    <w:rsid w:val="00F00ACB"/>
    <w:rsid w:val="00F00B3D"/>
    <w:rsid w:val="00F00EC0"/>
    <w:rsid w:val="00F00F46"/>
    <w:rsid w:val="00F00F5E"/>
    <w:rsid w:val="00F01202"/>
    <w:rsid w:val="00F0127A"/>
    <w:rsid w:val="00F012D4"/>
    <w:rsid w:val="00F0138E"/>
    <w:rsid w:val="00F01394"/>
    <w:rsid w:val="00F01433"/>
    <w:rsid w:val="00F0160C"/>
    <w:rsid w:val="00F01753"/>
    <w:rsid w:val="00F01817"/>
    <w:rsid w:val="00F0187B"/>
    <w:rsid w:val="00F018C9"/>
    <w:rsid w:val="00F018E3"/>
    <w:rsid w:val="00F01922"/>
    <w:rsid w:val="00F0194C"/>
    <w:rsid w:val="00F01AB3"/>
    <w:rsid w:val="00F01BB0"/>
    <w:rsid w:val="00F01C0B"/>
    <w:rsid w:val="00F01C3B"/>
    <w:rsid w:val="00F01C91"/>
    <w:rsid w:val="00F01CE4"/>
    <w:rsid w:val="00F01CE7"/>
    <w:rsid w:val="00F01CED"/>
    <w:rsid w:val="00F01D74"/>
    <w:rsid w:val="00F01DF9"/>
    <w:rsid w:val="00F01E9D"/>
    <w:rsid w:val="00F020DB"/>
    <w:rsid w:val="00F021E5"/>
    <w:rsid w:val="00F021EE"/>
    <w:rsid w:val="00F021EF"/>
    <w:rsid w:val="00F02455"/>
    <w:rsid w:val="00F0246D"/>
    <w:rsid w:val="00F024A0"/>
    <w:rsid w:val="00F02605"/>
    <w:rsid w:val="00F02638"/>
    <w:rsid w:val="00F026F6"/>
    <w:rsid w:val="00F028DE"/>
    <w:rsid w:val="00F029E8"/>
    <w:rsid w:val="00F02A0C"/>
    <w:rsid w:val="00F02A23"/>
    <w:rsid w:val="00F02A37"/>
    <w:rsid w:val="00F02B42"/>
    <w:rsid w:val="00F02E35"/>
    <w:rsid w:val="00F02E43"/>
    <w:rsid w:val="00F02E7C"/>
    <w:rsid w:val="00F02F24"/>
    <w:rsid w:val="00F02F5D"/>
    <w:rsid w:val="00F02F93"/>
    <w:rsid w:val="00F02FAA"/>
    <w:rsid w:val="00F030C9"/>
    <w:rsid w:val="00F03158"/>
    <w:rsid w:val="00F03264"/>
    <w:rsid w:val="00F03293"/>
    <w:rsid w:val="00F033A4"/>
    <w:rsid w:val="00F033E1"/>
    <w:rsid w:val="00F0344C"/>
    <w:rsid w:val="00F03524"/>
    <w:rsid w:val="00F035AF"/>
    <w:rsid w:val="00F035F4"/>
    <w:rsid w:val="00F03603"/>
    <w:rsid w:val="00F03715"/>
    <w:rsid w:val="00F03793"/>
    <w:rsid w:val="00F0379A"/>
    <w:rsid w:val="00F0383D"/>
    <w:rsid w:val="00F03865"/>
    <w:rsid w:val="00F038E1"/>
    <w:rsid w:val="00F03AB6"/>
    <w:rsid w:val="00F03C2B"/>
    <w:rsid w:val="00F03E02"/>
    <w:rsid w:val="00F03F03"/>
    <w:rsid w:val="00F04028"/>
    <w:rsid w:val="00F04079"/>
    <w:rsid w:val="00F042E2"/>
    <w:rsid w:val="00F04382"/>
    <w:rsid w:val="00F0456F"/>
    <w:rsid w:val="00F04574"/>
    <w:rsid w:val="00F0463C"/>
    <w:rsid w:val="00F04652"/>
    <w:rsid w:val="00F0466D"/>
    <w:rsid w:val="00F046BB"/>
    <w:rsid w:val="00F046F1"/>
    <w:rsid w:val="00F04729"/>
    <w:rsid w:val="00F0473B"/>
    <w:rsid w:val="00F047B7"/>
    <w:rsid w:val="00F048E7"/>
    <w:rsid w:val="00F04978"/>
    <w:rsid w:val="00F049B4"/>
    <w:rsid w:val="00F049B6"/>
    <w:rsid w:val="00F04B11"/>
    <w:rsid w:val="00F04BC9"/>
    <w:rsid w:val="00F04CEA"/>
    <w:rsid w:val="00F051D2"/>
    <w:rsid w:val="00F0520C"/>
    <w:rsid w:val="00F05340"/>
    <w:rsid w:val="00F05399"/>
    <w:rsid w:val="00F0539F"/>
    <w:rsid w:val="00F054FE"/>
    <w:rsid w:val="00F0560D"/>
    <w:rsid w:val="00F0567B"/>
    <w:rsid w:val="00F057A8"/>
    <w:rsid w:val="00F057FC"/>
    <w:rsid w:val="00F0581E"/>
    <w:rsid w:val="00F05848"/>
    <w:rsid w:val="00F058C1"/>
    <w:rsid w:val="00F058EF"/>
    <w:rsid w:val="00F059A6"/>
    <w:rsid w:val="00F05A7E"/>
    <w:rsid w:val="00F05BA3"/>
    <w:rsid w:val="00F05C8C"/>
    <w:rsid w:val="00F05E0C"/>
    <w:rsid w:val="00F05EDE"/>
    <w:rsid w:val="00F05F68"/>
    <w:rsid w:val="00F0610C"/>
    <w:rsid w:val="00F06175"/>
    <w:rsid w:val="00F0620A"/>
    <w:rsid w:val="00F0620C"/>
    <w:rsid w:val="00F0621C"/>
    <w:rsid w:val="00F062F8"/>
    <w:rsid w:val="00F063CA"/>
    <w:rsid w:val="00F06470"/>
    <w:rsid w:val="00F0659D"/>
    <w:rsid w:val="00F065D8"/>
    <w:rsid w:val="00F066CE"/>
    <w:rsid w:val="00F0672A"/>
    <w:rsid w:val="00F067A2"/>
    <w:rsid w:val="00F0693B"/>
    <w:rsid w:val="00F06967"/>
    <w:rsid w:val="00F06A79"/>
    <w:rsid w:val="00F06AD1"/>
    <w:rsid w:val="00F06CED"/>
    <w:rsid w:val="00F06D32"/>
    <w:rsid w:val="00F06D52"/>
    <w:rsid w:val="00F06EB8"/>
    <w:rsid w:val="00F06F39"/>
    <w:rsid w:val="00F06FBE"/>
    <w:rsid w:val="00F070DF"/>
    <w:rsid w:val="00F07385"/>
    <w:rsid w:val="00F0739E"/>
    <w:rsid w:val="00F07538"/>
    <w:rsid w:val="00F07552"/>
    <w:rsid w:val="00F07606"/>
    <w:rsid w:val="00F07776"/>
    <w:rsid w:val="00F07781"/>
    <w:rsid w:val="00F07824"/>
    <w:rsid w:val="00F07879"/>
    <w:rsid w:val="00F079D3"/>
    <w:rsid w:val="00F07BFC"/>
    <w:rsid w:val="00F07C0F"/>
    <w:rsid w:val="00F07DFB"/>
    <w:rsid w:val="00F07E0D"/>
    <w:rsid w:val="00F1012C"/>
    <w:rsid w:val="00F10192"/>
    <w:rsid w:val="00F101C0"/>
    <w:rsid w:val="00F10243"/>
    <w:rsid w:val="00F10296"/>
    <w:rsid w:val="00F1029A"/>
    <w:rsid w:val="00F1037B"/>
    <w:rsid w:val="00F1042B"/>
    <w:rsid w:val="00F10559"/>
    <w:rsid w:val="00F10661"/>
    <w:rsid w:val="00F1066F"/>
    <w:rsid w:val="00F10762"/>
    <w:rsid w:val="00F10774"/>
    <w:rsid w:val="00F10A0F"/>
    <w:rsid w:val="00F10A85"/>
    <w:rsid w:val="00F10B0E"/>
    <w:rsid w:val="00F10B72"/>
    <w:rsid w:val="00F10BE9"/>
    <w:rsid w:val="00F10CC3"/>
    <w:rsid w:val="00F10CF6"/>
    <w:rsid w:val="00F10D3C"/>
    <w:rsid w:val="00F10D6A"/>
    <w:rsid w:val="00F10EEE"/>
    <w:rsid w:val="00F10F38"/>
    <w:rsid w:val="00F1102F"/>
    <w:rsid w:val="00F11034"/>
    <w:rsid w:val="00F11218"/>
    <w:rsid w:val="00F1121F"/>
    <w:rsid w:val="00F1129A"/>
    <w:rsid w:val="00F113A2"/>
    <w:rsid w:val="00F11469"/>
    <w:rsid w:val="00F11477"/>
    <w:rsid w:val="00F114B1"/>
    <w:rsid w:val="00F114C2"/>
    <w:rsid w:val="00F11612"/>
    <w:rsid w:val="00F11733"/>
    <w:rsid w:val="00F117A1"/>
    <w:rsid w:val="00F1187A"/>
    <w:rsid w:val="00F11A93"/>
    <w:rsid w:val="00F11ADF"/>
    <w:rsid w:val="00F11B0F"/>
    <w:rsid w:val="00F11BD6"/>
    <w:rsid w:val="00F11DA3"/>
    <w:rsid w:val="00F11DA4"/>
    <w:rsid w:val="00F11DFE"/>
    <w:rsid w:val="00F11FC4"/>
    <w:rsid w:val="00F1205B"/>
    <w:rsid w:val="00F12061"/>
    <w:rsid w:val="00F12473"/>
    <w:rsid w:val="00F125E7"/>
    <w:rsid w:val="00F12639"/>
    <w:rsid w:val="00F1270D"/>
    <w:rsid w:val="00F127BA"/>
    <w:rsid w:val="00F129BC"/>
    <w:rsid w:val="00F129CE"/>
    <w:rsid w:val="00F129F7"/>
    <w:rsid w:val="00F12A09"/>
    <w:rsid w:val="00F12B60"/>
    <w:rsid w:val="00F12B81"/>
    <w:rsid w:val="00F12BCA"/>
    <w:rsid w:val="00F12D55"/>
    <w:rsid w:val="00F12E96"/>
    <w:rsid w:val="00F13087"/>
    <w:rsid w:val="00F1312E"/>
    <w:rsid w:val="00F1313D"/>
    <w:rsid w:val="00F131A5"/>
    <w:rsid w:val="00F132AC"/>
    <w:rsid w:val="00F132BD"/>
    <w:rsid w:val="00F132D4"/>
    <w:rsid w:val="00F13335"/>
    <w:rsid w:val="00F13381"/>
    <w:rsid w:val="00F133BD"/>
    <w:rsid w:val="00F1344C"/>
    <w:rsid w:val="00F134F5"/>
    <w:rsid w:val="00F135A7"/>
    <w:rsid w:val="00F1366B"/>
    <w:rsid w:val="00F13875"/>
    <w:rsid w:val="00F1388B"/>
    <w:rsid w:val="00F13A88"/>
    <w:rsid w:val="00F13AAA"/>
    <w:rsid w:val="00F13CA4"/>
    <w:rsid w:val="00F13CF4"/>
    <w:rsid w:val="00F13D41"/>
    <w:rsid w:val="00F13D60"/>
    <w:rsid w:val="00F13DEC"/>
    <w:rsid w:val="00F13EB3"/>
    <w:rsid w:val="00F13F7D"/>
    <w:rsid w:val="00F13FA3"/>
    <w:rsid w:val="00F14186"/>
    <w:rsid w:val="00F14188"/>
    <w:rsid w:val="00F142F9"/>
    <w:rsid w:val="00F143C8"/>
    <w:rsid w:val="00F1455A"/>
    <w:rsid w:val="00F1459E"/>
    <w:rsid w:val="00F147E6"/>
    <w:rsid w:val="00F148A3"/>
    <w:rsid w:val="00F148AB"/>
    <w:rsid w:val="00F1490E"/>
    <w:rsid w:val="00F1495E"/>
    <w:rsid w:val="00F14AA5"/>
    <w:rsid w:val="00F14AC1"/>
    <w:rsid w:val="00F14AFD"/>
    <w:rsid w:val="00F14C79"/>
    <w:rsid w:val="00F14CAD"/>
    <w:rsid w:val="00F14CEC"/>
    <w:rsid w:val="00F14E73"/>
    <w:rsid w:val="00F14ED4"/>
    <w:rsid w:val="00F14EE2"/>
    <w:rsid w:val="00F14F16"/>
    <w:rsid w:val="00F14F33"/>
    <w:rsid w:val="00F15164"/>
    <w:rsid w:val="00F15317"/>
    <w:rsid w:val="00F15500"/>
    <w:rsid w:val="00F1550B"/>
    <w:rsid w:val="00F1551D"/>
    <w:rsid w:val="00F15654"/>
    <w:rsid w:val="00F15711"/>
    <w:rsid w:val="00F15A8C"/>
    <w:rsid w:val="00F15A8D"/>
    <w:rsid w:val="00F15AAE"/>
    <w:rsid w:val="00F15AE5"/>
    <w:rsid w:val="00F15B18"/>
    <w:rsid w:val="00F15C18"/>
    <w:rsid w:val="00F15D5C"/>
    <w:rsid w:val="00F15DE8"/>
    <w:rsid w:val="00F15E27"/>
    <w:rsid w:val="00F15E70"/>
    <w:rsid w:val="00F15E7D"/>
    <w:rsid w:val="00F15EF8"/>
    <w:rsid w:val="00F15F35"/>
    <w:rsid w:val="00F15F4C"/>
    <w:rsid w:val="00F15FEE"/>
    <w:rsid w:val="00F16043"/>
    <w:rsid w:val="00F16064"/>
    <w:rsid w:val="00F160E6"/>
    <w:rsid w:val="00F16134"/>
    <w:rsid w:val="00F16223"/>
    <w:rsid w:val="00F163BA"/>
    <w:rsid w:val="00F16411"/>
    <w:rsid w:val="00F16428"/>
    <w:rsid w:val="00F16474"/>
    <w:rsid w:val="00F16519"/>
    <w:rsid w:val="00F1652F"/>
    <w:rsid w:val="00F16535"/>
    <w:rsid w:val="00F16637"/>
    <w:rsid w:val="00F16780"/>
    <w:rsid w:val="00F167D0"/>
    <w:rsid w:val="00F16A59"/>
    <w:rsid w:val="00F16AEB"/>
    <w:rsid w:val="00F16C42"/>
    <w:rsid w:val="00F16DE2"/>
    <w:rsid w:val="00F16E48"/>
    <w:rsid w:val="00F16FAC"/>
    <w:rsid w:val="00F16FDF"/>
    <w:rsid w:val="00F17013"/>
    <w:rsid w:val="00F17024"/>
    <w:rsid w:val="00F170A2"/>
    <w:rsid w:val="00F17164"/>
    <w:rsid w:val="00F1723F"/>
    <w:rsid w:val="00F173E5"/>
    <w:rsid w:val="00F17641"/>
    <w:rsid w:val="00F17665"/>
    <w:rsid w:val="00F176AC"/>
    <w:rsid w:val="00F17B07"/>
    <w:rsid w:val="00F17BC5"/>
    <w:rsid w:val="00F17C4F"/>
    <w:rsid w:val="00F17E07"/>
    <w:rsid w:val="00F17E94"/>
    <w:rsid w:val="00F17E98"/>
    <w:rsid w:val="00F20030"/>
    <w:rsid w:val="00F20096"/>
    <w:rsid w:val="00F2009E"/>
    <w:rsid w:val="00F200BE"/>
    <w:rsid w:val="00F203DB"/>
    <w:rsid w:val="00F20410"/>
    <w:rsid w:val="00F2046B"/>
    <w:rsid w:val="00F2046F"/>
    <w:rsid w:val="00F205F5"/>
    <w:rsid w:val="00F2062C"/>
    <w:rsid w:val="00F2066A"/>
    <w:rsid w:val="00F206B4"/>
    <w:rsid w:val="00F206BA"/>
    <w:rsid w:val="00F206BF"/>
    <w:rsid w:val="00F207A4"/>
    <w:rsid w:val="00F207D2"/>
    <w:rsid w:val="00F208EE"/>
    <w:rsid w:val="00F20970"/>
    <w:rsid w:val="00F20B20"/>
    <w:rsid w:val="00F20BE1"/>
    <w:rsid w:val="00F20C2D"/>
    <w:rsid w:val="00F20DBA"/>
    <w:rsid w:val="00F20DDA"/>
    <w:rsid w:val="00F20DED"/>
    <w:rsid w:val="00F20E7E"/>
    <w:rsid w:val="00F20EC9"/>
    <w:rsid w:val="00F20FD5"/>
    <w:rsid w:val="00F210FC"/>
    <w:rsid w:val="00F21177"/>
    <w:rsid w:val="00F21269"/>
    <w:rsid w:val="00F21297"/>
    <w:rsid w:val="00F21512"/>
    <w:rsid w:val="00F21528"/>
    <w:rsid w:val="00F21820"/>
    <w:rsid w:val="00F218DC"/>
    <w:rsid w:val="00F218EE"/>
    <w:rsid w:val="00F218F6"/>
    <w:rsid w:val="00F219F3"/>
    <w:rsid w:val="00F21A5C"/>
    <w:rsid w:val="00F21D0F"/>
    <w:rsid w:val="00F21F21"/>
    <w:rsid w:val="00F21F6B"/>
    <w:rsid w:val="00F21F8D"/>
    <w:rsid w:val="00F21FEA"/>
    <w:rsid w:val="00F220AA"/>
    <w:rsid w:val="00F2214F"/>
    <w:rsid w:val="00F221C2"/>
    <w:rsid w:val="00F22238"/>
    <w:rsid w:val="00F2227D"/>
    <w:rsid w:val="00F222AA"/>
    <w:rsid w:val="00F2232A"/>
    <w:rsid w:val="00F2233E"/>
    <w:rsid w:val="00F22362"/>
    <w:rsid w:val="00F22391"/>
    <w:rsid w:val="00F223E6"/>
    <w:rsid w:val="00F2240C"/>
    <w:rsid w:val="00F2243C"/>
    <w:rsid w:val="00F22504"/>
    <w:rsid w:val="00F22532"/>
    <w:rsid w:val="00F225B3"/>
    <w:rsid w:val="00F2262F"/>
    <w:rsid w:val="00F2277D"/>
    <w:rsid w:val="00F229A3"/>
    <w:rsid w:val="00F22A17"/>
    <w:rsid w:val="00F22C91"/>
    <w:rsid w:val="00F22FC3"/>
    <w:rsid w:val="00F22FE4"/>
    <w:rsid w:val="00F2318E"/>
    <w:rsid w:val="00F23205"/>
    <w:rsid w:val="00F2321A"/>
    <w:rsid w:val="00F232BF"/>
    <w:rsid w:val="00F232D8"/>
    <w:rsid w:val="00F23349"/>
    <w:rsid w:val="00F23498"/>
    <w:rsid w:val="00F234D2"/>
    <w:rsid w:val="00F2351A"/>
    <w:rsid w:val="00F23601"/>
    <w:rsid w:val="00F237DC"/>
    <w:rsid w:val="00F238A8"/>
    <w:rsid w:val="00F23A88"/>
    <w:rsid w:val="00F23B1F"/>
    <w:rsid w:val="00F23B55"/>
    <w:rsid w:val="00F23B70"/>
    <w:rsid w:val="00F23B80"/>
    <w:rsid w:val="00F23D5B"/>
    <w:rsid w:val="00F23E51"/>
    <w:rsid w:val="00F23F23"/>
    <w:rsid w:val="00F23F96"/>
    <w:rsid w:val="00F23F97"/>
    <w:rsid w:val="00F23FD8"/>
    <w:rsid w:val="00F240F1"/>
    <w:rsid w:val="00F24165"/>
    <w:rsid w:val="00F241A3"/>
    <w:rsid w:val="00F24370"/>
    <w:rsid w:val="00F243CD"/>
    <w:rsid w:val="00F24425"/>
    <w:rsid w:val="00F2451F"/>
    <w:rsid w:val="00F24577"/>
    <w:rsid w:val="00F24581"/>
    <w:rsid w:val="00F24638"/>
    <w:rsid w:val="00F2469C"/>
    <w:rsid w:val="00F2483B"/>
    <w:rsid w:val="00F24877"/>
    <w:rsid w:val="00F248AF"/>
    <w:rsid w:val="00F248BD"/>
    <w:rsid w:val="00F248D8"/>
    <w:rsid w:val="00F24ADF"/>
    <w:rsid w:val="00F24C1E"/>
    <w:rsid w:val="00F24D21"/>
    <w:rsid w:val="00F24E70"/>
    <w:rsid w:val="00F24EAA"/>
    <w:rsid w:val="00F24ED3"/>
    <w:rsid w:val="00F24FC6"/>
    <w:rsid w:val="00F2505C"/>
    <w:rsid w:val="00F25186"/>
    <w:rsid w:val="00F251A7"/>
    <w:rsid w:val="00F251FD"/>
    <w:rsid w:val="00F25210"/>
    <w:rsid w:val="00F25251"/>
    <w:rsid w:val="00F252A3"/>
    <w:rsid w:val="00F252DD"/>
    <w:rsid w:val="00F25306"/>
    <w:rsid w:val="00F2532F"/>
    <w:rsid w:val="00F253C3"/>
    <w:rsid w:val="00F25481"/>
    <w:rsid w:val="00F25483"/>
    <w:rsid w:val="00F25514"/>
    <w:rsid w:val="00F2558C"/>
    <w:rsid w:val="00F256EE"/>
    <w:rsid w:val="00F2570E"/>
    <w:rsid w:val="00F25742"/>
    <w:rsid w:val="00F258A2"/>
    <w:rsid w:val="00F25993"/>
    <w:rsid w:val="00F25A92"/>
    <w:rsid w:val="00F25B0A"/>
    <w:rsid w:val="00F25B2C"/>
    <w:rsid w:val="00F25B4B"/>
    <w:rsid w:val="00F25B90"/>
    <w:rsid w:val="00F25BB9"/>
    <w:rsid w:val="00F25C41"/>
    <w:rsid w:val="00F25C5D"/>
    <w:rsid w:val="00F25C87"/>
    <w:rsid w:val="00F25D01"/>
    <w:rsid w:val="00F25D1D"/>
    <w:rsid w:val="00F25E4E"/>
    <w:rsid w:val="00F25E8A"/>
    <w:rsid w:val="00F26093"/>
    <w:rsid w:val="00F2623F"/>
    <w:rsid w:val="00F26281"/>
    <w:rsid w:val="00F262DF"/>
    <w:rsid w:val="00F263E0"/>
    <w:rsid w:val="00F2647D"/>
    <w:rsid w:val="00F264EB"/>
    <w:rsid w:val="00F265CE"/>
    <w:rsid w:val="00F26637"/>
    <w:rsid w:val="00F2670A"/>
    <w:rsid w:val="00F2690D"/>
    <w:rsid w:val="00F2695D"/>
    <w:rsid w:val="00F269A5"/>
    <w:rsid w:val="00F269D5"/>
    <w:rsid w:val="00F26A8B"/>
    <w:rsid w:val="00F26AC7"/>
    <w:rsid w:val="00F26C40"/>
    <w:rsid w:val="00F26DD2"/>
    <w:rsid w:val="00F26FCD"/>
    <w:rsid w:val="00F27166"/>
    <w:rsid w:val="00F271B8"/>
    <w:rsid w:val="00F2745B"/>
    <w:rsid w:val="00F274B4"/>
    <w:rsid w:val="00F276DD"/>
    <w:rsid w:val="00F276ED"/>
    <w:rsid w:val="00F2788A"/>
    <w:rsid w:val="00F27951"/>
    <w:rsid w:val="00F2796C"/>
    <w:rsid w:val="00F27A10"/>
    <w:rsid w:val="00F27B10"/>
    <w:rsid w:val="00F27C64"/>
    <w:rsid w:val="00F27D39"/>
    <w:rsid w:val="00F27D5D"/>
    <w:rsid w:val="00F27F2C"/>
    <w:rsid w:val="00F30038"/>
    <w:rsid w:val="00F30061"/>
    <w:rsid w:val="00F30297"/>
    <w:rsid w:val="00F3031C"/>
    <w:rsid w:val="00F30321"/>
    <w:rsid w:val="00F30409"/>
    <w:rsid w:val="00F304A6"/>
    <w:rsid w:val="00F3061A"/>
    <w:rsid w:val="00F306A8"/>
    <w:rsid w:val="00F306BC"/>
    <w:rsid w:val="00F3070E"/>
    <w:rsid w:val="00F307E3"/>
    <w:rsid w:val="00F30859"/>
    <w:rsid w:val="00F3086F"/>
    <w:rsid w:val="00F308A6"/>
    <w:rsid w:val="00F30981"/>
    <w:rsid w:val="00F30A28"/>
    <w:rsid w:val="00F30AB5"/>
    <w:rsid w:val="00F30ABD"/>
    <w:rsid w:val="00F30D8F"/>
    <w:rsid w:val="00F31003"/>
    <w:rsid w:val="00F310B2"/>
    <w:rsid w:val="00F31378"/>
    <w:rsid w:val="00F314FC"/>
    <w:rsid w:val="00F3157A"/>
    <w:rsid w:val="00F31938"/>
    <w:rsid w:val="00F3198F"/>
    <w:rsid w:val="00F31AF2"/>
    <w:rsid w:val="00F31B30"/>
    <w:rsid w:val="00F31F3C"/>
    <w:rsid w:val="00F31F94"/>
    <w:rsid w:val="00F32059"/>
    <w:rsid w:val="00F32089"/>
    <w:rsid w:val="00F320EA"/>
    <w:rsid w:val="00F32108"/>
    <w:rsid w:val="00F322AF"/>
    <w:rsid w:val="00F3237E"/>
    <w:rsid w:val="00F323C7"/>
    <w:rsid w:val="00F32786"/>
    <w:rsid w:val="00F32794"/>
    <w:rsid w:val="00F327A6"/>
    <w:rsid w:val="00F327F5"/>
    <w:rsid w:val="00F32861"/>
    <w:rsid w:val="00F328E7"/>
    <w:rsid w:val="00F329B2"/>
    <w:rsid w:val="00F32A31"/>
    <w:rsid w:val="00F32AE1"/>
    <w:rsid w:val="00F32AEC"/>
    <w:rsid w:val="00F32B8E"/>
    <w:rsid w:val="00F32C17"/>
    <w:rsid w:val="00F32D5A"/>
    <w:rsid w:val="00F32DF4"/>
    <w:rsid w:val="00F32F40"/>
    <w:rsid w:val="00F33251"/>
    <w:rsid w:val="00F333D3"/>
    <w:rsid w:val="00F33463"/>
    <w:rsid w:val="00F334A5"/>
    <w:rsid w:val="00F33637"/>
    <w:rsid w:val="00F33661"/>
    <w:rsid w:val="00F33A0A"/>
    <w:rsid w:val="00F33B16"/>
    <w:rsid w:val="00F33B7A"/>
    <w:rsid w:val="00F33BD3"/>
    <w:rsid w:val="00F33E26"/>
    <w:rsid w:val="00F33E56"/>
    <w:rsid w:val="00F33E89"/>
    <w:rsid w:val="00F33F9C"/>
    <w:rsid w:val="00F34063"/>
    <w:rsid w:val="00F341BA"/>
    <w:rsid w:val="00F34296"/>
    <w:rsid w:val="00F345D5"/>
    <w:rsid w:val="00F345FA"/>
    <w:rsid w:val="00F34645"/>
    <w:rsid w:val="00F348B4"/>
    <w:rsid w:val="00F349AE"/>
    <w:rsid w:val="00F34AEB"/>
    <w:rsid w:val="00F34CE3"/>
    <w:rsid w:val="00F34D41"/>
    <w:rsid w:val="00F34D58"/>
    <w:rsid w:val="00F3500E"/>
    <w:rsid w:val="00F3503A"/>
    <w:rsid w:val="00F3510D"/>
    <w:rsid w:val="00F3515A"/>
    <w:rsid w:val="00F352CA"/>
    <w:rsid w:val="00F353C6"/>
    <w:rsid w:val="00F35580"/>
    <w:rsid w:val="00F3573B"/>
    <w:rsid w:val="00F3583F"/>
    <w:rsid w:val="00F35899"/>
    <w:rsid w:val="00F358CC"/>
    <w:rsid w:val="00F3595A"/>
    <w:rsid w:val="00F35BAB"/>
    <w:rsid w:val="00F35C58"/>
    <w:rsid w:val="00F35E90"/>
    <w:rsid w:val="00F35FBA"/>
    <w:rsid w:val="00F3601F"/>
    <w:rsid w:val="00F3603F"/>
    <w:rsid w:val="00F360FA"/>
    <w:rsid w:val="00F36133"/>
    <w:rsid w:val="00F3616D"/>
    <w:rsid w:val="00F36251"/>
    <w:rsid w:val="00F36356"/>
    <w:rsid w:val="00F3635A"/>
    <w:rsid w:val="00F36469"/>
    <w:rsid w:val="00F36481"/>
    <w:rsid w:val="00F3652D"/>
    <w:rsid w:val="00F365E2"/>
    <w:rsid w:val="00F3663C"/>
    <w:rsid w:val="00F36666"/>
    <w:rsid w:val="00F36713"/>
    <w:rsid w:val="00F36832"/>
    <w:rsid w:val="00F3685B"/>
    <w:rsid w:val="00F36943"/>
    <w:rsid w:val="00F36A9B"/>
    <w:rsid w:val="00F36B04"/>
    <w:rsid w:val="00F36B6B"/>
    <w:rsid w:val="00F36C0A"/>
    <w:rsid w:val="00F36C8E"/>
    <w:rsid w:val="00F36DDE"/>
    <w:rsid w:val="00F36F9E"/>
    <w:rsid w:val="00F36FA4"/>
    <w:rsid w:val="00F36FDD"/>
    <w:rsid w:val="00F37195"/>
    <w:rsid w:val="00F37208"/>
    <w:rsid w:val="00F37425"/>
    <w:rsid w:val="00F3752A"/>
    <w:rsid w:val="00F376CD"/>
    <w:rsid w:val="00F37727"/>
    <w:rsid w:val="00F37832"/>
    <w:rsid w:val="00F378CF"/>
    <w:rsid w:val="00F378E9"/>
    <w:rsid w:val="00F37916"/>
    <w:rsid w:val="00F37A09"/>
    <w:rsid w:val="00F37A29"/>
    <w:rsid w:val="00F37A34"/>
    <w:rsid w:val="00F37B10"/>
    <w:rsid w:val="00F37B47"/>
    <w:rsid w:val="00F37BFB"/>
    <w:rsid w:val="00F37C21"/>
    <w:rsid w:val="00F37C2D"/>
    <w:rsid w:val="00F37C90"/>
    <w:rsid w:val="00F37D6F"/>
    <w:rsid w:val="00F37DD7"/>
    <w:rsid w:val="00F37F50"/>
    <w:rsid w:val="00F400D1"/>
    <w:rsid w:val="00F4011E"/>
    <w:rsid w:val="00F40149"/>
    <w:rsid w:val="00F40157"/>
    <w:rsid w:val="00F40167"/>
    <w:rsid w:val="00F4025D"/>
    <w:rsid w:val="00F402B3"/>
    <w:rsid w:val="00F404B4"/>
    <w:rsid w:val="00F405BD"/>
    <w:rsid w:val="00F406B8"/>
    <w:rsid w:val="00F406CC"/>
    <w:rsid w:val="00F407C8"/>
    <w:rsid w:val="00F40851"/>
    <w:rsid w:val="00F40888"/>
    <w:rsid w:val="00F4094F"/>
    <w:rsid w:val="00F409C0"/>
    <w:rsid w:val="00F40A8E"/>
    <w:rsid w:val="00F40B2E"/>
    <w:rsid w:val="00F40B47"/>
    <w:rsid w:val="00F40B7A"/>
    <w:rsid w:val="00F40BCC"/>
    <w:rsid w:val="00F40D92"/>
    <w:rsid w:val="00F40DB3"/>
    <w:rsid w:val="00F40DED"/>
    <w:rsid w:val="00F40E73"/>
    <w:rsid w:val="00F40F2B"/>
    <w:rsid w:val="00F4101B"/>
    <w:rsid w:val="00F41148"/>
    <w:rsid w:val="00F41471"/>
    <w:rsid w:val="00F41481"/>
    <w:rsid w:val="00F41652"/>
    <w:rsid w:val="00F41761"/>
    <w:rsid w:val="00F41843"/>
    <w:rsid w:val="00F418D6"/>
    <w:rsid w:val="00F41939"/>
    <w:rsid w:val="00F41A85"/>
    <w:rsid w:val="00F41AF5"/>
    <w:rsid w:val="00F41BDB"/>
    <w:rsid w:val="00F41CD8"/>
    <w:rsid w:val="00F41CDF"/>
    <w:rsid w:val="00F41DDB"/>
    <w:rsid w:val="00F41EC8"/>
    <w:rsid w:val="00F422D6"/>
    <w:rsid w:val="00F424C2"/>
    <w:rsid w:val="00F4256E"/>
    <w:rsid w:val="00F4259D"/>
    <w:rsid w:val="00F4276C"/>
    <w:rsid w:val="00F427DD"/>
    <w:rsid w:val="00F427EB"/>
    <w:rsid w:val="00F4284E"/>
    <w:rsid w:val="00F42864"/>
    <w:rsid w:val="00F4286B"/>
    <w:rsid w:val="00F4286E"/>
    <w:rsid w:val="00F42901"/>
    <w:rsid w:val="00F4295B"/>
    <w:rsid w:val="00F42A02"/>
    <w:rsid w:val="00F42A11"/>
    <w:rsid w:val="00F42A92"/>
    <w:rsid w:val="00F42ABC"/>
    <w:rsid w:val="00F42AF0"/>
    <w:rsid w:val="00F42B47"/>
    <w:rsid w:val="00F42BB2"/>
    <w:rsid w:val="00F42C6E"/>
    <w:rsid w:val="00F42D09"/>
    <w:rsid w:val="00F42D27"/>
    <w:rsid w:val="00F42D38"/>
    <w:rsid w:val="00F42E72"/>
    <w:rsid w:val="00F4309E"/>
    <w:rsid w:val="00F4324F"/>
    <w:rsid w:val="00F43274"/>
    <w:rsid w:val="00F432B3"/>
    <w:rsid w:val="00F4339F"/>
    <w:rsid w:val="00F43492"/>
    <w:rsid w:val="00F438E3"/>
    <w:rsid w:val="00F4394D"/>
    <w:rsid w:val="00F43978"/>
    <w:rsid w:val="00F43A15"/>
    <w:rsid w:val="00F43A58"/>
    <w:rsid w:val="00F43A6B"/>
    <w:rsid w:val="00F43A9D"/>
    <w:rsid w:val="00F43AA1"/>
    <w:rsid w:val="00F43B3D"/>
    <w:rsid w:val="00F43B4D"/>
    <w:rsid w:val="00F43C48"/>
    <w:rsid w:val="00F43D84"/>
    <w:rsid w:val="00F43E60"/>
    <w:rsid w:val="00F43EF5"/>
    <w:rsid w:val="00F43FF5"/>
    <w:rsid w:val="00F440BA"/>
    <w:rsid w:val="00F441A5"/>
    <w:rsid w:val="00F441F7"/>
    <w:rsid w:val="00F4420D"/>
    <w:rsid w:val="00F4425D"/>
    <w:rsid w:val="00F44386"/>
    <w:rsid w:val="00F444C8"/>
    <w:rsid w:val="00F444EE"/>
    <w:rsid w:val="00F44612"/>
    <w:rsid w:val="00F44692"/>
    <w:rsid w:val="00F446D4"/>
    <w:rsid w:val="00F44823"/>
    <w:rsid w:val="00F448C4"/>
    <w:rsid w:val="00F449F0"/>
    <w:rsid w:val="00F44AF3"/>
    <w:rsid w:val="00F44B3F"/>
    <w:rsid w:val="00F44B6F"/>
    <w:rsid w:val="00F44B9C"/>
    <w:rsid w:val="00F44C25"/>
    <w:rsid w:val="00F44CD4"/>
    <w:rsid w:val="00F44FF3"/>
    <w:rsid w:val="00F45019"/>
    <w:rsid w:val="00F45026"/>
    <w:rsid w:val="00F450D1"/>
    <w:rsid w:val="00F45137"/>
    <w:rsid w:val="00F45175"/>
    <w:rsid w:val="00F4527A"/>
    <w:rsid w:val="00F4529C"/>
    <w:rsid w:val="00F45324"/>
    <w:rsid w:val="00F4534F"/>
    <w:rsid w:val="00F453C4"/>
    <w:rsid w:val="00F4545F"/>
    <w:rsid w:val="00F4546A"/>
    <w:rsid w:val="00F454BA"/>
    <w:rsid w:val="00F454F6"/>
    <w:rsid w:val="00F45552"/>
    <w:rsid w:val="00F45619"/>
    <w:rsid w:val="00F456DC"/>
    <w:rsid w:val="00F45701"/>
    <w:rsid w:val="00F4571A"/>
    <w:rsid w:val="00F457C4"/>
    <w:rsid w:val="00F457C8"/>
    <w:rsid w:val="00F45840"/>
    <w:rsid w:val="00F45977"/>
    <w:rsid w:val="00F45989"/>
    <w:rsid w:val="00F45A55"/>
    <w:rsid w:val="00F45A78"/>
    <w:rsid w:val="00F45B1F"/>
    <w:rsid w:val="00F45B94"/>
    <w:rsid w:val="00F45C36"/>
    <w:rsid w:val="00F45CBC"/>
    <w:rsid w:val="00F45E2E"/>
    <w:rsid w:val="00F45EE3"/>
    <w:rsid w:val="00F45F13"/>
    <w:rsid w:val="00F4603C"/>
    <w:rsid w:val="00F46043"/>
    <w:rsid w:val="00F460D6"/>
    <w:rsid w:val="00F461F2"/>
    <w:rsid w:val="00F46235"/>
    <w:rsid w:val="00F46443"/>
    <w:rsid w:val="00F46521"/>
    <w:rsid w:val="00F46606"/>
    <w:rsid w:val="00F466BE"/>
    <w:rsid w:val="00F46885"/>
    <w:rsid w:val="00F46932"/>
    <w:rsid w:val="00F46942"/>
    <w:rsid w:val="00F46A9D"/>
    <w:rsid w:val="00F46AF3"/>
    <w:rsid w:val="00F46C33"/>
    <w:rsid w:val="00F46CBC"/>
    <w:rsid w:val="00F46D99"/>
    <w:rsid w:val="00F46ECE"/>
    <w:rsid w:val="00F46EFB"/>
    <w:rsid w:val="00F46F1D"/>
    <w:rsid w:val="00F46F51"/>
    <w:rsid w:val="00F46F77"/>
    <w:rsid w:val="00F47149"/>
    <w:rsid w:val="00F472E3"/>
    <w:rsid w:val="00F47416"/>
    <w:rsid w:val="00F47530"/>
    <w:rsid w:val="00F47575"/>
    <w:rsid w:val="00F47857"/>
    <w:rsid w:val="00F4786C"/>
    <w:rsid w:val="00F47994"/>
    <w:rsid w:val="00F47B5E"/>
    <w:rsid w:val="00F47BC9"/>
    <w:rsid w:val="00F47C18"/>
    <w:rsid w:val="00F47C97"/>
    <w:rsid w:val="00F47D1E"/>
    <w:rsid w:val="00F47E09"/>
    <w:rsid w:val="00F47F6D"/>
    <w:rsid w:val="00F500C4"/>
    <w:rsid w:val="00F50184"/>
    <w:rsid w:val="00F502C3"/>
    <w:rsid w:val="00F502E4"/>
    <w:rsid w:val="00F502FE"/>
    <w:rsid w:val="00F5053A"/>
    <w:rsid w:val="00F506C7"/>
    <w:rsid w:val="00F509C3"/>
    <w:rsid w:val="00F509DF"/>
    <w:rsid w:val="00F50B93"/>
    <w:rsid w:val="00F50BD0"/>
    <w:rsid w:val="00F50E45"/>
    <w:rsid w:val="00F50F4F"/>
    <w:rsid w:val="00F50F55"/>
    <w:rsid w:val="00F510C6"/>
    <w:rsid w:val="00F51176"/>
    <w:rsid w:val="00F511ED"/>
    <w:rsid w:val="00F5124F"/>
    <w:rsid w:val="00F512FF"/>
    <w:rsid w:val="00F51519"/>
    <w:rsid w:val="00F51587"/>
    <w:rsid w:val="00F515AA"/>
    <w:rsid w:val="00F5163B"/>
    <w:rsid w:val="00F51955"/>
    <w:rsid w:val="00F51A5B"/>
    <w:rsid w:val="00F51B6D"/>
    <w:rsid w:val="00F51F2B"/>
    <w:rsid w:val="00F51F9A"/>
    <w:rsid w:val="00F51F9D"/>
    <w:rsid w:val="00F5212D"/>
    <w:rsid w:val="00F52138"/>
    <w:rsid w:val="00F521D1"/>
    <w:rsid w:val="00F521DC"/>
    <w:rsid w:val="00F524D5"/>
    <w:rsid w:val="00F524FE"/>
    <w:rsid w:val="00F5250A"/>
    <w:rsid w:val="00F52552"/>
    <w:rsid w:val="00F52590"/>
    <w:rsid w:val="00F52710"/>
    <w:rsid w:val="00F529A6"/>
    <w:rsid w:val="00F52A30"/>
    <w:rsid w:val="00F52B2B"/>
    <w:rsid w:val="00F52BCB"/>
    <w:rsid w:val="00F52BD3"/>
    <w:rsid w:val="00F52D69"/>
    <w:rsid w:val="00F52D71"/>
    <w:rsid w:val="00F52DBF"/>
    <w:rsid w:val="00F52DEE"/>
    <w:rsid w:val="00F52E6A"/>
    <w:rsid w:val="00F52F2C"/>
    <w:rsid w:val="00F5315A"/>
    <w:rsid w:val="00F531D9"/>
    <w:rsid w:val="00F53200"/>
    <w:rsid w:val="00F53296"/>
    <w:rsid w:val="00F5329E"/>
    <w:rsid w:val="00F532E5"/>
    <w:rsid w:val="00F5334A"/>
    <w:rsid w:val="00F53368"/>
    <w:rsid w:val="00F53388"/>
    <w:rsid w:val="00F53395"/>
    <w:rsid w:val="00F5344E"/>
    <w:rsid w:val="00F53469"/>
    <w:rsid w:val="00F53485"/>
    <w:rsid w:val="00F535D9"/>
    <w:rsid w:val="00F53643"/>
    <w:rsid w:val="00F5370D"/>
    <w:rsid w:val="00F537C1"/>
    <w:rsid w:val="00F5388B"/>
    <w:rsid w:val="00F539F8"/>
    <w:rsid w:val="00F53C27"/>
    <w:rsid w:val="00F53C90"/>
    <w:rsid w:val="00F53DAF"/>
    <w:rsid w:val="00F53E09"/>
    <w:rsid w:val="00F53E2F"/>
    <w:rsid w:val="00F53EB2"/>
    <w:rsid w:val="00F53F14"/>
    <w:rsid w:val="00F53F39"/>
    <w:rsid w:val="00F53FAA"/>
    <w:rsid w:val="00F5421A"/>
    <w:rsid w:val="00F5423C"/>
    <w:rsid w:val="00F543F6"/>
    <w:rsid w:val="00F54460"/>
    <w:rsid w:val="00F545D6"/>
    <w:rsid w:val="00F54608"/>
    <w:rsid w:val="00F54633"/>
    <w:rsid w:val="00F5463D"/>
    <w:rsid w:val="00F546BE"/>
    <w:rsid w:val="00F547C2"/>
    <w:rsid w:val="00F547DF"/>
    <w:rsid w:val="00F5490E"/>
    <w:rsid w:val="00F549CB"/>
    <w:rsid w:val="00F54A90"/>
    <w:rsid w:val="00F54B31"/>
    <w:rsid w:val="00F54BA6"/>
    <w:rsid w:val="00F54C11"/>
    <w:rsid w:val="00F54C62"/>
    <w:rsid w:val="00F54CB9"/>
    <w:rsid w:val="00F550AF"/>
    <w:rsid w:val="00F551E1"/>
    <w:rsid w:val="00F552EB"/>
    <w:rsid w:val="00F552F1"/>
    <w:rsid w:val="00F55389"/>
    <w:rsid w:val="00F5540F"/>
    <w:rsid w:val="00F55530"/>
    <w:rsid w:val="00F556E2"/>
    <w:rsid w:val="00F55711"/>
    <w:rsid w:val="00F55768"/>
    <w:rsid w:val="00F55775"/>
    <w:rsid w:val="00F55825"/>
    <w:rsid w:val="00F55928"/>
    <w:rsid w:val="00F559FF"/>
    <w:rsid w:val="00F55B10"/>
    <w:rsid w:val="00F55B7A"/>
    <w:rsid w:val="00F55C83"/>
    <w:rsid w:val="00F55C9B"/>
    <w:rsid w:val="00F55D06"/>
    <w:rsid w:val="00F55D58"/>
    <w:rsid w:val="00F55DEC"/>
    <w:rsid w:val="00F55E8C"/>
    <w:rsid w:val="00F55F25"/>
    <w:rsid w:val="00F55F26"/>
    <w:rsid w:val="00F55F37"/>
    <w:rsid w:val="00F56092"/>
    <w:rsid w:val="00F56310"/>
    <w:rsid w:val="00F56323"/>
    <w:rsid w:val="00F563E3"/>
    <w:rsid w:val="00F56476"/>
    <w:rsid w:val="00F56573"/>
    <w:rsid w:val="00F565FF"/>
    <w:rsid w:val="00F5667A"/>
    <w:rsid w:val="00F567C6"/>
    <w:rsid w:val="00F56869"/>
    <w:rsid w:val="00F568CF"/>
    <w:rsid w:val="00F568E3"/>
    <w:rsid w:val="00F5697C"/>
    <w:rsid w:val="00F569C2"/>
    <w:rsid w:val="00F56A07"/>
    <w:rsid w:val="00F56AE2"/>
    <w:rsid w:val="00F56BB9"/>
    <w:rsid w:val="00F56C32"/>
    <w:rsid w:val="00F56EFD"/>
    <w:rsid w:val="00F56F50"/>
    <w:rsid w:val="00F57113"/>
    <w:rsid w:val="00F57146"/>
    <w:rsid w:val="00F57232"/>
    <w:rsid w:val="00F57234"/>
    <w:rsid w:val="00F572CD"/>
    <w:rsid w:val="00F57363"/>
    <w:rsid w:val="00F5742B"/>
    <w:rsid w:val="00F57570"/>
    <w:rsid w:val="00F5777D"/>
    <w:rsid w:val="00F5780A"/>
    <w:rsid w:val="00F5783F"/>
    <w:rsid w:val="00F578CC"/>
    <w:rsid w:val="00F57C27"/>
    <w:rsid w:val="00F57D2D"/>
    <w:rsid w:val="00F57D75"/>
    <w:rsid w:val="00F57D7F"/>
    <w:rsid w:val="00F57E13"/>
    <w:rsid w:val="00F57EBE"/>
    <w:rsid w:val="00F57ED1"/>
    <w:rsid w:val="00F57F3F"/>
    <w:rsid w:val="00F60077"/>
    <w:rsid w:val="00F600B4"/>
    <w:rsid w:val="00F600F4"/>
    <w:rsid w:val="00F60171"/>
    <w:rsid w:val="00F60236"/>
    <w:rsid w:val="00F6028C"/>
    <w:rsid w:val="00F6029E"/>
    <w:rsid w:val="00F602BB"/>
    <w:rsid w:val="00F60304"/>
    <w:rsid w:val="00F60590"/>
    <w:rsid w:val="00F606A5"/>
    <w:rsid w:val="00F6072E"/>
    <w:rsid w:val="00F60860"/>
    <w:rsid w:val="00F6086F"/>
    <w:rsid w:val="00F60924"/>
    <w:rsid w:val="00F609F4"/>
    <w:rsid w:val="00F60A73"/>
    <w:rsid w:val="00F60B98"/>
    <w:rsid w:val="00F60B99"/>
    <w:rsid w:val="00F60BE3"/>
    <w:rsid w:val="00F60C13"/>
    <w:rsid w:val="00F60C9E"/>
    <w:rsid w:val="00F60CC0"/>
    <w:rsid w:val="00F60DF7"/>
    <w:rsid w:val="00F60DFE"/>
    <w:rsid w:val="00F60E3D"/>
    <w:rsid w:val="00F60EC2"/>
    <w:rsid w:val="00F60FE4"/>
    <w:rsid w:val="00F61002"/>
    <w:rsid w:val="00F61016"/>
    <w:rsid w:val="00F610F5"/>
    <w:rsid w:val="00F6112C"/>
    <w:rsid w:val="00F61203"/>
    <w:rsid w:val="00F6120A"/>
    <w:rsid w:val="00F612BE"/>
    <w:rsid w:val="00F612C4"/>
    <w:rsid w:val="00F61304"/>
    <w:rsid w:val="00F6135C"/>
    <w:rsid w:val="00F613DA"/>
    <w:rsid w:val="00F614E4"/>
    <w:rsid w:val="00F614F2"/>
    <w:rsid w:val="00F61524"/>
    <w:rsid w:val="00F61525"/>
    <w:rsid w:val="00F6152F"/>
    <w:rsid w:val="00F61570"/>
    <w:rsid w:val="00F615D7"/>
    <w:rsid w:val="00F616F0"/>
    <w:rsid w:val="00F618CD"/>
    <w:rsid w:val="00F618F0"/>
    <w:rsid w:val="00F61936"/>
    <w:rsid w:val="00F61B52"/>
    <w:rsid w:val="00F61B69"/>
    <w:rsid w:val="00F61BD7"/>
    <w:rsid w:val="00F61DE6"/>
    <w:rsid w:val="00F61E45"/>
    <w:rsid w:val="00F61EBB"/>
    <w:rsid w:val="00F6209B"/>
    <w:rsid w:val="00F623F3"/>
    <w:rsid w:val="00F62639"/>
    <w:rsid w:val="00F626D7"/>
    <w:rsid w:val="00F628FA"/>
    <w:rsid w:val="00F628FC"/>
    <w:rsid w:val="00F6292F"/>
    <w:rsid w:val="00F6295F"/>
    <w:rsid w:val="00F6296C"/>
    <w:rsid w:val="00F62998"/>
    <w:rsid w:val="00F629C9"/>
    <w:rsid w:val="00F62A7C"/>
    <w:rsid w:val="00F62D51"/>
    <w:rsid w:val="00F62DDC"/>
    <w:rsid w:val="00F62E2A"/>
    <w:rsid w:val="00F62EC0"/>
    <w:rsid w:val="00F62F21"/>
    <w:rsid w:val="00F6307E"/>
    <w:rsid w:val="00F631B0"/>
    <w:rsid w:val="00F6320D"/>
    <w:rsid w:val="00F6329F"/>
    <w:rsid w:val="00F63514"/>
    <w:rsid w:val="00F63596"/>
    <w:rsid w:val="00F63622"/>
    <w:rsid w:val="00F63700"/>
    <w:rsid w:val="00F637AF"/>
    <w:rsid w:val="00F638FC"/>
    <w:rsid w:val="00F63A8F"/>
    <w:rsid w:val="00F63BE7"/>
    <w:rsid w:val="00F63C00"/>
    <w:rsid w:val="00F63CC6"/>
    <w:rsid w:val="00F63D4E"/>
    <w:rsid w:val="00F63DCD"/>
    <w:rsid w:val="00F63E70"/>
    <w:rsid w:val="00F63EF8"/>
    <w:rsid w:val="00F63F29"/>
    <w:rsid w:val="00F63F5E"/>
    <w:rsid w:val="00F64190"/>
    <w:rsid w:val="00F64214"/>
    <w:rsid w:val="00F64350"/>
    <w:rsid w:val="00F643EE"/>
    <w:rsid w:val="00F64541"/>
    <w:rsid w:val="00F645C1"/>
    <w:rsid w:val="00F645E5"/>
    <w:rsid w:val="00F64634"/>
    <w:rsid w:val="00F6471D"/>
    <w:rsid w:val="00F64743"/>
    <w:rsid w:val="00F648E5"/>
    <w:rsid w:val="00F64936"/>
    <w:rsid w:val="00F64A62"/>
    <w:rsid w:val="00F64A82"/>
    <w:rsid w:val="00F64A9B"/>
    <w:rsid w:val="00F64C4C"/>
    <w:rsid w:val="00F64C61"/>
    <w:rsid w:val="00F64C78"/>
    <w:rsid w:val="00F64D60"/>
    <w:rsid w:val="00F64D8C"/>
    <w:rsid w:val="00F64E6F"/>
    <w:rsid w:val="00F64E8A"/>
    <w:rsid w:val="00F65181"/>
    <w:rsid w:val="00F6531D"/>
    <w:rsid w:val="00F653CA"/>
    <w:rsid w:val="00F653F8"/>
    <w:rsid w:val="00F65542"/>
    <w:rsid w:val="00F65552"/>
    <w:rsid w:val="00F65595"/>
    <w:rsid w:val="00F655B8"/>
    <w:rsid w:val="00F6574B"/>
    <w:rsid w:val="00F6581F"/>
    <w:rsid w:val="00F6591C"/>
    <w:rsid w:val="00F65A15"/>
    <w:rsid w:val="00F65A43"/>
    <w:rsid w:val="00F65A7F"/>
    <w:rsid w:val="00F65AEA"/>
    <w:rsid w:val="00F65C4E"/>
    <w:rsid w:val="00F65E80"/>
    <w:rsid w:val="00F661CB"/>
    <w:rsid w:val="00F6622B"/>
    <w:rsid w:val="00F663D7"/>
    <w:rsid w:val="00F664D4"/>
    <w:rsid w:val="00F668D4"/>
    <w:rsid w:val="00F669C7"/>
    <w:rsid w:val="00F66A74"/>
    <w:rsid w:val="00F66CAE"/>
    <w:rsid w:val="00F66D47"/>
    <w:rsid w:val="00F66D60"/>
    <w:rsid w:val="00F66E50"/>
    <w:rsid w:val="00F66F3B"/>
    <w:rsid w:val="00F66FDE"/>
    <w:rsid w:val="00F6719E"/>
    <w:rsid w:val="00F671AF"/>
    <w:rsid w:val="00F671BE"/>
    <w:rsid w:val="00F6731D"/>
    <w:rsid w:val="00F67536"/>
    <w:rsid w:val="00F6762B"/>
    <w:rsid w:val="00F67653"/>
    <w:rsid w:val="00F6767A"/>
    <w:rsid w:val="00F677D6"/>
    <w:rsid w:val="00F679BC"/>
    <w:rsid w:val="00F679ED"/>
    <w:rsid w:val="00F67A3E"/>
    <w:rsid w:val="00F67B07"/>
    <w:rsid w:val="00F67BF8"/>
    <w:rsid w:val="00F67D7D"/>
    <w:rsid w:val="00F67F1F"/>
    <w:rsid w:val="00F67FA7"/>
    <w:rsid w:val="00F67FBE"/>
    <w:rsid w:val="00F70262"/>
    <w:rsid w:val="00F7027E"/>
    <w:rsid w:val="00F702CE"/>
    <w:rsid w:val="00F703DA"/>
    <w:rsid w:val="00F70570"/>
    <w:rsid w:val="00F7062E"/>
    <w:rsid w:val="00F7069C"/>
    <w:rsid w:val="00F7081F"/>
    <w:rsid w:val="00F708CF"/>
    <w:rsid w:val="00F708FA"/>
    <w:rsid w:val="00F70914"/>
    <w:rsid w:val="00F709BB"/>
    <w:rsid w:val="00F70A6A"/>
    <w:rsid w:val="00F70B2F"/>
    <w:rsid w:val="00F70BA0"/>
    <w:rsid w:val="00F70C9F"/>
    <w:rsid w:val="00F70CB7"/>
    <w:rsid w:val="00F70EFB"/>
    <w:rsid w:val="00F70FA3"/>
    <w:rsid w:val="00F70FB4"/>
    <w:rsid w:val="00F7106D"/>
    <w:rsid w:val="00F710F9"/>
    <w:rsid w:val="00F71169"/>
    <w:rsid w:val="00F711E9"/>
    <w:rsid w:val="00F71289"/>
    <w:rsid w:val="00F71295"/>
    <w:rsid w:val="00F712E1"/>
    <w:rsid w:val="00F713D5"/>
    <w:rsid w:val="00F7155B"/>
    <w:rsid w:val="00F715A7"/>
    <w:rsid w:val="00F715BA"/>
    <w:rsid w:val="00F716F3"/>
    <w:rsid w:val="00F71704"/>
    <w:rsid w:val="00F71716"/>
    <w:rsid w:val="00F717C4"/>
    <w:rsid w:val="00F718A2"/>
    <w:rsid w:val="00F718D0"/>
    <w:rsid w:val="00F71928"/>
    <w:rsid w:val="00F7192C"/>
    <w:rsid w:val="00F7197A"/>
    <w:rsid w:val="00F719C7"/>
    <w:rsid w:val="00F71A30"/>
    <w:rsid w:val="00F71B48"/>
    <w:rsid w:val="00F71BB6"/>
    <w:rsid w:val="00F71C67"/>
    <w:rsid w:val="00F71D2B"/>
    <w:rsid w:val="00F71D3F"/>
    <w:rsid w:val="00F71D47"/>
    <w:rsid w:val="00F71D9D"/>
    <w:rsid w:val="00F71EE9"/>
    <w:rsid w:val="00F720CB"/>
    <w:rsid w:val="00F7215E"/>
    <w:rsid w:val="00F7238C"/>
    <w:rsid w:val="00F72452"/>
    <w:rsid w:val="00F7249C"/>
    <w:rsid w:val="00F72745"/>
    <w:rsid w:val="00F727C6"/>
    <w:rsid w:val="00F727F6"/>
    <w:rsid w:val="00F727FA"/>
    <w:rsid w:val="00F72889"/>
    <w:rsid w:val="00F7296A"/>
    <w:rsid w:val="00F7297F"/>
    <w:rsid w:val="00F72A7B"/>
    <w:rsid w:val="00F72A7F"/>
    <w:rsid w:val="00F72AA3"/>
    <w:rsid w:val="00F72B0F"/>
    <w:rsid w:val="00F72C06"/>
    <w:rsid w:val="00F72C9F"/>
    <w:rsid w:val="00F72CD3"/>
    <w:rsid w:val="00F72D49"/>
    <w:rsid w:val="00F72D6E"/>
    <w:rsid w:val="00F72F56"/>
    <w:rsid w:val="00F72F96"/>
    <w:rsid w:val="00F72FEC"/>
    <w:rsid w:val="00F730C1"/>
    <w:rsid w:val="00F73188"/>
    <w:rsid w:val="00F731B8"/>
    <w:rsid w:val="00F73223"/>
    <w:rsid w:val="00F73265"/>
    <w:rsid w:val="00F733CB"/>
    <w:rsid w:val="00F73489"/>
    <w:rsid w:val="00F734A1"/>
    <w:rsid w:val="00F73702"/>
    <w:rsid w:val="00F7375B"/>
    <w:rsid w:val="00F73773"/>
    <w:rsid w:val="00F738BD"/>
    <w:rsid w:val="00F73923"/>
    <w:rsid w:val="00F73947"/>
    <w:rsid w:val="00F73954"/>
    <w:rsid w:val="00F739AE"/>
    <w:rsid w:val="00F73ACC"/>
    <w:rsid w:val="00F73B3C"/>
    <w:rsid w:val="00F73BCB"/>
    <w:rsid w:val="00F73CED"/>
    <w:rsid w:val="00F73D01"/>
    <w:rsid w:val="00F73D88"/>
    <w:rsid w:val="00F73D96"/>
    <w:rsid w:val="00F7417D"/>
    <w:rsid w:val="00F742ED"/>
    <w:rsid w:val="00F74388"/>
    <w:rsid w:val="00F743B9"/>
    <w:rsid w:val="00F74430"/>
    <w:rsid w:val="00F74445"/>
    <w:rsid w:val="00F744D7"/>
    <w:rsid w:val="00F74507"/>
    <w:rsid w:val="00F74520"/>
    <w:rsid w:val="00F745D2"/>
    <w:rsid w:val="00F745FB"/>
    <w:rsid w:val="00F748EF"/>
    <w:rsid w:val="00F74908"/>
    <w:rsid w:val="00F74A83"/>
    <w:rsid w:val="00F74ACD"/>
    <w:rsid w:val="00F74BDF"/>
    <w:rsid w:val="00F74C0C"/>
    <w:rsid w:val="00F74C21"/>
    <w:rsid w:val="00F74D7D"/>
    <w:rsid w:val="00F74DF5"/>
    <w:rsid w:val="00F74E6D"/>
    <w:rsid w:val="00F74F4F"/>
    <w:rsid w:val="00F7505B"/>
    <w:rsid w:val="00F750F8"/>
    <w:rsid w:val="00F75163"/>
    <w:rsid w:val="00F7520D"/>
    <w:rsid w:val="00F75216"/>
    <w:rsid w:val="00F753F1"/>
    <w:rsid w:val="00F75496"/>
    <w:rsid w:val="00F754A6"/>
    <w:rsid w:val="00F754E9"/>
    <w:rsid w:val="00F75776"/>
    <w:rsid w:val="00F7585C"/>
    <w:rsid w:val="00F758B7"/>
    <w:rsid w:val="00F75AB1"/>
    <w:rsid w:val="00F75AC5"/>
    <w:rsid w:val="00F75D3B"/>
    <w:rsid w:val="00F75D51"/>
    <w:rsid w:val="00F75D9A"/>
    <w:rsid w:val="00F75DA2"/>
    <w:rsid w:val="00F75F7D"/>
    <w:rsid w:val="00F76059"/>
    <w:rsid w:val="00F760F2"/>
    <w:rsid w:val="00F761A6"/>
    <w:rsid w:val="00F761C0"/>
    <w:rsid w:val="00F762DC"/>
    <w:rsid w:val="00F763D0"/>
    <w:rsid w:val="00F763E2"/>
    <w:rsid w:val="00F7642F"/>
    <w:rsid w:val="00F76467"/>
    <w:rsid w:val="00F76508"/>
    <w:rsid w:val="00F76660"/>
    <w:rsid w:val="00F766AF"/>
    <w:rsid w:val="00F766EF"/>
    <w:rsid w:val="00F76719"/>
    <w:rsid w:val="00F767AB"/>
    <w:rsid w:val="00F768D6"/>
    <w:rsid w:val="00F76A81"/>
    <w:rsid w:val="00F76AD1"/>
    <w:rsid w:val="00F76B09"/>
    <w:rsid w:val="00F76C3E"/>
    <w:rsid w:val="00F76DA6"/>
    <w:rsid w:val="00F76DF1"/>
    <w:rsid w:val="00F76EB9"/>
    <w:rsid w:val="00F77078"/>
    <w:rsid w:val="00F770EA"/>
    <w:rsid w:val="00F770F1"/>
    <w:rsid w:val="00F770FA"/>
    <w:rsid w:val="00F7711F"/>
    <w:rsid w:val="00F77140"/>
    <w:rsid w:val="00F77172"/>
    <w:rsid w:val="00F771E1"/>
    <w:rsid w:val="00F77219"/>
    <w:rsid w:val="00F774CD"/>
    <w:rsid w:val="00F77504"/>
    <w:rsid w:val="00F77594"/>
    <w:rsid w:val="00F77678"/>
    <w:rsid w:val="00F776BF"/>
    <w:rsid w:val="00F7788E"/>
    <w:rsid w:val="00F77B1D"/>
    <w:rsid w:val="00F77B44"/>
    <w:rsid w:val="00F77B78"/>
    <w:rsid w:val="00F77BA0"/>
    <w:rsid w:val="00F77DCF"/>
    <w:rsid w:val="00F77E3B"/>
    <w:rsid w:val="00F77E56"/>
    <w:rsid w:val="00F77ED4"/>
    <w:rsid w:val="00F80006"/>
    <w:rsid w:val="00F801CB"/>
    <w:rsid w:val="00F803BA"/>
    <w:rsid w:val="00F80673"/>
    <w:rsid w:val="00F80677"/>
    <w:rsid w:val="00F807A9"/>
    <w:rsid w:val="00F8082D"/>
    <w:rsid w:val="00F8087F"/>
    <w:rsid w:val="00F80929"/>
    <w:rsid w:val="00F8093B"/>
    <w:rsid w:val="00F80BA3"/>
    <w:rsid w:val="00F80C4D"/>
    <w:rsid w:val="00F80F49"/>
    <w:rsid w:val="00F81103"/>
    <w:rsid w:val="00F812B7"/>
    <w:rsid w:val="00F812F6"/>
    <w:rsid w:val="00F813E8"/>
    <w:rsid w:val="00F81495"/>
    <w:rsid w:val="00F8167B"/>
    <w:rsid w:val="00F8185F"/>
    <w:rsid w:val="00F8189E"/>
    <w:rsid w:val="00F818C2"/>
    <w:rsid w:val="00F8196A"/>
    <w:rsid w:val="00F81977"/>
    <w:rsid w:val="00F819FE"/>
    <w:rsid w:val="00F81A0D"/>
    <w:rsid w:val="00F81AAD"/>
    <w:rsid w:val="00F81ACD"/>
    <w:rsid w:val="00F81B2F"/>
    <w:rsid w:val="00F81D7B"/>
    <w:rsid w:val="00F81DF5"/>
    <w:rsid w:val="00F81E24"/>
    <w:rsid w:val="00F81FAA"/>
    <w:rsid w:val="00F81FE8"/>
    <w:rsid w:val="00F82027"/>
    <w:rsid w:val="00F82124"/>
    <w:rsid w:val="00F821D7"/>
    <w:rsid w:val="00F8227D"/>
    <w:rsid w:val="00F822B0"/>
    <w:rsid w:val="00F822FE"/>
    <w:rsid w:val="00F823E2"/>
    <w:rsid w:val="00F824DF"/>
    <w:rsid w:val="00F824E6"/>
    <w:rsid w:val="00F82520"/>
    <w:rsid w:val="00F82559"/>
    <w:rsid w:val="00F82862"/>
    <w:rsid w:val="00F82993"/>
    <w:rsid w:val="00F8299F"/>
    <w:rsid w:val="00F829CB"/>
    <w:rsid w:val="00F82A90"/>
    <w:rsid w:val="00F82AA9"/>
    <w:rsid w:val="00F82ADD"/>
    <w:rsid w:val="00F82B52"/>
    <w:rsid w:val="00F82D83"/>
    <w:rsid w:val="00F82E6D"/>
    <w:rsid w:val="00F82F27"/>
    <w:rsid w:val="00F82F80"/>
    <w:rsid w:val="00F83069"/>
    <w:rsid w:val="00F830B3"/>
    <w:rsid w:val="00F830D5"/>
    <w:rsid w:val="00F830E5"/>
    <w:rsid w:val="00F832FE"/>
    <w:rsid w:val="00F8337D"/>
    <w:rsid w:val="00F833DA"/>
    <w:rsid w:val="00F833E6"/>
    <w:rsid w:val="00F834EE"/>
    <w:rsid w:val="00F83527"/>
    <w:rsid w:val="00F8363C"/>
    <w:rsid w:val="00F83786"/>
    <w:rsid w:val="00F838B0"/>
    <w:rsid w:val="00F83BAD"/>
    <w:rsid w:val="00F83C07"/>
    <w:rsid w:val="00F83DE5"/>
    <w:rsid w:val="00F83ED4"/>
    <w:rsid w:val="00F83F30"/>
    <w:rsid w:val="00F83F37"/>
    <w:rsid w:val="00F83FB8"/>
    <w:rsid w:val="00F83FCC"/>
    <w:rsid w:val="00F83FF6"/>
    <w:rsid w:val="00F840B0"/>
    <w:rsid w:val="00F84171"/>
    <w:rsid w:val="00F8418B"/>
    <w:rsid w:val="00F841C8"/>
    <w:rsid w:val="00F8429E"/>
    <w:rsid w:val="00F8466E"/>
    <w:rsid w:val="00F84674"/>
    <w:rsid w:val="00F848D4"/>
    <w:rsid w:val="00F849F4"/>
    <w:rsid w:val="00F84AC0"/>
    <w:rsid w:val="00F84AE8"/>
    <w:rsid w:val="00F84C82"/>
    <w:rsid w:val="00F84D1A"/>
    <w:rsid w:val="00F84DF6"/>
    <w:rsid w:val="00F84E60"/>
    <w:rsid w:val="00F84FA8"/>
    <w:rsid w:val="00F84FD4"/>
    <w:rsid w:val="00F851CB"/>
    <w:rsid w:val="00F852A7"/>
    <w:rsid w:val="00F853B1"/>
    <w:rsid w:val="00F85487"/>
    <w:rsid w:val="00F85491"/>
    <w:rsid w:val="00F854F7"/>
    <w:rsid w:val="00F857A7"/>
    <w:rsid w:val="00F85847"/>
    <w:rsid w:val="00F85A05"/>
    <w:rsid w:val="00F85AE8"/>
    <w:rsid w:val="00F85B7D"/>
    <w:rsid w:val="00F85C1D"/>
    <w:rsid w:val="00F85CBE"/>
    <w:rsid w:val="00F85EDF"/>
    <w:rsid w:val="00F85FB5"/>
    <w:rsid w:val="00F86076"/>
    <w:rsid w:val="00F862B3"/>
    <w:rsid w:val="00F862F7"/>
    <w:rsid w:val="00F863C2"/>
    <w:rsid w:val="00F863CB"/>
    <w:rsid w:val="00F8641A"/>
    <w:rsid w:val="00F864EE"/>
    <w:rsid w:val="00F86503"/>
    <w:rsid w:val="00F8658A"/>
    <w:rsid w:val="00F86631"/>
    <w:rsid w:val="00F867DF"/>
    <w:rsid w:val="00F867FD"/>
    <w:rsid w:val="00F86846"/>
    <w:rsid w:val="00F8684E"/>
    <w:rsid w:val="00F86988"/>
    <w:rsid w:val="00F86A49"/>
    <w:rsid w:val="00F86A98"/>
    <w:rsid w:val="00F86B13"/>
    <w:rsid w:val="00F86B6E"/>
    <w:rsid w:val="00F86BCA"/>
    <w:rsid w:val="00F86D02"/>
    <w:rsid w:val="00F86D60"/>
    <w:rsid w:val="00F86D83"/>
    <w:rsid w:val="00F86E39"/>
    <w:rsid w:val="00F87040"/>
    <w:rsid w:val="00F87085"/>
    <w:rsid w:val="00F870B5"/>
    <w:rsid w:val="00F87305"/>
    <w:rsid w:val="00F87350"/>
    <w:rsid w:val="00F87492"/>
    <w:rsid w:val="00F874F7"/>
    <w:rsid w:val="00F875E3"/>
    <w:rsid w:val="00F8769B"/>
    <w:rsid w:val="00F8770B"/>
    <w:rsid w:val="00F87715"/>
    <w:rsid w:val="00F87819"/>
    <w:rsid w:val="00F87832"/>
    <w:rsid w:val="00F87888"/>
    <w:rsid w:val="00F87958"/>
    <w:rsid w:val="00F87999"/>
    <w:rsid w:val="00F879C4"/>
    <w:rsid w:val="00F87CB4"/>
    <w:rsid w:val="00F87D0D"/>
    <w:rsid w:val="00F87E20"/>
    <w:rsid w:val="00F87E4F"/>
    <w:rsid w:val="00F87E8C"/>
    <w:rsid w:val="00F87FC0"/>
    <w:rsid w:val="00F87FED"/>
    <w:rsid w:val="00F9000A"/>
    <w:rsid w:val="00F90073"/>
    <w:rsid w:val="00F90080"/>
    <w:rsid w:val="00F90176"/>
    <w:rsid w:val="00F902DD"/>
    <w:rsid w:val="00F903B0"/>
    <w:rsid w:val="00F903DE"/>
    <w:rsid w:val="00F9041B"/>
    <w:rsid w:val="00F90571"/>
    <w:rsid w:val="00F906A8"/>
    <w:rsid w:val="00F906B6"/>
    <w:rsid w:val="00F90996"/>
    <w:rsid w:val="00F909FD"/>
    <w:rsid w:val="00F90E6B"/>
    <w:rsid w:val="00F91215"/>
    <w:rsid w:val="00F91222"/>
    <w:rsid w:val="00F91412"/>
    <w:rsid w:val="00F9145D"/>
    <w:rsid w:val="00F918DB"/>
    <w:rsid w:val="00F919BC"/>
    <w:rsid w:val="00F91C26"/>
    <w:rsid w:val="00F91C28"/>
    <w:rsid w:val="00F91C30"/>
    <w:rsid w:val="00F9206D"/>
    <w:rsid w:val="00F9207B"/>
    <w:rsid w:val="00F921B4"/>
    <w:rsid w:val="00F921C6"/>
    <w:rsid w:val="00F9226F"/>
    <w:rsid w:val="00F922D5"/>
    <w:rsid w:val="00F92405"/>
    <w:rsid w:val="00F92462"/>
    <w:rsid w:val="00F924B6"/>
    <w:rsid w:val="00F92563"/>
    <w:rsid w:val="00F92568"/>
    <w:rsid w:val="00F928FE"/>
    <w:rsid w:val="00F92A2F"/>
    <w:rsid w:val="00F92A6C"/>
    <w:rsid w:val="00F92A8F"/>
    <w:rsid w:val="00F92D15"/>
    <w:rsid w:val="00F92D50"/>
    <w:rsid w:val="00F92D57"/>
    <w:rsid w:val="00F92D7E"/>
    <w:rsid w:val="00F92D9E"/>
    <w:rsid w:val="00F92E5D"/>
    <w:rsid w:val="00F93033"/>
    <w:rsid w:val="00F9309C"/>
    <w:rsid w:val="00F931C3"/>
    <w:rsid w:val="00F931D5"/>
    <w:rsid w:val="00F93517"/>
    <w:rsid w:val="00F93553"/>
    <w:rsid w:val="00F935AE"/>
    <w:rsid w:val="00F93658"/>
    <w:rsid w:val="00F936ED"/>
    <w:rsid w:val="00F93718"/>
    <w:rsid w:val="00F93766"/>
    <w:rsid w:val="00F9398C"/>
    <w:rsid w:val="00F939D7"/>
    <w:rsid w:val="00F939FA"/>
    <w:rsid w:val="00F93A1E"/>
    <w:rsid w:val="00F93A7C"/>
    <w:rsid w:val="00F93BE2"/>
    <w:rsid w:val="00F93C6D"/>
    <w:rsid w:val="00F93CBB"/>
    <w:rsid w:val="00F93D2F"/>
    <w:rsid w:val="00F93D93"/>
    <w:rsid w:val="00F93E93"/>
    <w:rsid w:val="00F93F08"/>
    <w:rsid w:val="00F93F73"/>
    <w:rsid w:val="00F94063"/>
    <w:rsid w:val="00F940AC"/>
    <w:rsid w:val="00F94256"/>
    <w:rsid w:val="00F942C9"/>
    <w:rsid w:val="00F9444E"/>
    <w:rsid w:val="00F945D8"/>
    <w:rsid w:val="00F945F6"/>
    <w:rsid w:val="00F94626"/>
    <w:rsid w:val="00F9473E"/>
    <w:rsid w:val="00F9485E"/>
    <w:rsid w:val="00F948C7"/>
    <w:rsid w:val="00F94954"/>
    <w:rsid w:val="00F94989"/>
    <w:rsid w:val="00F94991"/>
    <w:rsid w:val="00F94B06"/>
    <w:rsid w:val="00F94B19"/>
    <w:rsid w:val="00F94EB2"/>
    <w:rsid w:val="00F94EC7"/>
    <w:rsid w:val="00F95096"/>
    <w:rsid w:val="00F950DA"/>
    <w:rsid w:val="00F950EC"/>
    <w:rsid w:val="00F9518F"/>
    <w:rsid w:val="00F95397"/>
    <w:rsid w:val="00F9569E"/>
    <w:rsid w:val="00F956D9"/>
    <w:rsid w:val="00F95824"/>
    <w:rsid w:val="00F95890"/>
    <w:rsid w:val="00F95892"/>
    <w:rsid w:val="00F958B6"/>
    <w:rsid w:val="00F958C4"/>
    <w:rsid w:val="00F959E8"/>
    <w:rsid w:val="00F959F5"/>
    <w:rsid w:val="00F95AA1"/>
    <w:rsid w:val="00F95B03"/>
    <w:rsid w:val="00F95B37"/>
    <w:rsid w:val="00F95B5F"/>
    <w:rsid w:val="00F95BCC"/>
    <w:rsid w:val="00F95C11"/>
    <w:rsid w:val="00F95DEA"/>
    <w:rsid w:val="00F95E0A"/>
    <w:rsid w:val="00F95E77"/>
    <w:rsid w:val="00F95F02"/>
    <w:rsid w:val="00F95F9F"/>
    <w:rsid w:val="00F960B3"/>
    <w:rsid w:val="00F96133"/>
    <w:rsid w:val="00F96135"/>
    <w:rsid w:val="00F96285"/>
    <w:rsid w:val="00F962C2"/>
    <w:rsid w:val="00F962D8"/>
    <w:rsid w:val="00F963CA"/>
    <w:rsid w:val="00F963DB"/>
    <w:rsid w:val="00F963E4"/>
    <w:rsid w:val="00F963F2"/>
    <w:rsid w:val="00F9653F"/>
    <w:rsid w:val="00F9658E"/>
    <w:rsid w:val="00F965E4"/>
    <w:rsid w:val="00F96812"/>
    <w:rsid w:val="00F9699A"/>
    <w:rsid w:val="00F96A8F"/>
    <w:rsid w:val="00F96C4B"/>
    <w:rsid w:val="00F96D1D"/>
    <w:rsid w:val="00F96FC5"/>
    <w:rsid w:val="00F970E6"/>
    <w:rsid w:val="00F9728F"/>
    <w:rsid w:val="00F97360"/>
    <w:rsid w:val="00F9749D"/>
    <w:rsid w:val="00F9774D"/>
    <w:rsid w:val="00F97817"/>
    <w:rsid w:val="00F97922"/>
    <w:rsid w:val="00F979E7"/>
    <w:rsid w:val="00F97CCB"/>
    <w:rsid w:val="00F97CD7"/>
    <w:rsid w:val="00F97DCA"/>
    <w:rsid w:val="00F97EEC"/>
    <w:rsid w:val="00F97F35"/>
    <w:rsid w:val="00F9C2C0"/>
    <w:rsid w:val="00FA002A"/>
    <w:rsid w:val="00FA00E1"/>
    <w:rsid w:val="00FA025C"/>
    <w:rsid w:val="00FA0283"/>
    <w:rsid w:val="00FA028F"/>
    <w:rsid w:val="00FA0337"/>
    <w:rsid w:val="00FA04E8"/>
    <w:rsid w:val="00FA04F9"/>
    <w:rsid w:val="00FA050C"/>
    <w:rsid w:val="00FA05AD"/>
    <w:rsid w:val="00FA0607"/>
    <w:rsid w:val="00FA0616"/>
    <w:rsid w:val="00FA0850"/>
    <w:rsid w:val="00FA0880"/>
    <w:rsid w:val="00FA0A28"/>
    <w:rsid w:val="00FA0A6F"/>
    <w:rsid w:val="00FA0AF7"/>
    <w:rsid w:val="00FA0AFC"/>
    <w:rsid w:val="00FA0B06"/>
    <w:rsid w:val="00FA0B9C"/>
    <w:rsid w:val="00FA0C11"/>
    <w:rsid w:val="00FA0C51"/>
    <w:rsid w:val="00FA0D04"/>
    <w:rsid w:val="00FA0D6A"/>
    <w:rsid w:val="00FA0F82"/>
    <w:rsid w:val="00FA0F87"/>
    <w:rsid w:val="00FA1095"/>
    <w:rsid w:val="00FA10BA"/>
    <w:rsid w:val="00FA139B"/>
    <w:rsid w:val="00FA1487"/>
    <w:rsid w:val="00FA1675"/>
    <w:rsid w:val="00FA1678"/>
    <w:rsid w:val="00FA167D"/>
    <w:rsid w:val="00FA17CF"/>
    <w:rsid w:val="00FA17EE"/>
    <w:rsid w:val="00FA1935"/>
    <w:rsid w:val="00FA19D3"/>
    <w:rsid w:val="00FA1A3D"/>
    <w:rsid w:val="00FA1B75"/>
    <w:rsid w:val="00FA1C48"/>
    <w:rsid w:val="00FA1CB9"/>
    <w:rsid w:val="00FA1CDB"/>
    <w:rsid w:val="00FA1D39"/>
    <w:rsid w:val="00FA1DD5"/>
    <w:rsid w:val="00FA1E93"/>
    <w:rsid w:val="00FA202A"/>
    <w:rsid w:val="00FA2030"/>
    <w:rsid w:val="00FA2045"/>
    <w:rsid w:val="00FA2083"/>
    <w:rsid w:val="00FA20E5"/>
    <w:rsid w:val="00FA2127"/>
    <w:rsid w:val="00FA213A"/>
    <w:rsid w:val="00FA2150"/>
    <w:rsid w:val="00FA21D1"/>
    <w:rsid w:val="00FA21D3"/>
    <w:rsid w:val="00FA22BA"/>
    <w:rsid w:val="00FA2392"/>
    <w:rsid w:val="00FA262A"/>
    <w:rsid w:val="00FA2707"/>
    <w:rsid w:val="00FA271E"/>
    <w:rsid w:val="00FA2743"/>
    <w:rsid w:val="00FA2776"/>
    <w:rsid w:val="00FA278B"/>
    <w:rsid w:val="00FA287B"/>
    <w:rsid w:val="00FA28F2"/>
    <w:rsid w:val="00FA295B"/>
    <w:rsid w:val="00FA2981"/>
    <w:rsid w:val="00FA2991"/>
    <w:rsid w:val="00FA2A2A"/>
    <w:rsid w:val="00FA2A6D"/>
    <w:rsid w:val="00FA2B44"/>
    <w:rsid w:val="00FA2B93"/>
    <w:rsid w:val="00FA2BCF"/>
    <w:rsid w:val="00FA2C8F"/>
    <w:rsid w:val="00FA2CE8"/>
    <w:rsid w:val="00FA2DA3"/>
    <w:rsid w:val="00FA2E48"/>
    <w:rsid w:val="00FA2E5B"/>
    <w:rsid w:val="00FA2E96"/>
    <w:rsid w:val="00FA2EEB"/>
    <w:rsid w:val="00FA2F7F"/>
    <w:rsid w:val="00FA2FE9"/>
    <w:rsid w:val="00FA3031"/>
    <w:rsid w:val="00FA305C"/>
    <w:rsid w:val="00FA30AD"/>
    <w:rsid w:val="00FA31B4"/>
    <w:rsid w:val="00FA3221"/>
    <w:rsid w:val="00FA328F"/>
    <w:rsid w:val="00FA32D1"/>
    <w:rsid w:val="00FA3505"/>
    <w:rsid w:val="00FA357B"/>
    <w:rsid w:val="00FA3580"/>
    <w:rsid w:val="00FA36D5"/>
    <w:rsid w:val="00FA3712"/>
    <w:rsid w:val="00FA3772"/>
    <w:rsid w:val="00FA398C"/>
    <w:rsid w:val="00FA39DE"/>
    <w:rsid w:val="00FA3A9A"/>
    <w:rsid w:val="00FA3ACA"/>
    <w:rsid w:val="00FA3BD2"/>
    <w:rsid w:val="00FA3C84"/>
    <w:rsid w:val="00FA409D"/>
    <w:rsid w:val="00FA41C7"/>
    <w:rsid w:val="00FA41EF"/>
    <w:rsid w:val="00FA45A2"/>
    <w:rsid w:val="00FA45F3"/>
    <w:rsid w:val="00FA4748"/>
    <w:rsid w:val="00FA4761"/>
    <w:rsid w:val="00FA4856"/>
    <w:rsid w:val="00FA4993"/>
    <w:rsid w:val="00FA4A30"/>
    <w:rsid w:val="00FA4B2E"/>
    <w:rsid w:val="00FA4B6F"/>
    <w:rsid w:val="00FA4BC9"/>
    <w:rsid w:val="00FA4BD7"/>
    <w:rsid w:val="00FA4D59"/>
    <w:rsid w:val="00FA4E1A"/>
    <w:rsid w:val="00FA4FFF"/>
    <w:rsid w:val="00FA50A4"/>
    <w:rsid w:val="00FA50BC"/>
    <w:rsid w:val="00FA5121"/>
    <w:rsid w:val="00FA52EA"/>
    <w:rsid w:val="00FA5357"/>
    <w:rsid w:val="00FA5524"/>
    <w:rsid w:val="00FA55B6"/>
    <w:rsid w:val="00FA56ED"/>
    <w:rsid w:val="00FA5993"/>
    <w:rsid w:val="00FA59DC"/>
    <w:rsid w:val="00FA59FA"/>
    <w:rsid w:val="00FA5A36"/>
    <w:rsid w:val="00FA5A51"/>
    <w:rsid w:val="00FA5AB9"/>
    <w:rsid w:val="00FA5ABD"/>
    <w:rsid w:val="00FA5AD3"/>
    <w:rsid w:val="00FA5AD6"/>
    <w:rsid w:val="00FA5AFB"/>
    <w:rsid w:val="00FA5B0C"/>
    <w:rsid w:val="00FA5C95"/>
    <w:rsid w:val="00FA5E83"/>
    <w:rsid w:val="00FA5EE4"/>
    <w:rsid w:val="00FA5F18"/>
    <w:rsid w:val="00FA5F87"/>
    <w:rsid w:val="00FA5FD6"/>
    <w:rsid w:val="00FA6043"/>
    <w:rsid w:val="00FA605C"/>
    <w:rsid w:val="00FA60DD"/>
    <w:rsid w:val="00FA60E2"/>
    <w:rsid w:val="00FA6186"/>
    <w:rsid w:val="00FA6188"/>
    <w:rsid w:val="00FA6208"/>
    <w:rsid w:val="00FA628A"/>
    <w:rsid w:val="00FA62D5"/>
    <w:rsid w:val="00FA6326"/>
    <w:rsid w:val="00FA640F"/>
    <w:rsid w:val="00FA65D2"/>
    <w:rsid w:val="00FA65F7"/>
    <w:rsid w:val="00FA666E"/>
    <w:rsid w:val="00FA669E"/>
    <w:rsid w:val="00FA6761"/>
    <w:rsid w:val="00FA6979"/>
    <w:rsid w:val="00FA69DF"/>
    <w:rsid w:val="00FA6C11"/>
    <w:rsid w:val="00FA6C84"/>
    <w:rsid w:val="00FA6D29"/>
    <w:rsid w:val="00FA6D83"/>
    <w:rsid w:val="00FA6DB3"/>
    <w:rsid w:val="00FA6E61"/>
    <w:rsid w:val="00FA6E6D"/>
    <w:rsid w:val="00FA6F5F"/>
    <w:rsid w:val="00FA6FDF"/>
    <w:rsid w:val="00FA7008"/>
    <w:rsid w:val="00FA7187"/>
    <w:rsid w:val="00FA72AC"/>
    <w:rsid w:val="00FA72B2"/>
    <w:rsid w:val="00FA730B"/>
    <w:rsid w:val="00FA74B9"/>
    <w:rsid w:val="00FA7500"/>
    <w:rsid w:val="00FA756D"/>
    <w:rsid w:val="00FA76F1"/>
    <w:rsid w:val="00FA7746"/>
    <w:rsid w:val="00FA78C5"/>
    <w:rsid w:val="00FA790F"/>
    <w:rsid w:val="00FA792B"/>
    <w:rsid w:val="00FA797C"/>
    <w:rsid w:val="00FA7B43"/>
    <w:rsid w:val="00FA7C6B"/>
    <w:rsid w:val="00FA7CAB"/>
    <w:rsid w:val="00FA7DF3"/>
    <w:rsid w:val="00FA7E5C"/>
    <w:rsid w:val="00FA7E89"/>
    <w:rsid w:val="00FA7ECB"/>
    <w:rsid w:val="00FA7EE2"/>
    <w:rsid w:val="00FA7F06"/>
    <w:rsid w:val="00FB0066"/>
    <w:rsid w:val="00FB0076"/>
    <w:rsid w:val="00FB00A8"/>
    <w:rsid w:val="00FB0104"/>
    <w:rsid w:val="00FB01D1"/>
    <w:rsid w:val="00FB04F8"/>
    <w:rsid w:val="00FB0512"/>
    <w:rsid w:val="00FB0614"/>
    <w:rsid w:val="00FB062E"/>
    <w:rsid w:val="00FB06E9"/>
    <w:rsid w:val="00FB07F1"/>
    <w:rsid w:val="00FB0982"/>
    <w:rsid w:val="00FB09DD"/>
    <w:rsid w:val="00FB09E6"/>
    <w:rsid w:val="00FB09EC"/>
    <w:rsid w:val="00FB0A87"/>
    <w:rsid w:val="00FB0ACB"/>
    <w:rsid w:val="00FB0B36"/>
    <w:rsid w:val="00FB0C3D"/>
    <w:rsid w:val="00FB0D0B"/>
    <w:rsid w:val="00FB0DA6"/>
    <w:rsid w:val="00FB0E01"/>
    <w:rsid w:val="00FB0E02"/>
    <w:rsid w:val="00FB0E9F"/>
    <w:rsid w:val="00FB0EFA"/>
    <w:rsid w:val="00FB0F52"/>
    <w:rsid w:val="00FB0FF7"/>
    <w:rsid w:val="00FB106A"/>
    <w:rsid w:val="00FB10DA"/>
    <w:rsid w:val="00FB1294"/>
    <w:rsid w:val="00FB16A1"/>
    <w:rsid w:val="00FB17D1"/>
    <w:rsid w:val="00FB184B"/>
    <w:rsid w:val="00FB18B5"/>
    <w:rsid w:val="00FB1A6E"/>
    <w:rsid w:val="00FB1A8F"/>
    <w:rsid w:val="00FB1C5A"/>
    <w:rsid w:val="00FB1C61"/>
    <w:rsid w:val="00FB1CA0"/>
    <w:rsid w:val="00FB1D54"/>
    <w:rsid w:val="00FB1DE8"/>
    <w:rsid w:val="00FB1E68"/>
    <w:rsid w:val="00FB1E6A"/>
    <w:rsid w:val="00FB1FD0"/>
    <w:rsid w:val="00FB2064"/>
    <w:rsid w:val="00FB2245"/>
    <w:rsid w:val="00FB229A"/>
    <w:rsid w:val="00FB22E3"/>
    <w:rsid w:val="00FB23D6"/>
    <w:rsid w:val="00FB245C"/>
    <w:rsid w:val="00FB24B1"/>
    <w:rsid w:val="00FB24BF"/>
    <w:rsid w:val="00FB2529"/>
    <w:rsid w:val="00FB25F9"/>
    <w:rsid w:val="00FB26E1"/>
    <w:rsid w:val="00FB283A"/>
    <w:rsid w:val="00FB2860"/>
    <w:rsid w:val="00FB2973"/>
    <w:rsid w:val="00FB2B67"/>
    <w:rsid w:val="00FB2C17"/>
    <w:rsid w:val="00FB2D18"/>
    <w:rsid w:val="00FB2D19"/>
    <w:rsid w:val="00FB2F6B"/>
    <w:rsid w:val="00FB31F7"/>
    <w:rsid w:val="00FB3246"/>
    <w:rsid w:val="00FB32B5"/>
    <w:rsid w:val="00FB32BC"/>
    <w:rsid w:val="00FB33AF"/>
    <w:rsid w:val="00FB34E7"/>
    <w:rsid w:val="00FB35AD"/>
    <w:rsid w:val="00FB35F8"/>
    <w:rsid w:val="00FB362C"/>
    <w:rsid w:val="00FB3633"/>
    <w:rsid w:val="00FB38F2"/>
    <w:rsid w:val="00FB3946"/>
    <w:rsid w:val="00FB3A76"/>
    <w:rsid w:val="00FB3AEF"/>
    <w:rsid w:val="00FB3B64"/>
    <w:rsid w:val="00FB3BC0"/>
    <w:rsid w:val="00FB3C19"/>
    <w:rsid w:val="00FB3CBF"/>
    <w:rsid w:val="00FB3CF0"/>
    <w:rsid w:val="00FB3E1B"/>
    <w:rsid w:val="00FB3E61"/>
    <w:rsid w:val="00FB3E8D"/>
    <w:rsid w:val="00FB4206"/>
    <w:rsid w:val="00FB42A6"/>
    <w:rsid w:val="00FB42FB"/>
    <w:rsid w:val="00FB43A0"/>
    <w:rsid w:val="00FB445A"/>
    <w:rsid w:val="00FB450B"/>
    <w:rsid w:val="00FB450C"/>
    <w:rsid w:val="00FB4564"/>
    <w:rsid w:val="00FB45BD"/>
    <w:rsid w:val="00FB462D"/>
    <w:rsid w:val="00FB464C"/>
    <w:rsid w:val="00FB47D4"/>
    <w:rsid w:val="00FB4902"/>
    <w:rsid w:val="00FB49B5"/>
    <w:rsid w:val="00FB49D3"/>
    <w:rsid w:val="00FB4BE1"/>
    <w:rsid w:val="00FB4C03"/>
    <w:rsid w:val="00FB4CE7"/>
    <w:rsid w:val="00FB4DA0"/>
    <w:rsid w:val="00FB4F9D"/>
    <w:rsid w:val="00FB510C"/>
    <w:rsid w:val="00FB5168"/>
    <w:rsid w:val="00FB5191"/>
    <w:rsid w:val="00FB52E7"/>
    <w:rsid w:val="00FB5354"/>
    <w:rsid w:val="00FB53A3"/>
    <w:rsid w:val="00FB543A"/>
    <w:rsid w:val="00FB55A7"/>
    <w:rsid w:val="00FB5664"/>
    <w:rsid w:val="00FB57E5"/>
    <w:rsid w:val="00FB5839"/>
    <w:rsid w:val="00FB5849"/>
    <w:rsid w:val="00FB59A1"/>
    <w:rsid w:val="00FB59C7"/>
    <w:rsid w:val="00FB59DF"/>
    <w:rsid w:val="00FB5A07"/>
    <w:rsid w:val="00FB5A87"/>
    <w:rsid w:val="00FB5AEA"/>
    <w:rsid w:val="00FB5C39"/>
    <w:rsid w:val="00FB5D48"/>
    <w:rsid w:val="00FB5D57"/>
    <w:rsid w:val="00FB5D91"/>
    <w:rsid w:val="00FB5DAB"/>
    <w:rsid w:val="00FB5DDE"/>
    <w:rsid w:val="00FB5E43"/>
    <w:rsid w:val="00FB5E8C"/>
    <w:rsid w:val="00FB5EB6"/>
    <w:rsid w:val="00FB5F03"/>
    <w:rsid w:val="00FB5F40"/>
    <w:rsid w:val="00FB5FE2"/>
    <w:rsid w:val="00FB6005"/>
    <w:rsid w:val="00FB6153"/>
    <w:rsid w:val="00FB615B"/>
    <w:rsid w:val="00FB61DE"/>
    <w:rsid w:val="00FB61E7"/>
    <w:rsid w:val="00FB6286"/>
    <w:rsid w:val="00FB6294"/>
    <w:rsid w:val="00FB6406"/>
    <w:rsid w:val="00FB648E"/>
    <w:rsid w:val="00FB6520"/>
    <w:rsid w:val="00FB6538"/>
    <w:rsid w:val="00FB66BF"/>
    <w:rsid w:val="00FB67A8"/>
    <w:rsid w:val="00FB6A49"/>
    <w:rsid w:val="00FB6AE7"/>
    <w:rsid w:val="00FB6B5F"/>
    <w:rsid w:val="00FB6C38"/>
    <w:rsid w:val="00FB6DCE"/>
    <w:rsid w:val="00FB6F60"/>
    <w:rsid w:val="00FB6F90"/>
    <w:rsid w:val="00FB703B"/>
    <w:rsid w:val="00FB708A"/>
    <w:rsid w:val="00FB70EE"/>
    <w:rsid w:val="00FB7179"/>
    <w:rsid w:val="00FB719E"/>
    <w:rsid w:val="00FB720B"/>
    <w:rsid w:val="00FB7271"/>
    <w:rsid w:val="00FB7428"/>
    <w:rsid w:val="00FB7431"/>
    <w:rsid w:val="00FB746D"/>
    <w:rsid w:val="00FB74B9"/>
    <w:rsid w:val="00FB752B"/>
    <w:rsid w:val="00FB758C"/>
    <w:rsid w:val="00FB75D9"/>
    <w:rsid w:val="00FB7657"/>
    <w:rsid w:val="00FB780B"/>
    <w:rsid w:val="00FB789A"/>
    <w:rsid w:val="00FB78CB"/>
    <w:rsid w:val="00FB78CC"/>
    <w:rsid w:val="00FB79E1"/>
    <w:rsid w:val="00FB7A74"/>
    <w:rsid w:val="00FB7ADF"/>
    <w:rsid w:val="00FB7AE3"/>
    <w:rsid w:val="00FB7B9D"/>
    <w:rsid w:val="00FB7C5B"/>
    <w:rsid w:val="00FB7C5C"/>
    <w:rsid w:val="00FB7D4C"/>
    <w:rsid w:val="00FB7E1B"/>
    <w:rsid w:val="00FB7E33"/>
    <w:rsid w:val="00FB7FB4"/>
    <w:rsid w:val="00FC01C0"/>
    <w:rsid w:val="00FC02B1"/>
    <w:rsid w:val="00FC048C"/>
    <w:rsid w:val="00FC051E"/>
    <w:rsid w:val="00FC0534"/>
    <w:rsid w:val="00FC064B"/>
    <w:rsid w:val="00FC0672"/>
    <w:rsid w:val="00FC067F"/>
    <w:rsid w:val="00FC06E9"/>
    <w:rsid w:val="00FC07A2"/>
    <w:rsid w:val="00FC083F"/>
    <w:rsid w:val="00FC0906"/>
    <w:rsid w:val="00FC09D8"/>
    <w:rsid w:val="00FC0A87"/>
    <w:rsid w:val="00FC0A8E"/>
    <w:rsid w:val="00FC0B39"/>
    <w:rsid w:val="00FC0B3B"/>
    <w:rsid w:val="00FC0B6C"/>
    <w:rsid w:val="00FC0C88"/>
    <w:rsid w:val="00FC0C9C"/>
    <w:rsid w:val="00FC0CD9"/>
    <w:rsid w:val="00FC0DBA"/>
    <w:rsid w:val="00FC0FCF"/>
    <w:rsid w:val="00FC12D9"/>
    <w:rsid w:val="00FC136F"/>
    <w:rsid w:val="00FC13A6"/>
    <w:rsid w:val="00FC1410"/>
    <w:rsid w:val="00FC1420"/>
    <w:rsid w:val="00FC1451"/>
    <w:rsid w:val="00FC14D7"/>
    <w:rsid w:val="00FC1681"/>
    <w:rsid w:val="00FC16A0"/>
    <w:rsid w:val="00FC16B1"/>
    <w:rsid w:val="00FC1759"/>
    <w:rsid w:val="00FC1795"/>
    <w:rsid w:val="00FC18C6"/>
    <w:rsid w:val="00FC1A40"/>
    <w:rsid w:val="00FC1BDF"/>
    <w:rsid w:val="00FC1BFD"/>
    <w:rsid w:val="00FC1C22"/>
    <w:rsid w:val="00FC1EF8"/>
    <w:rsid w:val="00FC2065"/>
    <w:rsid w:val="00FC223C"/>
    <w:rsid w:val="00FC226B"/>
    <w:rsid w:val="00FC2299"/>
    <w:rsid w:val="00FC231D"/>
    <w:rsid w:val="00FC236B"/>
    <w:rsid w:val="00FC23DF"/>
    <w:rsid w:val="00FC2517"/>
    <w:rsid w:val="00FC2549"/>
    <w:rsid w:val="00FC2781"/>
    <w:rsid w:val="00FC2785"/>
    <w:rsid w:val="00FC294C"/>
    <w:rsid w:val="00FC2B08"/>
    <w:rsid w:val="00FC2CA6"/>
    <w:rsid w:val="00FC2D93"/>
    <w:rsid w:val="00FC2E9D"/>
    <w:rsid w:val="00FC2F79"/>
    <w:rsid w:val="00FC311D"/>
    <w:rsid w:val="00FC31ED"/>
    <w:rsid w:val="00FC32E0"/>
    <w:rsid w:val="00FC32F4"/>
    <w:rsid w:val="00FC3323"/>
    <w:rsid w:val="00FC333C"/>
    <w:rsid w:val="00FC341B"/>
    <w:rsid w:val="00FC3445"/>
    <w:rsid w:val="00FC34D1"/>
    <w:rsid w:val="00FC35B2"/>
    <w:rsid w:val="00FC36B6"/>
    <w:rsid w:val="00FC3875"/>
    <w:rsid w:val="00FC3A09"/>
    <w:rsid w:val="00FC3AE8"/>
    <w:rsid w:val="00FC3D10"/>
    <w:rsid w:val="00FC3D8F"/>
    <w:rsid w:val="00FC3DE0"/>
    <w:rsid w:val="00FC3F8D"/>
    <w:rsid w:val="00FC3FD3"/>
    <w:rsid w:val="00FC4057"/>
    <w:rsid w:val="00FC408C"/>
    <w:rsid w:val="00FC40F9"/>
    <w:rsid w:val="00FC4118"/>
    <w:rsid w:val="00FC4196"/>
    <w:rsid w:val="00FC41BE"/>
    <w:rsid w:val="00FC42AC"/>
    <w:rsid w:val="00FC42BD"/>
    <w:rsid w:val="00FC42FE"/>
    <w:rsid w:val="00FC4375"/>
    <w:rsid w:val="00FC43B8"/>
    <w:rsid w:val="00FC43BD"/>
    <w:rsid w:val="00FC43CB"/>
    <w:rsid w:val="00FC4489"/>
    <w:rsid w:val="00FC462E"/>
    <w:rsid w:val="00FC4661"/>
    <w:rsid w:val="00FC467C"/>
    <w:rsid w:val="00FC479C"/>
    <w:rsid w:val="00FC4829"/>
    <w:rsid w:val="00FC4830"/>
    <w:rsid w:val="00FC4A45"/>
    <w:rsid w:val="00FC4A96"/>
    <w:rsid w:val="00FC4C95"/>
    <w:rsid w:val="00FC4CE1"/>
    <w:rsid w:val="00FC4D97"/>
    <w:rsid w:val="00FC4E8A"/>
    <w:rsid w:val="00FC4EF3"/>
    <w:rsid w:val="00FC5013"/>
    <w:rsid w:val="00FC509B"/>
    <w:rsid w:val="00FC511C"/>
    <w:rsid w:val="00FC51BF"/>
    <w:rsid w:val="00FC5253"/>
    <w:rsid w:val="00FC52AF"/>
    <w:rsid w:val="00FC53D1"/>
    <w:rsid w:val="00FC545A"/>
    <w:rsid w:val="00FC55C3"/>
    <w:rsid w:val="00FC5651"/>
    <w:rsid w:val="00FC5737"/>
    <w:rsid w:val="00FC57B6"/>
    <w:rsid w:val="00FC586E"/>
    <w:rsid w:val="00FC5944"/>
    <w:rsid w:val="00FC5961"/>
    <w:rsid w:val="00FC5991"/>
    <w:rsid w:val="00FC59B5"/>
    <w:rsid w:val="00FC5A5A"/>
    <w:rsid w:val="00FC5B5C"/>
    <w:rsid w:val="00FC5B64"/>
    <w:rsid w:val="00FC5BB1"/>
    <w:rsid w:val="00FC5E14"/>
    <w:rsid w:val="00FC5EBD"/>
    <w:rsid w:val="00FC5F33"/>
    <w:rsid w:val="00FC5FFF"/>
    <w:rsid w:val="00FC600F"/>
    <w:rsid w:val="00FC6054"/>
    <w:rsid w:val="00FC605D"/>
    <w:rsid w:val="00FC6190"/>
    <w:rsid w:val="00FC628C"/>
    <w:rsid w:val="00FC62AB"/>
    <w:rsid w:val="00FC62BD"/>
    <w:rsid w:val="00FC635C"/>
    <w:rsid w:val="00FC643A"/>
    <w:rsid w:val="00FC645C"/>
    <w:rsid w:val="00FC6471"/>
    <w:rsid w:val="00FC647D"/>
    <w:rsid w:val="00FC6485"/>
    <w:rsid w:val="00FC6624"/>
    <w:rsid w:val="00FC66E6"/>
    <w:rsid w:val="00FC679A"/>
    <w:rsid w:val="00FC68F0"/>
    <w:rsid w:val="00FC6A55"/>
    <w:rsid w:val="00FC6D3F"/>
    <w:rsid w:val="00FC6D81"/>
    <w:rsid w:val="00FC6F8A"/>
    <w:rsid w:val="00FC6FDB"/>
    <w:rsid w:val="00FC7178"/>
    <w:rsid w:val="00FC7185"/>
    <w:rsid w:val="00FC71A4"/>
    <w:rsid w:val="00FC71C7"/>
    <w:rsid w:val="00FC723C"/>
    <w:rsid w:val="00FC738A"/>
    <w:rsid w:val="00FC7569"/>
    <w:rsid w:val="00FC75EC"/>
    <w:rsid w:val="00FC7601"/>
    <w:rsid w:val="00FC76E5"/>
    <w:rsid w:val="00FC783C"/>
    <w:rsid w:val="00FC7872"/>
    <w:rsid w:val="00FC7928"/>
    <w:rsid w:val="00FC7AE3"/>
    <w:rsid w:val="00FC7B34"/>
    <w:rsid w:val="00FC7B5A"/>
    <w:rsid w:val="00FC7C33"/>
    <w:rsid w:val="00FC7CCB"/>
    <w:rsid w:val="00FC7E67"/>
    <w:rsid w:val="00FD00D4"/>
    <w:rsid w:val="00FD0130"/>
    <w:rsid w:val="00FD01C8"/>
    <w:rsid w:val="00FD0396"/>
    <w:rsid w:val="00FD03B3"/>
    <w:rsid w:val="00FD0426"/>
    <w:rsid w:val="00FD05AE"/>
    <w:rsid w:val="00FD05CD"/>
    <w:rsid w:val="00FD06B2"/>
    <w:rsid w:val="00FD06E0"/>
    <w:rsid w:val="00FD0788"/>
    <w:rsid w:val="00FD078E"/>
    <w:rsid w:val="00FD07F1"/>
    <w:rsid w:val="00FD08C7"/>
    <w:rsid w:val="00FD095D"/>
    <w:rsid w:val="00FD0986"/>
    <w:rsid w:val="00FD09ED"/>
    <w:rsid w:val="00FD0CBD"/>
    <w:rsid w:val="00FD0CC7"/>
    <w:rsid w:val="00FD0CFC"/>
    <w:rsid w:val="00FD0E0A"/>
    <w:rsid w:val="00FD0EE0"/>
    <w:rsid w:val="00FD0F9C"/>
    <w:rsid w:val="00FD10A4"/>
    <w:rsid w:val="00FD1206"/>
    <w:rsid w:val="00FD122F"/>
    <w:rsid w:val="00FD134A"/>
    <w:rsid w:val="00FD14AA"/>
    <w:rsid w:val="00FD15FA"/>
    <w:rsid w:val="00FD162A"/>
    <w:rsid w:val="00FD19C8"/>
    <w:rsid w:val="00FD19D3"/>
    <w:rsid w:val="00FD1ABA"/>
    <w:rsid w:val="00FD1B0D"/>
    <w:rsid w:val="00FD1BF7"/>
    <w:rsid w:val="00FD1C55"/>
    <w:rsid w:val="00FD1CD2"/>
    <w:rsid w:val="00FD1DCF"/>
    <w:rsid w:val="00FD1DDC"/>
    <w:rsid w:val="00FD1E50"/>
    <w:rsid w:val="00FD1FDE"/>
    <w:rsid w:val="00FD20BA"/>
    <w:rsid w:val="00FD212B"/>
    <w:rsid w:val="00FD2203"/>
    <w:rsid w:val="00FD2363"/>
    <w:rsid w:val="00FD255F"/>
    <w:rsid w:val="00FD26D2"/>
    <w:rsid w:val="00FD2762"/>
    <w:rsid w:val="00FD277E"/>
    <w:rsid w:val="00FD2794"/>
    <w:rsid w:val="00FD281C"/>
    <w:rsid w:val="00FD28AB"/>
    <w:rsid w:val="00FD2A57"/>
    <w:rsid w:val="00FD2A60"/>
    <w:rsid w:val="00FD2B19"/>
    <w:rsid w:val="00FD2CB0"/>
    <w:rsid w:val="00FD2D47"/>
    <w:rsid w:val="00FD2D7C"/>
    <w:rsid w:val="00FD2E16"/>
    <w:rsid w:val="00FD2EA4"/>
    <w:rsid w:val="00FD2F7A"/>
    <w:rsid w:val="00FD2F87"/>
    <w:rsid w:val="00FD30B2"/>
    <w:rsid w:val="00FD3104"/>
    <w:rsid w:val="00FD3257"/>
    <w:rsid w:val="00FD325F"/>
    <w:rsid w:val="00FD3261"/>
    <w:rsid w:val="00FD33DF"/>
    <w:rsid w:val="00FD34AD"/>
    <w:rsid w:val="00FD34E3"/>
    <w:rsid w:val="00FD35C8"/>
    <w:rsid w:val="00FD37AD"/>
    <w:rsid w:val="00FD38F9"/>
    <w:rsid w:val="00FD3923"/>
    <w:rsid w:val="00FD39AF"/>
    <w:rsid w:val="00FD3A68"/>
    <w:rsid w:val="00FD3A92"/>
    <w:rsid w:val="00FD3B83"/>
    <w:rsid w:val="00FD3C04"/>
    <w:rsid w:val="00FD3DB7"/>
    <w:rsid w:val="00FD3F67"/>
    <w:rsid w:val="00FD400B"/>
    <w:rsid w:val="00FD40E5"/>
    <w:rsid w:val="00FD41BC"/>
    <w:rsid w:val="00FD41CB"/>
    <w:rsid w:val="00FD4325"/>
    <w:rsid w:val="00FD4359"/>
    <w:rsid w:val="00FD4390"/>
    <w:rsid w:val="00FD439B"/>
    <w:rsid w:val="00FD43B9"/>
    <w:rsid w:val="00FD443F"/>
    <w:rsid w:val="00FD464D"/>
    <w:rsid w:val="00FD4768"/>
    <w:rsid w:val="00FD4952"/>
    <w:rsid w:val="00FD496E"/>
    <w:rsid w:val="00FD4AB6"/>
    <w:rsid w:val="00FD4BD4"/>
    <w:rsid w:val="00FD4BFF"/>
    <w:rsid w:val="00FD4E3C"/>
    <w:rsid w:val="00FD4FC2"/>
    <w:rsid w:val="00FD5071"/>
    <w:rsid w:val="00FD5080"/>
    <w:rsid w:val="00FD5271"/>
    <w:rsid w:val="00FD5335"/>
    <w:rsid w:val="00FD5767"/>
    <w:rsid w:val="00FD58CA"/>
    <w:rsid w:val="00FD593D"/>
    <w:rsid w:val="00FD59E6"/>
    <w:rsid w:val="00FD5A25"/>
    <w:rsid w:val="00FD5A6E"/>
    <w:rsid w:val="00FD5ABC"/>
    <w:rsid w:val="00FD5B34"/>
    <w:rsid w:val="00FD5BC8"/>
    <w:rsid w:val="00FD5BE1"/>
    <w:rsid w:val="00FD5BF5"/>
    <w:rsid w:val="00FD5C6E"/>
    <w:rsid w:val="00FD5CA8"/>
    <w:rsid w:val="00FD5CFB"/>
    <w:rsid w:val="00FD5D79"/>
    <w:rsid w:val="00FD5D98"/>
    <w:rsid w:val="00FD5DD1"/>
    <w:rsid w:val="00FD5F13"/>
    <w:rsid w:val="00FD5F22"/>
    <w:rsid w:val="00FD5FCD"/>
    <w:rsid w:val="00FD6030"/>
    <w:rsid w:val="00FD604B"/>
    <w:rsid w:val="00FD6050"/>
    <w:rsid w:val="00FD6106"/>
    <w:rsid w:val="00FD61B9"/>
    <w:rsid w:val="00FD6391"/>
    <w:rsid w:val="00FD63A1"/>
    <w:rsid w:val="00FD63C4"/>
    <w:rsid w:val="00FD655D"/>
    <w:rsid w:val="00FD66AD"/>
    <w:rsid w:val="00FD66B8"/>
    <w:rsid w:val="00FD67E8"/>
    <w:rsid w:val="00FD6859"/>
    <w:rsid w:val="00FD6903"/>
    <w:rsid w:val="00FD69B9"/>
    <w:rsid w:val="00FD6A4E"/>
    <w:rsid w:val="00FD6A91"/>
    <w:rsid w:val="00FD6B01"/>
    <w:rsid w:val="00FD6B35"/>
    <w:rsid w:val="00FD6BC3"/>
    <w:rsid w:val="00FD6BD8"/>
    <w:rsid w:val="00FD6DFB"/>
    <w:rsid w:val="00FD6F7B"/>
    <w:rsid w:val="00FD7011"/>
    <w:rsid w:val="00FD7053"/>
    <w:rsid w:val="00FD72DC"/>
    <w:rsid w:val="00FD735D"/>
    <w:rsid w:val="00FD7407"/>
    <w:rsid w:val="00FD7416"/>
    <w:rsid w:val="00FD741A"/>
    <w:rsid w:val="00FD751F"/>
    <w:rsid w:val="00FD76F4"/>
    <w:rsid w:val="00FD77A4"/>
    <w:rsid w:val="00FD782D"/>
    <w:rsid w:val="00FD785C"/>
    <w:rsid w:val="00FD7915"/>
    <w:rsid w:val="00FD791E"/>
    <w:rsid w:val="00FD7959"/>
    <w:rsid w:val="00FD7A5E"/>
    <w:rsid w:val="00FD7A92"/>
    <w:rsid w:val="00FD7AEE"/>
    <w:rsid w:val="00FD7B02"/>
    <w:rsid w:val="00FD7B51"/>
    <w:rsid w:val="00FD7B67"/>
    <w:rsid w:val="00FD7B84"/>
    <w:rsid w:val="00FD7C78"/>
    <w:rsid w:val="00FD7F0A"/>
    <w:rsid w:val="00FD7F98"/>
    <w:rsid w:val="00FD7FD0"/>
    <w:rsid w:val="00FE0014"/>
    <w:rsid w:val="00FE00A2"/>
    <w:rsid w:val="00FE00A5"/>
    <w:rsid w:val="00FE03B3"/>
    <w:rsid w:val="00FE0524"/>
    <w:rsid w:val="00FE06BC"/>
    <w:rsid w:val="00FE09AA"/>
    <w:rsid w:val="00FE0A2C"/>
    <w:rsid w:val="00FE0B44"/>
    <w:rsid w:val="00FE0CE9"/>
    <w:rsid w:val="00FE0E23"/>
    <w:rsid w:val="00FE0EBC"/>
    <w:rsid w:val="00FE0F59"/>
    <w:rsid w:val="00FE1026"/>
    <w:rsid w:val="00FE10CD"/>
    <w:rsid w:val="00FE10EC"/>
    <w:rsid w:val="00FE112D"/>
    <w:rsid w:val="00FE1135"/>
    <w:rsid w:val="00FE1167"/>
    <w:rsid w:val="00FE1243"/>
    <w:rsid w:val="00FE1274"/>
    <w:rsid w:val="00FE1543"/>
    <w:rsid w:val="00FE16B5"/>
    <w:rsid w:val="00FE170B"/>
    <w:rsid w:val="00FE18D5"/>
    <w:rsid w:val="00FE1964"/>
    <w:rsid w:val="00FE1A4F"/>
    <w:rsid w:val="00FE1A7E"/>
    <w:rsid w:val="00FE1B40"/>
    <w:rsid w:val="00FE1C36"/>
    <w:rsid w:val="00FE1C64"/>
    <w:rsid w:val="00FE1C83"/>
    <w:rsid w:val="00FE1C9B"/>
    <w:rsid w:val="00FE1D05"/>
    <w:rsid w:val="00FE1EEB"/>
    <w:rsid w:val="00FE1F5F"/>
    <w:rsid w:val="00FE1F69"/>
    <w:rsid w:val="00FE2163"/>
    <w:rsid w:val="00FE216A"/>
    <w:rsid w:val="00FE2193"/>
    <w:rsid w:val="00FE2216"/>
    <w:rsid w:val="00FE228D"/>
    <w:rsid w:val="00FE22EE"/>
    <w:rsid w:val="00FE237F"/>
    <w:rsid w:val="00FE249B"/>
    <w:rsid w:val="00FE2557"/>
    <w:rsid w:val="00FE25AE"/>
    <w:rsid w:val="00FE260E"/>
    <w:rsid w:val="00FE2626"/>
    <w:rsid w:val="00FE268F"/>
    <w:rsid w:val="00FE274C"/>
    <w:rsid w:val="00FE27E9"/>
    <w:rsid w:val="00FE288D"/>
    <w:rsid w:val="00FE28BA"/>
    <w:rsid w:val="00FE2A27"/>
    <w:rsid w:val="00FE2B80"/>
    <w:rsid w:val="00FE2D5B"/>
    <w:rsid w:val="00FE2DD3"/>
    <w:rsid w:val="00FE2E61"/>
    <w:rsid w:val="00FE2E99"/>
    <w:rsid w:val="00FE2EB4"/>
    <w:rsid w:val="00FE3028"/>
    <w:rsid w:val="00FE30AA"/>
    <w:rsid w:val="00FE3144"/>
    <w:rsid w:val="00FE327D"/>
    <w:rsid w:val="00FE3292"/>
    <w:rsid w:val="00FE329E"/>
    <w:rsid w:val="00FE32A4"/>
    <w:rsid w:val="00FE32FE"/>
    <w:rsid w:val="00FE343F"/>
    <w:rsid w:val="00FE3495"/>
    <w:rsid w:val="00FE358E"/>
    <w:rsid w:val="00FE3644"/>
    <w:rsid w:val="00FE37C3"/>
    <w:rsid w:val="00FE3846"/>
    <w:rsid w:val="00FE3857"/>
    <w:rsid w:val="00FE389F"/>
    <w:rsid w:val="00FE39AF"/>
    <w:rsid w:val="00FE3A68"/>
    <w:rsid w:val="00FE3ABA"/>
    <w:rsid w:val="00FE3C2E"/>
    <w:rsid w:val="00FE3C9B"/>
    <w:rsid w:val="00FE3CEA"/>
    <w:rsid w:val="00FE3DA5"/>
    <w:rsid w:val="00FE3DAA"/>
    <w:rsid w:val="00FE4036"/>
    <w:rsid w:val="00FE4116"/>
    <w:rsid w:val="00FE411A"/>
    <w:rsid w:val="00FE412C"/>
    <w:rsid w:val="00FE4216"/>
    <w:rsid w:val="00FE4369"/>
    <w:rsid w:val="00FE455B"/>
    <w:rsid w:val="00FE455C"/>
    <w:rsid w:val="00FE4581"/>
    <w:rsid w:val="00FE45E4"/>
    <w:rsid w:val="00FE45FB"/>
    <w:rsid w:val="00FE47F7"/>
    <w:rsid w:val="00FE47F8"/>
    <w:rsid w:val="00FE4811"/>
    <w:rsid w:val="00FE48BE"/>
    <w:rsid w:val="00FE48D7"/>
    <w:rsid w:val="00FE48F0"/>
    <w:rsid w:val="00FE4A49"/>
    <w:rsid w:val="00FE4C2D"/>
    <w:rsid w:val="00FE4CF0"/>
    <w:rsid w:val="00FE4DBA"/>
    <w:rsid w:val="00FE4E14"/>
    <w:rsid w:val="00FE4E6E"/>
    <w:rsid w:val="00FE4E73"/>
    <w:rsid w:val="00FE4E95"/>
    <w:rsid w:val="00FE4EBB"/>
    <w:rsid w:val="00FE4ECC"/>
    <w:rsid w:val="00FE4F1F"/>
    <w:rsid w:val="00FE4FF2"/>
    <w:rsid w:val="00FE517A"/>
    <w:rsid w:val="00FE5228"/>
    <w:rsid w:val="00FE528B"/>
    <w:rsid w:val="00FE54F3"/>
    <w:rsid w:val="00FE55BB"/>
    <w:rsid w:val="00FE55CA"/>
    <w:rsid w:val="00FE569D"/>
    <w:rsid w:val="00FE569E"/>
    <w:rsid w:val="00FE580C"/>
    <w:rsid w:val="00FE5939"/>
    <w:rsid w:val="00FE5A04"/>
    <w:rsid w:val="00FE5AA5"/>
    <w:rsid w:val="00FE5AE0"/>
    <w:rsid w:val="00FE5AE6"/>
    <w:rsid w:val="00FE5D3B"/>
    <w:rsid w:val="00FE5DAC"/>
    <w:rsid w:val="00FE5EA9"/>
    <w:rsid w:val="00FE5EC5"/>
    <w:rsid w:val="00FE5FD1"/>
    <w:rsid w:val="00FE6159"/>
    <w:rsid w:val="00FE618D"/>
    <w:rsid w:val="00FE63BE"/>
    <w:rsid w:val="00FE6437"/>
    <w:rsid w:val="00FE64A4"/>
    <w:rsid w:val="00FE64BC"/>
    <w:rsid w:val="00FE6506"/>
    <w:rsid w:val="00FE6612"/>
    <w:rsid w:val="00FE663B"/>
    <w:rsid w:val="00FE667D"/>
    <w:rsid w:val="00FE66AE"/>
    <w:rsid w:val="00FE66AF"/>
    <w:rsid w:val="00FE66DA"/>
    <w:rsid w:val="00FE6718"/>
    <w:rsid w:val="00FE6834"/>
    <w:rsid w:val="00FE6A19"/>
    <w:rsid w:val="00FE6A69"/>
    <w:rsid w:val="00FE6AF2"/>
    <w:rsid w:val="00FE6BF2"/>
    <w:rsid w:val="00FE6C2F"/>
    <w:rsid w:val="00FE6D99"/>
    <w:rsid w:val="00FE6EA3"/>
    <w:rsid w:val="00FE6EF6"/>
    <w:rsid w:val="00FE7114"/>
    <w:rsid w:val="00FE7368"/>
    <w:rsid w:val="00FE7384"/>
    <w:rsid w:val="00FE73B2"/>
    <w:rsid w:val="00FE7479"/>
    <w:rsid w:val="00FE7563"/>
    <w:rsid w:val="00FE76F6"/>
    <w:rsid w:val="00FE78DC"/>
    <w:rsid w:val="00FE7924"/>
    <w:rsid w:val="00FE7982"/>
    <w:rsid w:val="00FE7A81"/>
    <w:rsid w:val="00FE7B61"/>
    <w:rsid w:val="00FE7BD1"/>
    <w:rsid w:val="00FE7C01"/>
    <w:rsid w:val="00FE7D57"/>
    <w:rsid w:val="00FE7D5A"/>
    <w:rsid w:val="00FE7D96"/>
    <w:rsid w:val="00FE7F76"/>
    <w:rsid w:val="00FE7FDB"/>
    <w:rsid w:val="00FF009B"/>
    <w:rsid w:val="00FF00DF"/>
    <w:rsid w:val="00FF0132"/>
    <w:rsid w:val="00FF015E"/>
    <w:rsid w:val="00FF01B2"/>
    <w:rsid w:val="00FF026E"/>
    <w:rsid w:val="00FF027F"/>
    <w:rsid w:val="00FF02C2"/>
    <w:rsid w:val="00FF02DF"/>
    <w:rsid w:val="00FF03D1"/>
    <w:rsid w:val="00FF0454"/>
    <w:rsid w:val="00FF05AF"/>
    <w:rsid w:val="00FF0640"/>
    <w:rsid w:val="00FF0776"/>
    <w:rsid w:val="00FF09CF"/>
    <w:rsid w:val="00FF0ADF"/>
    <w:rsid w:val="00FF0B26"/>
    <w:rsid w:val="00FF0B77"/>
    <w:rsid w:val="00FF0CEA"/>
    <w:rsid w:val="00FF0D5B"/>
    <w:rsid w:val="00FF0D78"/>
    <w:rsid w:val="00FF0E14"/>
    <w:rsid w:val="00FF0FAD"/>
    <w:rsid w:val="00FF0FB5"/>
    <w:rsid w:val="00FF1092"/>
    <w:rsid w:val="00FF10C4"/>
    <w:rsid w:val="00FF1151"/>
    <w:rsid w:val="00FF1225"/>
    <w:rsid w:val="00FF125A"/>
    <w:rsid w:val="00FF12AA"/>
    <w:rsid w:val="00FF14F1"/>
    <w:rsid w:val="00FF164C"/>
    <w:rsid w:val="00FF17E1"/>
    <w:rsid w:val="00FF1816"/>
    <w:rsid w:val="00FF1849"/>
    <w:rsid w:val="00FF18CE"/>
    <w:rsid w:val="00FF199B"/>
    <w:rsid w:val="00FF1ADB"/>
    <w:rsid w:val="00FF1AEC"/>
    <w:rsid w:val="00FF1B6B"/>
    <w:rsid w:val="00FF1B71"/>
    <w:rsid w:val="00FF1D43"/>
    <w:rsid w:val="00FF1E99"/>
    <w:rsid w:val="00FF1F1C"/>
    <w:rsid w:val="00FF1F83"/>
    <w:rsid w:val="00FF2013"/>
    <w:rsid w:val="00FF21A9"/>
    <w:rsid w:val="00FF226B"/>
    <w:rsid w:val="00FF2533"/>
    <w:rsid w:val="00FF25D9"/>
    <w:rsid w:val="00FF2619"/>
    <w:rsid w:val="00FF26A6"/>
    <w:rsid w:val="00FF26D6"/>
    <w:rsid w:val="00FF28DB"/>
    <w:rsid w:val="00FF2A97"/>
    <w:rsid w:val="00FF2B17"/>
    <w:rsid w:val="00FF2BC8"/>
    <w:rsid w:val="00FF2CB9"/>
    <w:rsid w:val="00FF2DBC"/>
    <w:rsid w:val="00FF2EDC"/>
    <w:rsid w:val="00FF317E"/>
    <w:rsid w:val="00FF319E"/>
    <w:rsid w:val="00FF31D6"/>
    <w:rsid w:val="00FF3580"/>
    <w:rsid w:val="00FF36B8"/>
    <w:rsid w:val="00FF3796"/>
    <w:rsid w:val="00FF38CA"/>
    <w:rsid w:val="00FF3924"/>
    <w:rsid w:val="00FF392F"/>
    <w:rsid w:val="00FF39C0"/>
    <w:rsid w:val="00FF3B67"/>
    <w:rsid w:val="00FF3BCA"/>
    <w:rsid w:val="00FF3C20"/>
    <w:rsid w:val="00FF3F4D"/>
    <w:rsid w:val="00FF3F8C"/>
    <w:rsid w:val="00FF40CE"/>
    <w:rsid w:val="00FF424F"/>
    <w:rsid w:val="00FF42D2"/>
    <w:rsid w:val="00FF4323"/>
    <w:rsid w:val="00FF432F"/>
    <w:rsid w:val="00FF4409"/>
    <w:rsid w:val="00FF4418"/>
    <w:rsid w:val="00FF470E"/>
    <w:rsid w:val="00FF47EC"/>
    <w:rsid w:val="00FF4BBE"/>
    <w:rsid w:val="00FF4E94"/>
    <w:rsid w:val="00FF4F77"/>
    <w:rsid w:val="00FF4FC8"/>
    <w:rsid w:val="00FF5011"/>
    <w:rsid w:val="00FF5034"/>
    <w:rsid w:val="00FF514C"/>
    <w:rsid w:val="00FF5160"/>
    <w:rsid w:val="00FF5291"/>
    <w:rsid w:val="00FF5304"/>
    <w:rsid w:val="00FF53C3"/>
    <w:rsid w:val="00FF5411"/>
    <w:rsid w:val="00FF5439"/>
    <w:rsid w:val="00FF54AF"/>
    <w:rsid w:val="00FF5512"/>
    <w:rsid w:val="00FF5523"/>
    <w:rsid w:val="00FF5537"/>
    <w:rsid w:val="00FF5589"/>
    <w:rsid w:val="00FF55A8"/>
    <w:rsid w:val="00FF5617"/>
    <w:rsid w:val="00FF5706"/>
    <w:rsid w:val="00FF5766"/>
    <w:rsid w:val="00FF57A8"/>
    <w:rsid w:val="00FF5864"/>
    <w:rsid w:val="00FF586F"/>
    <w:rsid w:val="00FF5A07"/>
    <w:rsid w:val="00FF5A49"/>
    <w:rsid w:val="00FF5AC6"/>
    <w:rsid w:val="00FF5B5C"/>
    <w:rsid w:val="00FF5C7C"/>
    <w:rsid w:val="00FF5CAE"/>
    <w:rsid w:val="00FF5CB6"/>
    <w:rsid w:val="00FF5CF3"/>
    <w:rsid w:val="00FF5D62"/>
    <w:rsid w:val="00FF5EF7"/>
    <w:rsid w:val="00FF6072"/>
    <w:rsid w:val="00FF6086"/>
    <w:rsid w:val="00FF60E6"/>
    <w:rsid w:val="00FF60F5"/>
    <w:rsid w:val="00FF6101"/>
    <w:rsid w:val="00FF61CB"/>
    <w:rsid w:val="00FF63F3"/>
    <w:rsid w:val="00FF6535"/>
    <w:rsid w:val="00FF65F4"/>
    <w:rsid w:val="00FF6686"/>
    <w:rsid w:val="00FF6760"/>
    <w:rsid w:val="00FF67F5"/>
    <w:rsid w:val="00FF68D4"/>
    <w:rsid w:val="00FF69BD"/>
    <w:rsid w:val="00FF6BD8"/>
    <w:rsid w:val="00FF6E1F"/>
    <w:rsid w:val="00FF6E5A"/>
    <w:rsid w:val="00FF6EE4"/>
    <w:rsid w:val="00FF6FD2"/>
    <w:rsid w:val="00FF6FEF"/>
    <w:rsid w:val="00FF7003"/>
    <w:rsid w:val="00FF7084"/>
    <w:rsid w:val="00FF70E3"/>
    <w:rsid w:val="00FF7129"/>
    <w:rsid w:val="00FF7138"/>
    <w:rsid w:val="00FF71D5"/>
    <w:rsid w:val="00FF725D"/>
    <w:rsid w:val="00FF7297"/>
    <w:rsid w:val="00FF7300"/>
    <w:rsid w:val="00FF7340"/>
    <w:rsid w:val="00FF73C2"/>
    <w:rsid w:val="00FF73FA"/>
    <w:rsid w:val="00FF7729"/>
    <w:rsid w:val="00FF7770"/>
    <w:rsid w:val="00FF7814"/>
    <w:rsid w:val="00FF7835"/>
    <w:rsid w:val="00FF7837"/>
    <w:rsid w:val="00FF78DC"/>
    <w:rsid w:val="00FF792B"/>
    <w:rsid w:val="00FF7BBE"/>
    <w:rsid w:val="00FF7BBF"/>
    <w:rsid w:val="00FF7C77"/>
    <w:rsid w:val="00FF7C86"/>
    <w:rsid w:val="00FF7E63"/>
    <w:rsid w:val="00FF7EE3"/>
    <w:rsid w:val="010A7F3A"/>
    <w:rsid w:val="010CFD8F"/>
    <w:rsid w:val="0120948A"/>
    <w:rsid w:val="012615FD"/>
    <w:rsid w:val="01308C37"/>
    <w:rsid w:val="013A1A7C"/>
    <w:rsid w:val="013FDC22"/>
    <w:rsid w:val="01421D5C"/>
    <w:rsid w:val="01488A0B"/>
    <w:rsid w:val="014FD193"/>
    <w:rsid w:val="015619F1"/>
    <w:rsid w:val="015B0755"/>
    <w:rsid w:val="015DE007"/>
    <w:rsid w:val="015E4811"/>
    <w:rsid w:val="015EA98F"/>
    <w:rsid w:val="017A369F"/>
    <w:rsid w:val="017F86FF"/>
    <w:rsid w:val="018418B6"/>
    <w:rsid w:val="018D8403"/>
    <w:rsid w:val="018E27E2"/>
    <w:rsid w:val="01936FEA"/>
    <w:rsid w:val="01A02690"/>
    <w:rsid w:val="01A9335F"/>
    <w:rsid w:val="01B239B3"/>
    <w:rsid w:val="01B88B79"/>
    <w:rsid w:val="01D3B295"/>
    <w:rsid w:val="01DA2399"/>
    <w:rsid w:val="01E87F5A"/>
    <w:rsid w:val="02032020"/>
    <w:rsid w:val="020DDEBC"/>
    <w:rsid w:val="021CF1B2"/>
    <w:rsid w:val="021E3C78"/>
    <w:rsid w:val="0223A79D"/>
    <w:rsid w:val="023025BB"/>
    <w:rsid w:val="0237E664"/>
    <w:rsid w:val="023E26E9"/>
    <w:rsid w:val="023F64E3"/>
    <w:rsid w:val="02475F0A"/>
    <w:rsid w:val="024BA8A8"/>
    <w:rsid w:val="0254392B"/>
    <w:rsid w:val="02555895"/>
    <w:rsid w:val="025F45A0"/>
    <w:rsid w:val="0261DA7B"/>
    <w:rsid w:val="026A15DB"/>
    <w:rsid w:val="026D4574"/>
    <w:rsid w:val="026D8F1B"/>
    <w:rsid w:val="028E0E7F"/>
    <w:rsid w:val="028E5258"/>
    <w:rsid w:val="02A4345E"/>
    <w:rsid w:val="02A53F20"/>
    <w:rsid w:val="02AA8F08"/>
    <w:rsid w:val="02AFA48C"/>
    <w:rsid w:val="02C8E033"/>
    <w:rsid w:val="02CD80D4"/>
    <w:rsid w:val="02E7AB23"/>
    <w:rsid w:val="02EBC89D"/>
    <w:rsid w:val="02FBF189"/>
    <w:rsid w:val="032160BC"/>
    <w:rsid w:val="0321F8E2"/>
    <w:rsid w:val="032410C0"/>
    <w:rsid w:val="0324BF3E"/>
    <w:rsid w:val="032752C5"/>
    <w:rsid w:val="0328A628"/>
    <w:rsid w:val="03377A68"/>
    <w:rsid w:val="033ED864"/>
    <w:rsid w:val="03545BDA"/>
    <w:rsid w:val="035C2BBF"/>
    <w:rsid w:val="035CF135"/>
    <w:rsid w:val="0361E669"/>
    <w:rsid w:val="03692385"/>
    <w:rsid w:val="03708B7C"/>
    <w:rsid w:val="0371CA55"/>
    <w:rsid w:val="0383F545"/>
    <w:rsid w:val="038CC4EE"/>
    <w:rsid w:val="03A3FE6E"/>
    <w:rsid w:val="03BA0CD9"/>
    <w:rsid w:val="03BA8CC8"/>
    <w:rsid w:val="03BB7BE7"/>
    <w:rsid w:val="03CD1681"/>
    <w:rsid w:val="03CFAE16"/>
    <w:rsid w:val="03D62E2C"/>
    <w:rsid w:val="03E75B91"/>
    <w:rsid w:val="03FA4C6C"/>
    <w:rsid w:val="0404FFB3"/>
    <w:rsid w:val="0407335E"/>
    <w:rsid w:val="0434E779"/>
    <w:rsid w:val="04486A7E"/>
    <w:rsid w:val="044A5B78"/>
    <w:rsid w:val="044A958D"/>
    <w:rsid w:val="04584D98"/>
    <w:rsid w:val="0462D2E5"/>
    <w:rsid w:val="0465C4B0"/>
    <w:rsid w:val="04715DA9"/>
    <w:rsid w:val="04805B44"/>
    <w:rsid w:val="048B7F7A"/>
    <w:rsid w:val="048DA5DC"/>
    <w:rsid w:val="048DBCF1"/>
    <w:rsid w:val="048F8C7C"/>
    <w:rsid w:val="049322A6"/>
    <w:rsid w:val="049812A4"/>
    <w:rsid w:val="04A02A5A"/>
    <w:rsid w:val="04B1E84F"/>
    <w:rsid w:val="04BB1661"/>
    <w:rsid w:val="04C164B6"/>
    <w:rsid w:val="04C6109B"/>
    <w:rsid w:val="04CCD3CE"/>
    <w:rsid w:val="04DD5D04"/>
    <w:rsid w:val="04E272EF"/>
    <w:rsid w:val="04F35738"/>
    <w:rsid w:val="04F44A13"/>
    <w:rsid w:val="04F8C421"/>
    <w:rsid w:val="04FA4C73"/>
    <w:rsid w:val="04FC209F"/>
    <w:rsid w:val="04FEDC5C"/>
    <w:rsid w:val="050121C6"/>
    <w:rsid w:val="05094122"/>
    <w:rsid w:val="050F33B0"/>
    <w:rsid w:val="051033FB"/>
    <w:rsid w:val="0511570F"/>
    <w:rsid w:val="05150BDE"/>
    <w:rsid w:val="051C44BF"/>
    <w:rsid w:val="052EC67C"/>
    <w:rsid w:val="053B788A"/>
    <w:rsid w:val="053D8C78"/>
    <w:rsid w:val="054D2312"/>
    <w:rsid w:val="05531AB3"/>
    <w:rsid w:val="0557E78F"/>
    <w:rsid w:val="0560323D"/>
    <w:rsid w:val="0560D72E"/>
    <w:rsid w:val="057F8FCE"/>
    <w:rsid w:val="0585AB76"/>
    <w:rsid w:val="05C52737"/>
    <w:rsid w:val="05CFD21C"/>
    <w:rsid w:val="05D20723"/>
    <w:rsid w:val="05D2E6FB"/>
    <w:rsid w:val="05D68A1E"/>
    <w:rsid w:val="05DB1308"/>
    <w:rsid w:val="05DB1B21"/>
    <w:rsid w:val="05E7B73A"/>
    <w:rsid w:val="05E89034"/>
    <w:rsid w:val="05FE429C"/>
    <w:rsid w:val="0606E9D9"/>
    <w:rsid w:val="0611FFF0"/>
    <w:rsid w:val="0639F87F"/>
    <w:rsid w:val="063DBE65"/>
    <w:rsid w:val="065E5944"/>
    <w:rsid w:val="065FFB39"/>
    <w:rsid w:val="066629E0"/>
    <w:rsid w:val="0666E10D"/>
    <w:rsid w:val="066D19C7"/>
    <w:rsid w:val="06712D50"/>
    <w:rsid w:val="067D552B"/>
    <w:rsid w:val="0682E2AD"/>
    <w:rsid w:val="06A15C89"/>
    <w:rsid w:val="06B8886B"/>
    <w:rsid w:val="06BABE00"/>
    <w:rsid w:val="06BEAF85"/>
    <w:rsid w:val="06C8D89B"/>
    <w:rsid w:val="06CD3895"/>
    <w:rsid w:val="06D3E0DE"/>
    <w:rsid w:val="06D73E21"/>
    <w:rsid w:val="06FCA768"/>
    <w:rsid w:val="06FDA387"/>
    <w:rsid w:val="07021D3C"/>
    <w:rsid w:val="07038F90"/>
    <w:rsid w:val="07085299"/>
    <w:rsid w:val="071ED0B6"/>
    <w:rsid w:val="0721CA68"/>
    <w:rsid w:val="0728FBE1"/>
    <w:rsid w:val="0748678C"/>
    <w:rsid w:val="0749244A"/>
    <w:rsid w:val="0749528A"/>
    <w:rsid w:val="074C0093"/>
    <w:rsid w:val="075BA723"/>
    <w:rsid w:val="075D816B"/>
    <w:rsid w:val="075E7430"/>
    <w:rsid w:val="0760AD7D"/>
    <w:rsid w:val="076414FB"/>
    <w:rsid w:val="077FBF03"/>
    <w:rsid w:val="078512C2"/>
    <w:rsid w:val="07873E6C"/>
    <w:rsid w:val="079D2B06"/>
    <w:rsid w:val="07A57247"/>
    <w:rsid w:val="07B2E42F"/>
    <w:rsid w:val="07C6FB05"/>
    <w:rsid w:val="07C934D0"/>
    <w:rsid w:val="07CAC368"/>
    <w:rsid w:val="07CF6916"/>
    <w:rsid w:val="07E16075"/>
    <w:rsid w:val="07E4F93B"/>
    <w:rsid w:val="07F3FDCB"/>
    <w:rsid w:val="07F54C81"/>
    <w:rsid w:val="07F82D4A"/>
    <w:rsid w:val="07FAC3E8"/>
    <w:rsid w:val="07FE536D"/>
    <w:rsid w:val="0812588E"/>
    <w:rsid w:val="0816875D"/>
    <w:rsid w:val="081E03FC"/>
    <w:rsid w:val="08212F2A"/>
    <w:rsid w:val="0821EA14"/>
    <w:rsid w:val="08233D26"/>
    <w:rsid w:val="082DB910"/>
    <w:rsid w:val="083C24EB"/>
    <w:rsid w:val="0841FFC1"/>
    <w:rsid w:val="08479CD9"/>
    <w:rsid w:val="084F65FC"/>
    <w:rsid w:val="084FA897"/>
    <w:rsid w:val="0859FA2C"/>
    <w:rsid w:val="085E303E"/>
    <w:rsid w:val="0868BED1"/>
    <w:rsid w:val="086A248F"/>
    <w:rsid w:val="086C0CFC"/>
    <w:rsid w:val="086C82BD"/>
    <w:rsid w:val="0878723C"/>
    <w:rsid w:val="087C25E0"/>
    <w:rsid w:val="0894371C"/>
    <w:rsid w:val="0895006C"/>
    <w:rsid w:val="08951B6C"/>
    <w:rsid w:val="0898DE2F"/>
    <w:rsid w:val="089C54AA"/>
    <w:rsid w:val="089F4012"/>
    <w:rsid w:val="08B5C8C1"/>
    <w:rsid w:val="08C253A1"/>
    <w:rsid w:val="08E43D03"/>
    <w:rsid w:val="08E52438"/>
    <w:rsid w:val="08ED702A"/>
    <w:rsid w:val="0908B99F"/>
    <w:rsid w:val="0908DA54"/>
    <w:rsid w:val="091C7228"/>
    <w:rsid w:val="093AA361"/>
    <w:rsid w:val="093C9C94"/>
    <w:rsid w:val="094A4000"/>
    <w:rsid w:val="09572618"/>
    <w:rsid w:val="09584BFA"/>
    <w:rsid w:val="095CA626"/>
    <w:rsid w:val="096693C9"/>
    <w:rsid w:val="0968B3BA"/>
    <w:rsid w:val="0971A10E"/>
    <w:rsid w:val="0973D8B9"/>
    <w:rsid w:val="097E67D8"/>
    <w:rsid w:val="098928E9"/>
    <w:rsid w:val="098997B0"/>
    <w:rsid w:val="098A2350"/>
    <w:rsid w:val="09969449"/>
    <w:rsid w:val="099E80E1"/>
    <w:rsid w:val="09AC78D2"/>
    <w:rsid w:val="09AC7C82"/>
    <w:rsid w:val="09B30CE7"/>
    <w:rsid w:val="09B8A900"/>
    <w:rsid w:val="09BCFF8B"/>
    <w:rsid w:val="09C8559B"/>
    <w:rsid w:val="09CDC585"/>
    <w:rsid w:val="09CE4EA2"/>
    <w:rsid w:val="09CED16D"/>
    <w:rsid w:val="09E15987"/>
    <w:rsid w:val="09E67E91"/>
    <w:rsid w:val="09E7C369"/>
    <w:rsid w:val="09FEB165"/>
    <w:rsid w:val="09FF8827"/>
    <w:rsid w:val="0A078088"/>
    <w:rsid w:val="0A0B8D63"/>
    <w:rsid w:val="0A10DFAC"/>
    <w:rsid w:val="0A151458"/>
    <w:rsid w:val="0A250C0C"/>
    <w:rsid w:val="0A29FCDD"/>
    <w:rsid w:val="0A2E0747"/>
    <w:rsid w:val="0A33D0AB"/>
    <w:rsid w:val="0A3674F8"/>
    <w:rsid w:val="0A3BF867"/>
    <w:rsid w:val="0A3F7793"/>
    <w:rsid w:val="0A438DB2"/>
    <w:rsid w:val="0A43A996"/>
    <w:rsid w:val="0A635006"/>
    <w:rsid w:val="0A6CE2FB"/>
    <w:rsid w:val="0A6D6792"/>
    <w:rsid w:val="0A8433CE"/>
    <w:rsid w:val="0A85A0FD"/>
    <w:rsid w:val="0A993B24"/>
    <w:rsid w:val="0A9B9213"/>
    <w:rsid w:val="0A9EEB51"/>
    <w:rsid w:val="0AADD63B"/>
    <w:rsid w:val="0AB1DCA7"/>
    <w:rsid w:val="0AB2766B"/>
    <w:rsid w:val="0ACAD7D3"/>
    <w:rsid w:val="0AD14E99"/>
    <w:rsid w:val="0AD714D0"/>
    <w:rsid w:val="0ADBA2F6"/>
    <w:rsid w:val="0AE09F2D"/>
    <w:rsid w:val="0AF0D8BD"/>
    <w:rsid w:val="0AFA7C9E"/>
    <w:rsid w:val="0B0DF3DA"/>
    <w:rsid w:val="0B112F88"/>
    <w:rsid w:val="0B185E38"/>
    <w:rsid w:val="0B372AF4"/>
    <w:rsid w:val="0B3A3BB2"/>
    <w:rsid w:val="0B464293"/>
    <w:rsid w:val="0B4EDD48"/>
    <w:rsid w:val="0B53029B"/>
    <w:rsid w:val="0B567A1B"/>
    <w:rsid w:val="0B5EB2B9"/>
    <w:rsid w:val="0B683F31"/>
    <w:rsid w:val="0B6D5A77"/>
    <w:rsid w:val="0B7A53FB"/>
    <w:rsid w:val="0B853F55"/>
    <w:rsid w:val="0B8F77BA"/>
    <w:rsid w:val="0B92E8AC"/>
    <w:rsid w:val="0B9342B7"/>
    <w:rsid w:val="0B954B1D"/>
    <w:rsid w:val="0B95CA76"/>
    <w:rsid w:val="0B95CE6E"/>
    <w:rsid w:val="0B9B75E4"/>
    <w:rsid w:val="0BA7E7EB"/>
    <w:rsid w:val="0BA80F7B"/>
    <w:rsid w:val="0BAACBEA"/>
    <w:rsid w:val="0BAF9C11"/>
    <w:rsid w:val="0BB0932E"/>
    <w:rsid w:val="0BB7A8BD"/>
    <w:rsid w:val="0BBCCC30"/>
    <w:rsid w:val="0BBE08F1"/>
    <w:rsid w:val="0BBE20A4"/>
    <w:rsid w:val="0BC25C37"/>
    <w:rsid w:val="0BE7DF3B"/>
    <w:rsid w:val="0BE90E17"/>
    <w:rsid w:val="0BEBECDE"/>
    <w:rsid w:val="0BF40480"/>
    <w:rsid w:val="0BFF399B"/>
    <w:rsid w:val="0C027084"/>
    <w:rsid w:val="0C053B5D"/>
    <w:rsid w:val="0C091CB4"/>
    <w:rsid w:val="0C1E92E5"/>
    <w:rsid w:val="0C1FBA53"/>
    <w:rsid w:val="0C20E02D"/>
    <w:rsid w:val="0C29A4AA"/>
    <w:rsid w:val="0C2EBB72"/>
    <w:rsid w:val="0C3476FB"/>
    <w:rsid w:val="0C39A9F3"/>
    <w:rsid w:val="0C429541"/>
    <w:rsid w:val="0C460D4F"/>
    <w:rsid w:val="0C4F766C"/>
    <w:rsid w:val="0C5567A8"/>
    <w:rsid w:val="0C5C0058"/>
    <w:rsid w:val="0C6BF1FA"/>
    <w:rsid w:val="0C712904"/>
    <w:rsid w:val="0C7F0A9E"/>
    <w:rsid w:val="0C8D3C89"/>
    <w:rsid w:val="0C9E348B"/>
    <w:rsid w:val="0CAB717E"/>
    <w:rsid w:val="0CAB969D"/>
    <w:rsid w:val="0CB183CF"/>
    <w:rsid w:val="0CB90B73"/>
    <w:rsid w:val="0CCED532"/>
    <w:rsid w:val="0CCF23C7"/>
    <w:rsid w:val="0CD62A45"/>
    <w:rsid w:val="0CDBD7D7"/>
    <w:rsid w:val="0CE74D27"/>
    <w:rsid w:val="0CF4527D"/>
    <w:rsid w:val="0CF70D57"/>
    <w:rsid w:val="0CF8253A"/>
    <w:rsid w:val="0CFB7993"/>
    <w:rsid w:val="0CFC38BA"/>
    <w:rsid w:val="0D02E48C"/>
    <w:rsid w:val="0D0F1BC2"/>
    <w:rsid w:val="0D1FAF4D"/>
    <w:rsid w:val="0D21736A"/>
    <w:rsid w:val="0D2F0E9F"/>
    <w:rsid w:val="0D32D6DD"/>
    <w:rsid w:val="0D3F0C9A"/>
    <w:rsid w:val="0D403879"/>
    <w:rsid w:val="0D40F506"/>
    <w:rsid w:val="0D4DD519"/>
    <w:rsid w:val="0D570A24"/>
    <w:rsid w:val="0D5E8905"/>
    <w:rsid w:val="0D698868"/>
    <w:rsid w:val="0D70EA5B"/>
    <w:rsid w:val="0D7E96C3"/>
    <w:rsid w:val="0D8F6AD6"/>
    <w:rsid w:val="0D92310D"/>
    <w:rsid w:val="0D9679A4"/>
    <w:rsid w:val="0D9D545D"/>
    <w:rsid w:val="0D9DBF98"/>
    <w:rsid w:val="0D9E18A8"/>
    <w:rsid w:val="0DA3F0A1"/>
    <w:rsid w:val="0DA5C29B"/>
    <w:rsid w:val="0DA7D892"/>
    <w:rsid w:val="0DC091C9"/>
    <w:rsid w:val="0DC1D13F"/>
    <w:rsid w:val="0DC48B64"/>
    <w:rsid w:val="0DD5A241"/>
    <w:rsid w:val="0DDF49CC"/>
    <w:rsid w:val="0DEAD6EF"/>
    <w:rsid w:val="0DF29CA3"/>
    <w:rsid w:val="0DF486FE"/>
    <w:rsid w:val="0DFE3E97"/>
    <w:rsid w:val="0E0291E7"/>
    <w:rsid w:val="0E0492A2"/>
    <w:rsid w:val="0E0BFA33"/>
    <w:rsid w:val="0E0F2918"/>
    <w:rsid w:val="0E157006"/>
    <w:rsid w:val="0E164A66"/>
    <w:rsid w:val="0E388A0D"/>
    <w:rsid w:val="0E3B89B5"/>
    <w:rsid w:val="0E460F84"/>
    <w:rsid w:val="0E4B72D7"/>
    <w:rsid w:val="0E5357BD"/>
    <w:rsid w:val="0E53E823"/>
    <w:rsid w:val="0E572531"/>
    <w:rsid w:val="0E58CA95"/>
    <w:rsid w:val="0E5A891A"/>
    <w:rsid w:val="0E5B9519"/>
    <w:rsid w:val="0E5D18A6"/>
    <w:rsid w:val="0E69A939"/>
    <w:rsid w:val="0E6D0F83"/>
    <w:rsid w:val="0E7247C8"/>
    <w:rsid w:val="0E800268"/>
    <w:rsid w:val="0E841419"/>
    <w:rsid w:val="0E8F2A99"/>
    <w:rsid w:val="0E908086"/>
    <w:rsid w:val="0E9EDBBF"/>
    <w:rsid w:val="0EA3FD5C"/>
    <w:rsid w:val="0EBB2F87"/>
    <w:rsid w:val="0EBC3D14"/>
    <w:rsid w:val="0ED0EF16"/>
    <w:rsid w:val="0EF84D8C"/>
    <w:rsid w:val="0F038948"/>
    <w:rsid w:val="0F0B150B"/>
    <w:rsid w:val="0F0DB9A6"/>
    <w:rsid w:val="0F1CF6AE"/>
    <w:rsid w:val="0F1D73C4"/>
    <w:rsid w:val="0F34C6AA"/>
    <w:rsid w:val="0F371BF6"/>
    <w:rsid w:val="0F4A429B"/>
    <w:rsid w:val="0F540BCA"/>
    <w:rsid w:val="0F601E65"/>
    <w:rsid w:val="0F619F78"/>
    <w:rsid w:val="0F7287C7"/>
    <w:rsid w:val="0F7A1C26"/>
    <w:rsid w:val="0F7CA21B"/>
    <w:rsid w:val="0F80798D"/>
    <w:rsid w:val="0F8E3051"/>
    <w:rsid w:val="0FAC4803"/>
    <w:rsid w:val="0FB258DD"/>
    <w:rsid w:val="0FBDF614"/>
    <w:rsid w:val="0FCB1216"/>
    <w:rsid w:val="0FCB2E84"/>
    <w:rsid w:val="0FCE885F"/>
    <w:rsid w:val="0FD62A18"/>
    <w:rsid w:val="0FE989B8"/>
    <w:rsid w:val="0FED53B7"/>
    <w:rsid w:val="0FF66E16"/>
    <w:rsid w:val="100979EA"/>
    <w:rsid w:val="1009D6E3"/>
    <w:rsid w:val="101B9A89"/>
    <w:rsid w:val="102F1331"/>
    <w:rsid w:val="10374B5C"/>
    <w:rsid w:val="10385A69"/>
    <w:rsid w:val="103AAEC7"/>
    <w:rsid w:val="1041539E"/>
    <w:rsid w:val="104261CB"/>
    <w:rsid w:val="104933EA"/>
    <w:rsid w:val="104E2F86"/>
    <w:rsid w:val="10501827"/>
    <w:rsid w:val="1051836F"/>
    <w:rsid w:val="1054FE31"/>
    <w:rsid w:val="10552FB8"/>
    <w:rsid w:val="105951ED"/>
    <w:rsid w:val="105E6022"/>
    <w:rsid w:val="106675A8"/>
    <w:rsid w:val="1079D195"/>
    <w:rsid w:val="107AE1CB"/>
    <w:rsid w:val="108D750E"/>
    <w:rsid w:val="109150C7"/>
    <w:rsid w:val="1091EFB0"/>
    <w:rsid w:val="109F0872"/>
    <w:rsid w:val="10A6BBEC"/>
    <w:rsid w:val="10AD2AE6"/>
    <w:rsid w:val="10AE73CB"/>
    <w:rsid w:val="10AFC35F"/>
    <w:rsid w:val="10BD8B20"/>
    <w:rsid w:val="10C21F68"/>
    <w:rsid w:val="10C2DD77"/>
    <w:rsid w:val="10CCBEE8"/>
    <w:rsid w:val="10D6CEB5"/>
    <w:rsid w:val="10E1B57E"/>
    <w:rsid w:val="10FB60CF"/>
    <w:rsid w:val="1120F518"/>
    <w:rsid w:val="112113AE"/>
    <w:rsid w:val="112AE92D"/>
    <w:rsid w:val="112FBC5E"/>
    <w:rsid w:val="11337DC5"/>
    <w:rsid w:val="11392E6F"/>
    <w:rsid w:val="113CBFA5"/>
    <w:rsid w:val="113D6C5B"/>
    <w:rsid w:val="1149A09D"/>
    <w:rsid w:val="114C76ED"/>
    <w:rsid w:val="1151BDDC"/>
    <w:rsid w:val="11547E12"/>
    <w:rsid w:val="11598129"/>
    <w:rsid w:val="115FF048"/>
    <w:rsid w:val="1162CB13"/>
    <w:rsid w:val="1163ED8A"/>
    <w:rsid w:val="116EC378"/>
    <w:rsid w:val="1171B3E9"/>
    <w:rsid w:val="11802A50"/>
    <w:rsid w:val="118B4729"/>
    <w:rsid w:val="1194D08E"/>
    <w:rsid w:val="119505E2"/>
    <w:rsid w:val="119BD2A4"/>
    <w:rsid w:val="119EA678"/>
    <w:rsid w:val="11A2022E"/>
    <w:rsid w:val="11CAF7A1"/>
    <w:rsid w:val="11CE2ABC"/>
    <w:rsid w:val="11D5BD4B"/>
    <w:rsid w:val="11DED505"/>
    <w:rsid w:val="11E93C16"/>
    <w:rsid w:val="11E94330"/>
    <w:rsid w:val="11F2CC6B"/>
    <w:rsid w:val="120A04AE"/>
    <w:rsid w:val="1211CFC3"/>
    <w:rsid w:val="121E4715"/>
    <w:rsid w:val="12303007"/>
    <w:rsid w:val="123575C7"/>
    <w:rsid w:val="12361487"/>
    <w:rsid w:val="123D9A22"/>
    <w:rsid w:val="1241AF63"/>
    <w:rsid w:val="125303D9"/>
    <w:rsid w:val="12640B9B"/>
    <w:rsid w:val="127416D0"/>
    <w:rsid w:val="1282A0FE"/>
    <w:rsid w:val="1293A04E"/>
    <w:rsid w:val="1298499E"/>
    <w:rsid w:val="12A847E9"/>
    <w:rsid w:val="12ACB1A6"/>
    <w:rsid w:val="12B26CED"/>
    <w:rsid w:val="12B30955"/>
    <w:rsid w:val="12B47238"/>
    <w:rsid w:val="12CD3218"/>
    <w:rsid w:val="12D47321"/>
    <w:rsid w:val="12D49A8B"/>
    <w:rsid w:val="12D5C55A"/>
    <w:rsid w:val="12D66F6E"/>
    <w:rsid w:val="12D87B5C"/>
    <w:rsid w:val="12E1D89A"/>
    <w:rsid w:val="12E6F3A0"/>
    <w:rsid w:val="12EBB112"/>
    <w:rsid w:val="12F13CD9"/>
    <w:rsid w:val="12F7FC2C"/>
    <w:rsid w:val="12F974D7"/>
    <w:rsid w:val="130640B0"/>
    <w:rsid w:val="130D7652"/>
    <w:rsid w:val="131B15B3"/>
    <w:rsid w:val="131EB1A9"/>
    <w:rsid w:val="1321D405"/>
    <w:rsid w:val="13311C04"/>
    <w:rsid w:val="13456415"/>
    <w:rsid w:val="134C65EA"/>
    <w:rsid w:val="134F6F10"/>
    <w:rsid w:val="1351CA68"/>
    <w:rsid w:val="1352FB5B"/>
    <w:rsid w:val="135AA2AF"/>
    <w:rsid w:val="1361AFDA"/>
    <w:rsid w:val="136D43AF"/>
    <w:rsid w:val="136E326C"/>
    <w:rsid w:val="137EAF4D"/>
    <w:rsid w:val="1387DCEA"/>
    <w:rsid w:val="138AE187"/>
    <w:rsid w:val="13A5F935"/>
    <w:rsid w:val="13AC2FFA"/>
    <w:rsid w:val="13B199BF"/>
    <w:rsid w:val="13B3F4E5"/>
    <w:rsid w:val="13DA5956"/>
    <w:rsid w:val="13E71E53"/>
    <w:rsid w:val="13F0CB8C"/>
    <w:rsid w:val="14249936"/>
    <w:rsid w:val="143E2C01"/>
    <w:rsid w:val="143F8173"/>
    <w:rsid w:val="1443BD75"/>
    <w:rsid w:val="1445DB4E"/>
    <w:rsid w:val="144AD057"/>
    <w:rsid w:val="1456D97F"/>
    <w:rsid w:val="146E5A07"/>
    <w:rsid w:val="1472BCB3"/>
    <w:rsid w:val="147341AC"/>
    <w:rsid w:val="147CDAB1"/>
    <w:rsid w:val="14870A51"/>
    <w:rsid w:val="1494BD84"/>
    <w:rsid w:val="149CCF08"/>
    <w:rsid w:val="149D1587"/>
    <w:rsid w:val="14A21111"/>
    <w:rsid w:val="14A71B76"/>
    <w:rsid w:val="14A7221F"/>
    <w:rsid w:val="14AB2461"/>
    <w:rsid w:val="14AC5594"/>
    <w:rsid w:val="14C332B5"/>
    <w:rsid w:val="14C80C19"/>
    <w:rsid w:val="14CFF99F"/>
    <w:rsid w:val="14D83D6E"/>
    <w:rsid w:val="14E2E065"/>
    <w:rsid w:val="14E825D8"/>
    <w:rsid w:val="14F26F4D"/>
    <w:rsid w:val="14F86A7D"/>
    <w:rsid w:val="14FE48F1"/>
    <w:rsid w:val="14FE6A7E"/>
    <w:rsid w:val="1501EFD4"/>
    <w:rsid w:val="150CACE5"/>
    <w:rsid w:val="151094F9"/>
    <w:rsid w:val="151E99DF"/>
    <w:rsid w:val="151ED991"/>
    <w:rsid w:val="152ACE1B"/>
    <w:rsid w:val="15414AC6"/>
    <w:rsid w:val="1543F510"/>
    <w:rsid w:val="15474EE7"/>
    <w:rsid w:val="1556162D"/>
    <w:rsid w:val="155A11FB"/>
    <w:rsid w:val="15641447"/>
    <w:rsid w:val="156B55AC"/>
    <w:rsid w:val="156E8A5F"/>
    <w:rsid w:val="157C5FE0"/>
    <w:rsid w:val="157F166E"/>
    <w:rsid w:val="15847B28"/>
    <w:rsid w:val="158AA8BE"/>
    <w:rsid w:val="158B7478"/>
    <w:rsid w:val="158C911B"/>
    <w:rsid w:val="159485A3"/>
    <w:rsid w:val="1596739F"/>
    <w:rsid w:val="15C098A0"/>
    <w:rsid w:val="15C8BBE8"/>
    <w:rsid w:val="15D3DB35"/>
    <w:rsid w:val="15DB2BD4"/>
    <w:rsid w:val="15F704AA"/>
    <w:rsid w:val="15FB8F2B"/>
    <w:rsid w:val="15FDFE74"/>
    <w:rsid w:val="160059E2"/>
    <w:rsid w:val="1605DFE2"/>
    <w:rsid w:val="160F90FF"/>
    <w:rsid w:val="161904BB"/>
    <w:rsid w:val="161B62E5"/>
    <w:rsid w:val="162296CE"/>
    <w:rsid w:val="16242226"/>
    <w:rsid w:val="16292293"/>
    <w:rsid w:val="162C7ACE"/>
    <w:rsid w:val="162D6CBE"/>
    <w:rsid w:val="162EE250"/>
    <w:rsid w:val="16310310"/>
    <w:rsid w:val="16350FE9"/>
    <w:rsid w:val="163E91CA"/>
    <w:rsid w:val="16451714"/>
    <w:rsid w:val="16494D7E"/>
    <w:rsid w:val="166086FC"/>
    <w:rsid w:val="1668C869"/>
    <w:rsid w:val="166BF2BA"/>
    <w:rsid w:val="166CF93A"/>
    <w:rsid w:val="16703689"/>
    <w:rsid w:val="16708A42"/>
    <w:rsid w:val="167609CD"/>
    <w:rsid w:val="1686112B"/>
    <w:rsid w:val="1686C6B7"/>
    <w:rsid w:val="168859E1"/>
    <w:rsid w:val="1688B3B8"/>
    <w:rsid w:val="16A115E9"/>
    <w:rsid w:val="16C0C4A7"/>
    <w:rsid w:val="16C995BA"/>
    <w:rsid w:val="16E8DDE4"/>
    <w:rsid w:val="16E8F356"/>
    <w:rsid w:val="16EFFAEA"/>
    <w:rsid w:val="16F5B3CC"/>
    <w:rsid w:val="16F6968E"/>
    <w:rsid w:val="16FB2735"/>
    <w:rsid w:val="16FC59C1"/>
    <w:rsid w:val="16FCF32C"/>
    <w:rsid w:val="16FD1380"/>
    <w:rsid w:val="16FDEC6A"/>
    <w:rsid w:val="17058522"/>
    <w:rsid w:val="170A32C3"/>
    <w:rsid w:val="17101B8C"/>
    <w:rsid w:val="17110DFF"/>
    <w:rsid w:val="171C8C74"/>
    <w:rsid w:val="171E3022"/>
    <w:rsid w:val="172C2E3E"/>
    <w:rsid w:val="173361BC"/>
    <w:rsid w:val="1739334D"/>
    <w:rsid w:val="173B5F25"/>
    <w:rsid w:val="174CAA5E"/>
    <w:rsid w:val="1761DE0B"/>
    <w:rsid w:val="1761E7CE"/>
    <w:rsid w:val="177A398E"/>
    <w:rsid w:val="17820DB6"/>
    <w:rsid w:val="17834677"/>
    <w:rsid w:val="17925043"/>
    <w:rsid w:val="179CD3C5"/>
    <w:rsid w:val="179F2EC1"/>
    <w:rsid w:val="17A0E256"/>
    <w:rsid w:val="17A22860"/>
    <w:rsid w:val="17A68F49"/>
    <w:rsid w:val="17B4275C"/>
    <w:rsid w:val="17C48B93"/>
    <w:rsid w:val="17CA0307"/>
    <w:rsid w:val="17E8D4B8"/>
    <w:rsid w:val="17FC3E53"/>
    <w:rsid w:val="1807016D"/>
    <w:rsid w:val="18079A61"/>
    <w:rsid w:val="180B7041"/>
    <w:rsid w:val="180D0F4D"/>
    <w:rsid w:val="180E7100"/>
    <w:rsid w:val="181301AE"/>
    <w:rsid w:val="1826678E"/>
    <w:rsid w:val="1828AB57"/>
    <w:rsid w:val="183251F2"/>
    <w:rsid w:val="1832CD57"/>
    <w:rsid w:val="18333D26"/>
    <w:rsid w:val="1840C33F"/>
    <w:rsid w:val="18445F4A"/>
    <w:rsid w:val="185FF370"/>
    <w:rsid w:val="18729967"/>
    <w:rsid w:val="1875A848"/>
    <w:rsid w:val="187F777D"/>
    <w:rsid w:val="18813EEA"/>
    <w:rsid w:val="1889ACC7"/>
    <w:rsid w:val="188B30AE"/>
    <w:rsid w:val="18955B72"/>
    <w:rsid w:val="189BB509"/>
    <w:rsid w:val="18A2127F"/>
    <w:rsid w:val="18A9CFF3"/>
    <w:rsid w:val="18AF3E2E"/>
    <w:rsid w:val="18B6D763"/>
    <w:rsid w:val="18C20179"/>
    <w:rsid w:val="18CE37DE"/>
    <w:rsid w:val="18CFB8B5"/>
    <w:rsid w:val="18D42435"/>
    <w:rsid w:val="18E180D9"/>
    <w:rsid w:val="18E5BC13"/>
    <w:rsid w:val="18EC7DB8"/>
    <w:rsid w:val="18FB54DB"/>
    <w:rsid w:val="18FF3EA9"/>
    <w:rsid w:val="193E31EC"/>
    <w:rsid w:val="19407778"/>
    <w:rsid w:val="194C3C1C"/>
    <w:rsid w:val="19516BC2"/>
    <w:rsid w:val="196084CE"/>
    <w:rsid w:val="1960D1BB"/>
    <w:rsid w:val="196411C1"/>
    <w:rsid w:val="19718DF2"/>
    <w:rsid w:val="1974569A"/>
    <w:rsid w:val="197DEB82"/>
    <w:rsid w:val="197E54F5"/>
    <w:rsid w:val="1983E95E"/>
    <w:rsid w:val="19903C59"/>
    <w:rsid w:val="1994C342"/>
    <w:rsid w:val="199EF09D"/>
    <w:rsid w:val="199F2628"/>
    <w:rsid w:val="19A7122D"/>
    <w:rsid w:val="19AED20F"/>
    <w:rsid w:val="19CF0114"/>
    <w:rsid w:val="19E42605"/>
    <w:rsid w:val="19E9FCFC"/>
    <w:rsid w:val="19EA9474"/>
    <w:rsid w:val="19F6FF11"/>
    <w:rsid w:val="19FF4374"/>
    <w:rsid w:val="1A0644CE"/>
    <w:rsid w:val="1A09482A"/>
    <w:rsid w:val="1A0C8825"/>
    <w:rsid w:val="1A1813A8"/>
    <w:rsid w:val="1A18E638"/>
    <w:rsid w:val="1A1B3842"/>
    <w:rsid w:val="1A27B358"/>
    <w:rsid w:val="1A2F0FFE"/>
    <w:rsid w:val="1A33E440"/>
    <w:rsid w:val="1A358EF4"/>
    <w:rsid w:val="1A3A7F45"/>
    <w:rsid w:val="1A42C56D"/>
    <w:rsid w:val="1A4BC881"/>
    <w:rsid w:val="1A4E753C"/>
    <w:rsid w:val="1A53CB87"/>
    <w:rsid w:val="1A5A4A9A"/>
    <w:rsid w:val="1A746ACD"/>
    <w:rsid w:val="1A748264"/>
    <w:rsid w:val="1A7F45E4"/>
    <w:rsid w:val="1A81F55F"/>
    <w:rsid w:val="1A8CDAB0"/>
    <w:rsid w:val="1A8D6738"/>
    <w:rsid w:val="1A92D146"/>
    <w:rsid w:val="1AB3BA21"/>
    <w:rsid w:val="1AB65F8F"/>
    <w:rsid w:val="1ABCF3A4"/>
    <w:rsid w:val="1ABDAE36"/>
    <w:rsid w:val="1ABFCD8F"/>
    <w:rsid w:val="1ACCA875"/>
    <w:rsid w:val="1AD87696"/>
    <w:rsid w:val="1ADBAEE5"/>
    <w:rsid w:val="1AE0E2AF"/>
    <w:rsid w:val="1AF58F60"/>
    <w:rsid w:val="1AF99C9F"/>
    <w:rsid w:val="1B09B91D"/>
    <w:rsid w:val="1B0D3F7D"/>
    <w:rsid w:val="1B12C728"/>
    <w:rsid w:val="1B1432A4"/>
    <w:rsid w:val="1B18E246"/>
    <w:rsid w:val="1B1B2893"/>
    <w:rsid w:val="1B20E2F4"/>
    <w:rsid w:val="1B3C4649"/>
    <w:rsid w:val="1B416DE6"/>
    <w:rsid w:val="1B488874"/>
    <w:rsid w:val="1B4F041C"/>
    <w:rsid w:val="1B500EAB"/>
    <w:rsid w:val="1B7D7B30"/>
    <w:rsid w:val="1B835B37"/>
    <w:rsid w:val="1B843D16"/>
    <w:rsid w:val="1B8DA43C"/>
    <w:rsid w:val="1B8E6ECD"/>
    <w:rsid w:val="1B941F28"/>
    <w:rsid w:val="1B9CFEEE"/>
    <w:rsid w:val="1BA933FE"/>
    <w:rsid w:val="1BBC57C4"/>
    <w:rsid w:val="1BC0BD15"/>
    <w:rsid w:val="1BCC0468"/>
    <w:rsid w:val="1BD129A3"/>
    <w:rsid w:val="1BD29AC5"/>
    <w:rsid w:val="1BD37B20"/>
    <w:rsid w:val="1BD99A85"/>
    <w:rsid w:val="1BEACD7E"/>
    <w:rsid w:val="1C0056FD"/>
    <w:rsid w:val="1C06E2C2"/>
    <w:rsid w:val="1C10B82A"/>
    <w:rsid w:val="1C19219B"/>
    <w:rsid w:val="1C27C5D6"/>
    <w:rsid w:val="1C2D668D"/>
    <w:rsid w:val="1C2EB19C"/>
    <w:rsid w:val="1C2EBB9C"/>
    <w:rsid w:val="1C31440D"/>
    <w:rsid w:val="1C3164B6"/>
    <w:rsid w:val="1C51CB8F"/>
    <w:rsid w:val="1C65AFDD"/>
    <w:rsid w:val="1C6A04E8"/>
    <w:rsid w:val="1C7438D8"/>
    <w:rsid w:val="1C8230F3"/>
    <w:rsid w:val="1C928346"/>
    <w:rsid w:val="1C982F87"/>
    <w:rsid w:val="1C9DD017"/>
    <w:rsid w:val="1C9ED447"/>
    <w:rsid w:val="1CA700B5"/>
    <w:rsid w:val="1CABA1C4"/>
    <w:rsid w:val="1CB1BDC5"/>
    <w:rsid w:val="1CBF4584"/>
    <w:rsid w:val="1CCB1139"/>
    <w:rsid w:val="1CD280A5"/>
    <w:rsid w:val="1CDB0B84"/>
    <w:rsid w:val="1CE26EDF"/>
    <w:rsid w:val="1CE7E020"/>
    <w:rsid w:val="1D061116"/>
    <w:rsid w:val="1D067512"/>
    <w:rsid w:val="1D1203AB"/>
    <w:rsid w:val="1D16B70E"/>
    <w:rsid w:val="1D1BDC22"/>
    <w:rsid w:val="1D1E4A53"/>
    <w:rsid w:val="1D1FD6A6"/>
    <w:rsid w:val="1D2D57E3"/>
    <w:rsid w:val="1D362651"/>
    <w:rsid w:val="1D374243"/>
    <w:rsid w:val="1D38D68A"/>
    <w:rsid w:val="1D3B3140"/>
    <w:rsid w:val="1D3CC661"/>
    <w:rsid w:val="1D59BC0B"/>
    <w:rsid w:val="1D5AA714"/>
    <w:rsid w:val="1D5B1C2E"/>
    <w:rsid w:val="1D5D1DEA"/>
    <w:rsid w:val="1D5DD71B"/>
    <w:rsid w:val="1D5E65BA"/>
    <w:rsid w:val="1D63158B"/>
    <w:rsid w:val="1D651740"/>
    <w:rsid w:val="1D6E6B26"/>
    <w:rsid w:val="1D6F262C"/>
    <w:rsid w:val="1D890735"/>
    <w:rsid w:val="1D8F57D5"/>
    <w:rsid w:val="1D96E72F"/>
    <w:rsid w:val="1D9862A4"/>
    <w:rsid w:val="1D9B2F8B"/>
    <w:rsid w:val="1D9BF588"/>
    <w:rsid w:val="1DA22839"/>
    <w:rsid w:val="1DB34040"/>
    <w:rsid w:val="1DB60C41"/>
    <w:rsid w:val="1DC2006E"/>
    <w:rsid w:val="1DC36DFC"/>
    <w:rsid w:val="1DD50FC2"/>
    <w:rsid w:val="1DE2D41F"/>
    <w:rsid w:val="1DEA2DDE"/>
    <w:rsid w:val="1DEBFC80"/>
    <w:rsid w:val="1DF760C3"/>
    <w:rsid w:val="1DF76360"/>
    <w:rsid w:val="1DFA9D2D"/>
    <w:rsid w:val="1DFF0C07"/>
    <w:rsid w:val="1DFF31E4"/>
    <w:rsid w:val="1E0FDABC"/>
    <w:rsid w:val="1E13B44E"/>
    <w:rsid w:val="1E265745"/>
    <w:rsid w:val="1E35CA9B"/>
    <w:rsid w:val="1E442A8F"/>
    <w:rsid w:val="1E50C735"/>
    <w:rsid w:val="1E592963"/>
    <w:rsid w:val="1E5D9C89"/>
    <w:rsid w:val="1E60014B"/>
    <w:rsid w:val="1E6271FD"/>
    <w:rsid w:val="1E630266"/>
    <w:rsid w:val="1E691CEB"/>
    <w:rsid w:val="1E8C81DD"/>
    <w:rsid w:val="1E8EE2B7"/>
    <w:rsid w:val="1E982A49"/>
    <w:rsid w:val="1E9A5162"/>
    <w:rsid w:val="1E9AE620"/>
    <w:rsid w:val="1E9E8446"/>
    <w:rsid w:val="1EA5EE89"/>
    <w:rsid w:val="1EAA0F3F"/>
    <w:rsid w:val="1EB73AC8"/>
    <w:rsid w:val="1EBA7371"/>
    <w:rsid w:val="1ECC1FB6"/>
    <w:rsid w:val="1ECE1B66"/>
    <w:rsid w:val="1ED62FF9"/>
    <w:rsid w:val="1EDAD6B6"/>
    <w:rsid w:val="1EE76926"/>
    <w:rsid w:val="1F01DEC2"/>
    <w:rsid w:val="1F02D880"/>
    <w:rsid w:val="1F06980B"/>
    <w:rsid w:val="1F08FE4F"/>
    <w:rsid w:val="1F0AF68D"/>
    <w:rsid w:val="1F102C9C"/>
    <w:rsid w:val="1F158BF8"/>
    <w:rsid w:val="1F173426"/>
    <w:rsid w:val="1F1B5CA2"/>
    <w:rsid w:val="1F2A5EE8"/>
    <w:rsid w:val="1F2AC34C"/>
    <w:rsid w:val="1F2DE8FE"/>
    <w:rsid w:val="1F32EBDA"/>
    <w:rsid w:val="1F36FD35"/>
    <w:rsid w:val="1F391832"/>
    <w:rsid w:val="1F3F97C5"/>
    <w:rsid w:val="1F43015F"/>
    <w:rsid w:val="1F4823CF"/>
    <w:rsid w:val="1F4FF552"/>
    <w:rsid w:val="1F517757"/>
    <w:rsid w:val="1F532BCB"/>
    <w:rsid w:val="1F55600F"/>
    <w:rsid w:val="1F56F8B3"/>
    <w:rsid w:val="1F5AB2C9"/>
    <w:rsid w:val="1F5BDB71"/>
    <w:rsid w:val="1F68A802"/>
    <w:rsid w:val="1F6ACE6D"/>
    <w:rsid w:val="1F71B0FD"/>
    <w:rsid w:val="1F72477F"/>
    <w:rsid w:val="1F7C06A2"/>
    <w:rsid w:val="1F7DFA34"/>
    <w:rsid w:val="1F7F3410"/>
    <w:rsid w:val="1F86404E"/>
    <w:rsid w:val="1F944A31"/>
    <w:rsid w:val="1F95063A"/>
    <w:rsid w:val="1F9C17AE"/>
    <w:rsid w:val="1F9DEF80"/>
    <w:rsid w:val="1FA530A2"/>
    <w:rsid w:val="1FAE91AF"/>
    <w:rsid w:val="1FE59DAC"/>
    <w:rsid w:val="1FEABF09"/>
    <w:rsid w:val="1FF574A7"/>
    <w:rsid w:val="1FFEB980"/>
    <w:rsid w:val="2002EE6A"/>
    <w:rsid w:val="20042127"/>
    <w:rsid w:val="2013C188"/>
    <w:rsid w:val="20158A35"/>
    <w:rsid w:val="201A0EA8"/>
    <w:rsid w:val="202CC5FF"/>
    <w:rsid w:val="20399B8C"/>
    <w:rsid w:val="203A360C"/>
    <w:rsid w:val="2047259F"/>
    <w:rsid w:val="204A8971"/>
    <w:rsid w:val="204AA48B"/>
    <w:rsid w:val="20549D9F"/>
    <w:rsid w:val="2055A728"/>
    <w:rsid w:val="2060C854"/>
    <w:rsid w:val="2069EBC7"/>
    <w:rsid w:val="206E3156"/>
    <w:rsid w:val="207A8429"/>
    <w:rsid w:val="208F0756"/>
    <w:rsid w:val="209909BC"/>
    <w:rsid w:val="20995A43"/>
    <w:rsid w:val="209F7D97"/>
    <w:rsid w:val="20A38E3F"/>
    <w:rsid w:val="20AF4EA1"/>
    <w:rsid w:val="20B6042C"/>
    <w:rsid w:val="20B81B62"/>
    <w:rsid w:val="20B8CF9C"/>
    <w:rsid w:val="20C4028A"/>
    <w:rsid w:val="20CA849E"/>
    <w:rsid w:val="20CD272B"/>
    <w:rsid w:val="20D31351"/>
    <w:rsid w:val="20DF85B3"/>
    <w:rsid w:val="20E0BEE7"/>
    <w:rsid w:val="20E0E384"/>
    <w:rsid w:val="20E5B94F"/>
    <w:rsid w:val="20ED08E9"/>
    <w:rsid w:val="20EF6849"/>
    <w:rsid w:val="20FC2631"/>
    <w:rsid w:val="20FC7C73"/>
    <w:rsid w:val="20FEE152"/>
    <w:rsid w:val="21021473"/>
    <w:rsid w:val="21039B7A"/>
    <w:rsid w:val="21067FE6"/>
    <w:rsid w:val="210E17E0"/>
    <w:rsid w:val="210FB856"/>
    <w:rsid w:val="2114ED75"/>
    <w:rsid w:val="21328B4D"/>
    <w:rsid w:val="213D13E5"/>
    <w:rsid w:val="213DB5F9"/>
    <w:rsid w:val="2147F49E"/>
    <w:rsid w:val="214B29B5"/>
    <w:rsid w:val="215F901F"/>
    <w:rsid w:val="2164DCDB"/>
    <w:rsid w:val="2165E58D"/>
    <w:rsid w:val="2167CC97"/>
    <w:rsid w:val="21820F27"/>
    <w:rsid w:val="218FD223"/>
    <w:rsid w:val="2191E155"/>
    <w:rsid w:val="21A233BF"/>
    <w:rsid w:val="21AAD05E"/>
    <w:rsid w:val="21B9E3F4"/>
    <w:rsid w:val="21BFB77E"/>
    <w:rsid w:val="21C679CB"/>
    <w:rsid w:val="21C74058"/>
    <w:rsid w:val="21CC5721"/>
    <w:rsid w:val="21D163E6"/>
    <w:rsid w:val="21E3E9D6"/>
    <w:rsid w:val="21F347C9"/>
    <w:rsid w:val="21F60B03"/>
    <w:rsid w:val="21FB7395"/>
    <w:rsid w:val="221870A2"/>
    <w:rsid w:val="2219332B"/>
    <w:rsid w:val="221A0E92"/>
    <w:rsid w:val="22509CFF"/>
    <w:rsid w:val="225180EA"/>
    <w:rsid w:val="225A8ED8"/>
    <w:rsid w:val="226F56EA"/>
    <w:rsid w:val="2272E13D"/>
    <w:rsid w:val="2278E5AA"/>
    <w:rsid w:val="2281D4EA"/>
    <w:rsid w:val="22843133"/>
    <w:rsid w:val="2288631F"/>
    <w:rsid w:val="2292BA13"/>
    <w:rsid w:val="2293FDFC"/>
    <w:rsid w:val="22A146AE"/>
    <w:rsid w:val="22ACD4BB"/>
    <w:rsid w:val="22C2A319"/>
    <w:rsid w:val="22DDE851"/>
    <w:rsid w:val="22F00B1D"/>
    <w:rsid w:val="22F30956"/>
    <w:rsid w:val="22FCA486"/>
    <w:rsid w:val="23044DFD"/>
    <w:rsid w:val="230CE9F8"/>
    <w:rsid w:val="232737FF"/>
    <w:rsid w:val="232B87A2"/>
    <w:rsid w:val="233199A6"/>
    <w:rsid w:val="2334DFA9"/>
    <w:rsid w:val="233D8672"/>
    <w:rsid w:val="23448C82"/>
    <w:rsid w:val="234F8E53"/>
    <w:rsid w:val="236CC2B6"/>
    <w:rsid w:val="2374ECAA"/>
    <w:rsid w:val="23795220"/>
    <w:rsid w:val="239060D9"/>
    <w:rsid w:val="2398EF07"/>
    <w:rsid w:val="239AC94D"/>
    <w:rsid w:val="239DB890"/>
    <w:rsid w:val="23A18C89"/>
    <w:rsid w:val="23BA0270"/>
    <w:rsid w:val="23BAB4E6"/>
    <w:rsid w:val="23C66F39"/>
    <w:rsid w:val="23C6846E"/>
    <w:rsid w:val="23CDA73E"/>
    <w:rsid w:val="23CE959E"/>
    <w:rsid w:val="23DB36D1"/>
    <w:rsid w:val="23F14FB6"/>
    <w:rsid w:val="23FB558A"/>
    <w:rsid w:val="23FC95BA"/>
    <w:rsid w:val="240BC19F"/>
    <w:rsid w:val="241E804C"/>
    <w:rsid w:val="2427CE98"/>
    <w:rsid w:val="24284E2E"/>
    <w:rsid w:val="24322D53"/>
    <w:rsid w:val="24479AAA"/>
    <w:rsid w:val="2450D7B0"/>
    <w:rsid w:val="2451DFD0"/>
    <w:rsid w:val="246326E5"/>
    <w:rsid w:val="2465F0C6"/>
    <w:rsid w:val="24678E58"/>
    <w:rsid w:val="2475DE05"/>
    <w:rsid w:val="247FCBE5"/>
    <w:rsid w:val="2481D522"/>
    <w:rsid w:val="248DC798"/>
    <w:rsid w:val="248EC12B"/>
    <w:rsid w:val="2490E16E"/>
    <w:rsid w:val="24914E98"/>
    <w:rsid w:val="249344D4"/>
    <w:rsid w:val="24A2EE2A"/>
    <w:rsid w:val="24AB12F9"/>
    <w:rsid w:val="24AE9D3C"/>
    <w:rsid w:val="24B3D6F0"/>
    <w:rsid w:val="24B45774"/>
    <w:rsid w:val="24BEBD08"/>
    <w:rsid w:val="24CA2268"/>
    <w:rsid w:val="24DF5FC9"/>
    <w:rsid w:val="24E99EF3"/>
    <w:rsid w:val="24EA0BBD"/>
    <w:rsid w:val="24EB8790"/>
    <w:rsid w:val="24F75840"/>
    <w:rsid w:val="24FF53E4"/>
    <w:rsid w:val="25089317"/>
    <w:rsid w:val="251323EE"/>
    <w:rsid w:val="2515E027"/>
    <w:rsid w:val="251F3372"/>
    <w:rsid w:val="2521A5D2"/>
    <w:rsid w:val="2528738A"/>
    <w:rsid w:val="252A62FA"/>
    <w:rsid w:val="2536C07F"/>
    <w:rsid w:val="25430106"/>
    <w:rsid w:val="2557C8EB"/>
    <w:rsid w:val="2558C053"/>
    <w:rsid w:val="256254CF"/>
    <w:rsid w:val="2566DAC9"/>
    <w:rsid w:val="256A65FF"/>
    <w:rsid w:val="256F740B"/>
    <w:rsid w:val="25739035"/>
    <w:rsid w:val="2578E3D4"/>
    <w:rsid w:val="257B7D2C"/>
    <w:rsid w:val="25808052"/>
    <w:rsid w:val="258E91DF"/>
    <w:rsid w:val="2593DC36"/>
    <w:rsid w:val="259F93F0"/>
    <w:rsid w:val="25A51902"/>
    <w:rsid w:val="25B581A9"/>
    <w:rsid w:val="25B9D46D"/>
    <w:rsid w:val="25BD6504"/>
    <w:rsid w:val="25CE2DE2"/>
    <w:rsid w:val="25ED18D5"/>
    <w:rsid w:val="25F5488B"/>
    <w:rsid w:val="25F6E393"/>
    <w:rsid w:val="25FE3A98"/>
    <w:rsid w:val="2603B046"/>
    <w:rsid w:val="260798CE"/>
    <w:rsid w:val="26190BFE"/>
    <w:rsid w:val="2619CD56"/>
    <w:rsid w:val="26228A51"/>
    <w:rsid w:val="2639C14F"/>
    <w:rsid w:val="26474F8E"/>
    <w:rsid w:val="264C89F4"/>
    <w:rsid w:val="265EE290"/>
    <w:rsid w:val="26671467"/>
    <w:rsid w:val="26705B99"/>
    <w:rsid w:val="26742CBA"/>
    <w:rsid w:val="26777B4E"/>
    <w:rsid w:val="267B6DFE"/>
    <w:rsid w:val="2686BBBF"/>
    <w:rsid w:val="269D1B5B"/>
    <w:rsid w:val="26A55D47"/>
    <w:rsid w:val="26A759C6"/>
    <w:rsid w:val="26BBC91D"/>
    <w:rsid w:val="26BF6B1D"/>
    <w:rsid w:val="26C338FB"/>
    <w:rsid w:val="26C4D72A"/>
    <w:rsid w:val="26CFB602"/>
    <w:rsid w:val="26D58D59"/>
    <w:rsid w:val="26D596F9"/>
    <w:rsid w:val="26D87510"/>
    <w:rsid w:val="26D8ED64"/>
    <w:rsid w:val="26DE1FDC"/>
    <w:rsid w:val="26DEDBB1"/>
    <w:rsid w:val="26E5AA09"/>
    <w:rsid w:val="26EC5BBA"/>
    <w:rsid w:val="27031DA7"/>
    <w:rsid w:val="270CDF7B"/>
    <w:rsid w:val="2716FC57"/>
    <w:rsid w:val="271BFDBA"/>
    <w:rsid w:val="27252C1D"/>
    <w:rsid w:val="27288BD1"/>
    <w:rsid w:val="272D19A3"/>
    <w:rsid w:val="2733D4E2"/>
    <w:rsid w:val="27361059"/>
    <w:rsid w:val="273FF886"/>
    <w:rsid w:val="27495D6E"/>
    <w:rsid w:val="2750EB77"/>
    <w:rsid w:val="27593565"/>
    <w:rsid w:val="2763EA28"/>
    <w:rsid w:val="276D4F5D"/>
    <w:rsid w:val="2771FF78"/>
    <w:rsid w:val="278E7357"/>
    <w:rsid w:val="2793C448"/>
    <w:rsid w:val="27945967"/>
    <w:rsid w:val="27A0E5EA"/>
    <w:rsid w:val="27A5793F"/>
    <w:rsid w:val="27AC82EB"/>
    <w:rsid w:val="27B401F6"/>
    <w:rsid w:val="27C08D9B"/>
    <w:rsid w:val="27D6AD40"/>
    <w:rsid w:val="27DF1948"/>
    <w:rsid w:val="27DF43F6"/>
    <w:rsid w:val="27E1A793"/>
    <w:rsid w:val="27E41210"/>
    <w:rsid w:val="27EB9230"/>
    <w:rsid w:val="27F0B182"/>
    <w:rsid w:val="27F13FC5"/>
    <w:rsid w:val="27F150AB"/>
    <w:rsid w:val="27FEB368"/>
    <w:rsid w:val="2800FF58"/>
    <w:rsid w:val="28021FF3"/>
    <w:rsid w:val="28123B2E"/>
    <w:rsid w:val="281D78DA"/>
    <w:rsid w:val="2822602F"/>
    <w:rsid w:val="28282D0C"/>
    <w:rsid w:val="282A79AC"/>
    <w:rsid w:val="2838F103"/>
    <w:rsid w:val="283DA198"/>
    <w:rsid w:val="2843214E"/>
    <w:rsid w:val="2845B18B"/>
    <w:rsid w:val="284B71A0"/>
    <w:rsid w:val="2850D929"/>
    <w:rsid w:val="2863D1FC"/>
    <w:rsid w:val="286C42B5"/>
    <w:rsid w:val="2874FDAC"/>
    <w:rsid w:val="2878B2A3"/>
    <w:rsid w:val="28978048"/>
    <w:rsid w:val="289C38E6"/>
    <w:rsid w:val="28A7BD63"/>
    <w:rsid w:val="28A87D97"/>
    <w:rsid w:val="28BEE8AC"/>
    <w:rsid w:val="28C2617D"/>
    <w:rsid w:val="28C4078F"/>
    <w:rsid w:val="28C53931"/>
    <w:rsid w:val="28CDDA95"/>
    <w:rsid w:val="28CFB253"/>
    <w:rsid w:val="28D877F7"/>
    <w:rsid w:val="28DB4398"/>
    <w:rsid w:val="28EB072A"/>
    <w:rsid w:val="28FDB5C9"/>
    <w:rsid w:val="2902ADC4"/>
    <w:rsid w:val="29062886"/>
    <w:rsid w:val="2908A8C3"/>
    <w:rsid w:val="29181FDB"/>
    <w:rsid w:val="291A07D6"/>
    <w:rsid w:val="291A461A"/>
    <w:rsid w:val="291C8277"/>
    <w:rsid w:val="2921C28B"/>
    <w:rsid w:val="292A5ECD"/>
    <w:rsid w:val="29329B23"/>
    <w:rsid w:val="2937B0E3"/>
    <w:rsid w:val="294E82A4"/>
    <w:rsid w:val="294EA679"/>
    <w:rsid w:val="295B6A86"/>
    <w:rsid w:val="295BD07A"/>
    <w:rsid w:val="296034EC"/>
    <w:rsid w:val="2965F7D9"/>
    <w:rsid w:val="297AD619"/>
    <w:rsid w:val="2981A0C9"/>
    <w:rsid w:val="2986C57E"/>
    <w:rsid w:val="298A2C97"/>
    <w:rsid w:val="29943363"/>
    <w:rsid w:val="2994FDAC"/>
    <w:rsid w:val="299D2B33"/>
    <w:rsid w:val="29A03AA3"/>
    <w:rsid w:val="29A0EF49"/>
    <w:rsid w:val="29A6D1FC"/>
    <w:rsid w:val="29B4D88F"/>
    <w:rsid w:val="29C2124E"/>
    <w:rsid w:val="29CA7C5D"/>
    <w:rsid w:val="29CAC963"/>
    <w:rsid w:val="29CC53DB"/>
    <w:rsid w:val="29CEE3EC"/>
    <w:rsid w:val="29D9F4E3"/>
    <w:rsid w:val="29DBD224"/>
    <w:rsid w:val="29E78760"/>
    <w:rsid w:val="29EA29FB"/>
    <w:rsid w:val="29EC9819"/>
    <w:rsid w:val="29ED39CE"/>
    <w:rsid w:val="29F75A5B"/>
    <w:rsid w:val="2A062207"/>
    <w:rsid w:val="2A08640D"/>
    <w:rsid w:val="2A0CE21D"/>
    <w:rsid w:val="2A115BD8"/>
    <w:rsid w:val="2A17ADD3"/>
    <w:rsid w:val="2A19508C"/>
    <w:rsid w:val="2A2963BF"/>
    <w:rsid w:val="2A2BB30D"/>
    <w:rsid w:val="2A349A6F"/>
    <w:rsid w:val="2A35194C"/>
    <w:rsid w:val="2A3DD722"/>
    <w:rsid w:val="2A419893"/>
    <w:rsid w:val="2A4C11EC"/>
    <w:rsid w:val="2A500ADA"/>
    <w:rsid w:val="2A52BD56"/>
    <w:rsid w:val="2A539E7C"/>
    <w:rsid w:val="2A5AFE07"/>
    <w:rsid w:val="2A5B9013"/>
    <w:rsid w:val="2A5C514C"/>
    <w:rsid w:val="2A634CF1"/>
    <w:rsid w:val="2A6446B3"/>
    <w:rsid w:val="2A68DC84"/>
    <w:rsid w:val="2A69888C"/>
    <w:rsid w:val="2A6EFABC"/>
    <w:rsid w:val="2A79858F"/>
    <w:rsid w:val="2A7F2CC1"/>
    <w:rsid w:val="2A917B1E"/>
    <w:rsid w:val="2AA8006E"/>
    <w:rsid w:val="2AAD85B3"/>
    <w:rsid w:val="2AB02CE6"/>
    <w:rsid w:val="2AB5DCC7"/>
    <w:rsid w:val="2ABF26CD"/>
    <w:rsid w:val="2ABF629A"/>
    <w:rsid w:val="2ABF965C"/>
    <w:rsid w:val="2AC9512A"/>
    <w:rsid w:val="2AD351D9"/>
    <w:rsid w:val="2ADB72F3"/>
    <w:rsid w:val="2AE29D68"/>
    <w:rsid w:val="2AE53A44"/>
    <w:rsid w:val="2AF3FC31"/>
    <w:rsid w:val="2AF475AA"/>
    <w:rsid w:val="2AF7CD49"/>
    <w:rsid w:val="2AFA5929"/>
    <w:rsid w:val="2B2971C8"/>
    <w:rsid w:val="2B2EF400"/>
    <w:rsid w:val="2B3279FB"/>
    <w:rsid w:val="2B371858"/>
    <w:rsid w:val="2B50D769"/>
    <w:rsid w:val="2B5EAC3E"/>
    <w:rsid w:val="2B6A54A4"/>
    <w:rsid w:val="2B7F6107"/>
    <w:rsid w:val="2B958FC0"/>
    <w:rsid w:val="2B9D01C6"/>
    <w:rsid w:val="2BA9338A"/>
    <w:rsid w:val="2BB305DF"/>
    <w:rsid w:val="2BBFA05D"/>
    <w:rsid w:val="2BC21E23"/>
    <w:rsid w:val="2BC66CDC"/>
    <w:rsid w:val="2BC906C4"/>
    <w:rsid w:val="2BCF4D68"/>
    <w:rsid w:val="2BD4B9E2"/>
    <w:rsid w:val="2BE007BB"/>
    <w:rsid w:val="2BE0295D"/>
    <w:rsid w:val="2BE85B5D"/>
    <w:rsid w:val="2BEBF6BA"/>
    <w:rsid w:val="2BF2E546"/>
    <w:rsid w:val="2BF8CC5B"/>
    <w:rsid w:val="2C077D0D"/>
    <w:rsid w:val="2C08A487"/>
    <w:rsid w:val="2C0CA284"/>
    <w:rsid w:val="2C11F7E0"/>
    <w:rsid w:val="2C16D8B6"/>
    <w:rsid w:val="2C183637"/>
    <w:rsid w:val="2C200E60"/>
    <w:rsid w:val="2C216559"/>
    <w:rsid w:val="2C22E0B0"/>
    <w:rsid w:val="2C266BE8"/>
    <w:rsid w:val="2C2CA688"/>
    <w:rsid w:val="2C2FF983"/>
    <w:rsid w:val="2C32CA28"/>
    <w:rsid w:val="2C32D358"/>
    <w:rsid w:val="2C52450F"/>
    <w:rsid w:val="2C5395BB"/>
    <w:rsid w:val="2C574473"/>
    <w:rsid w:val="2C583A6C"/>
    <w:rsid w:val="2C64C8D6"/>
    <w:rsid w:val="2C7B18F3"/>
    <w:rsid w:val="2C812840"/>
    <w:rsid w:val="2C95B15C"/>
    <w:rsid w:val="2CA08B69"/>
    <w:rsid w:val="2CA4B171"/>
    <w:rsid w:val="2CA69F42"/>
    <w:rsid w:val="2CA89134"/>
    <w:rsid w:val="2CADFA04"/>
    <w:rsid w:val="2CC2191C"/>
    <w:rsid w:val="2CCD0C18"/>
    <w:rsid w:val="2CDC3957"/>
    <w:rsid w:val="2CE11345"/>
    <w:rsid w:val="2CF1B55A"/>
    <w:rsid w:val="2D026A25"/>
    <w:rsid w:val="2D0C7CA4"/>
    <w:rsid w:val="2D1658A0"/>
    <w:rsid w:val="2D2A39DD"/>
    <w:rsid w:val="2D2C0717"/>
    <w:rsid w:val="2D2DEEFB"/>
    <w:rsid w:val="2D30599F"/>
    <w:rsid w:val="2D33856F"/>
    <w:rsid w:val="2D3A1A69"/>
    <w:rsid w:val="2D3E20E6"/>
    <w:rsid w:val="2D475313"/>
    <w:rsid w:val="2D486ECF"/>
    <w:rsid w:val="2D51AC75"/>
    <w:rsid w:val="2D5C426F"/>
    <w:rsid w:val="2D740F1F"/>
    <w:rsid w:val="2D7577E4"/>
    <w:rsid w:val="2D7713F8"/>
    <w:rsid w:val="2D853570"/>
    <w:rsid w:val="2D8D6712"/>
    <w:rsid w:val="2D8DACC0"/>
    <w:rsid w:val="2D8DB344"/>
    <w:rsid w:val="2D919641"/>
    <w:rsid w:val="2D968CCC"/>
    <w:rsid w:val="2DA7473A"/>
    <w:rsid w:val="2DA9C621"/>
    <w:rsid w:val="2DB04A02"/>
    <w:rsid w:val="2DB31571"/>
    <w:rsid w:val="2DC07B77"/>
    <w:rsid w:val="2DC182F8"/>
    <w:rsid w:val="2DC67D92"/>
    <w:rsid w:val="2DD4FF2E"/>
    <w:rsid w:val="2DE25173"/>
    <w:rsid w:val="2E02508E"/>
    <w:rsid w:val="2E03B8E9"/>
    <w:rsid w:val="2E0BE7CE"/>
    <w:rsid w:val="2E109506"/>
    <w:rsid w:val="2E1DD3DB"/>
    <w:rsid w:val="2E1EB4CD"/>
    <w:rsid w:val="2E2CFBA4"/>
    <w:rsid w:val="2E2E38CE"/>
    <w:rsid w:val="2E302865"/>
    <w:rsid w:val="2E3051BF"/>
    <w:rsid w:val="2E3BB6DC"/>
    <w:rsid w:val="2E49C54B"/>
    <w:rsid w:val="2E4AFF0E"/>
    <w:rsid w:val="2E4BA410"/>
    <w:rsid w:val="2E4DDC4A"/>
    <w:rsid w:val="2E5099AA"/>
    <w:rsid w:val="2E5329D2"/>
    <w:rsid w:val="2E5A1594"/>
    <w:rsid w:val="2E616551"/>
    <w:rsid w:val="2E6218D6"/>
    <w:rsid w:val="2E6A68CC"/>
    <w:rsid w:val="2E70645D"/>
    <w:rsid w:val="2E79D986"/>
    <w:rsid w:val="2E83D2D9"/>
    <w:rsid w:val="2EAF61A5"/>
    <w:rsid w:val="2EB4CB4A"/>
    <w:rsid w:val="2EB55575"/>
    <w:rsid w:val="2ECA5A64"/>
    <w:rsid w:val="2ECEB344"/>
    <w:rsid w:val="2ED35387"/>
    <w:rsid w:val="2EE5A835"/>
    <w:rsid w:val="2EEEB2D0"/>
    <w:rsid w:val="2F031434"/>
    <w:rsid w:val="2F062479"/>
    <w:rsid w:val="2F101ABD"/>
    <w:rsid w:val="2F114845"/>
    <w:rsid w:val="2F136DAF"/>
    <w:rsid w:val="2F166EF5"/>
    <w:rsid w:val="2F207832"/>
    <w:rsid w:val="2F2240F7"/>
    <w:rsid w:val="2F35C931"/>
    <w:rsid w:val="2F38F675"/>
    <w:rsid w:val="2F3A867E"/>
    <w:rsid w:val="2F44B8DA"/>
    <w:rsid w:val="2F44CD53"/>
    <w:rsid w:val="2F52D805"/>
    <w:rsid w:val="2F565348"/>
    <w:rsid w:val="2F7A1CEC"/>
    <w:rsid w:val="2F8A2140"/>
    <w:rsid w:val="2F9C1126"/>
    <w:rsid w:val="2F9C7F04"/>
    <w:rsid w:val="2F9E3C9A"/>
    <w:rsid w:val="2FA46C69"/>
    <w:rsid w:val="2FB2ED3F"/>
    <w:rsid w:val="2FBDC3F2"/>
    <w:rsid w:val="2FC66E43"/>
    <w:rsid w:val="2FC684F3"/>
    <w:rsid w:val="2FCC8E3D"/>
    <w:rsid w:val="2FCDE049"/>
    <w:rsid w:val="2FD20163"/>
    <w:rsid w:val="2FE41EE4"/>
    <w:rsid w:val="2FEBE2DB"/>
    <w:rsid w:val="2FF7E81B"/>
    <w:rsid w:val="2FF94FFB"/>
    <w:rsid w:val="2FFBD68A"/>
    <w:rsid w:val="2FFC22DF"/>
    <w:rsid w:val="3000A283"/>
    <w:rsid w:val="3008CCA9"/>
    <w:rsid w:val="3011076A"/>
    <w:rsid w:val="3027E2F7"/>
    <w:rsid w:val="302FC2B8"/>
    <w:rsid w:val="3054FAEB"/>
    <w:rsid w:val="30563497"/>
    <w:rsid w:val="30594206"/>
    <w:rsid w:val="30617DD2"/>
    <w:rsid w:val="3066101B"/>
    <w:rsid w:val="307E9FA5"/>
    <w:rsid w:val="30948DC2"/>
    <w:rsid w:val="309CDB1B"/>
    <w:rsid w:val="309D0252"/>
    <w:rsid w:val="30A17040"/>
    <w:rsid w:val="30B4B223"/>
    <w:rsid w:val="30B8365E"/>
    <w:rsid w:val="30BCF9FB"/>
    <w:rsid w:val="30CF2007"/>
    <w:rsid w:val="30D4BFF9"/>
    <w:rsid w:val="30E3C004"/>
    <w:rsid w:val="30EE6F82"/>
    <w:rsid w:val="310201FD"/>
    <w:rsid w:val="3110CE6E"/>
    <w:rsid w:val="311768CE"/>
    <w:rsid w:val="311A642E"/>
    <w:rsid w:val="31346FEB"/>
    <w:rsid w:val="3137E3C8"/>
    <w:rsid w:val="31497829"/>
    <w:rsid w:val="3156FC99"/>
    <w:rsid w:val="315B0C0E"/>
    <w:rsid w:val="315D5C08"/>
    <w:rsid w:val="31627D8C"/>
    <w:rsid w:val="316A7392"/>
    <w:rsid w:val="316DC8D5"/>
    <w:rsid w:val="3178D38B"/>
    <w:rsid w:val="3189FB78"/>
    <w:rsid w:val="318CB2AE"/>
    <w:rsid w:val="318E0B9A"/>
    <w:rsid w:val="31955DD3"/>
    <w:rsid w:val="319AFDE4"/>
    <w:rsid w:val="31A6A8F9"/>
    <w:rsid w:val="31ACB602"/>
    <w:rsid w:val="31AE4E37"/>
    <w:rsid w:val="31B5A3AB"/>
    <w:rsid w:val="31B5E65D"/>
    <w:rsid w:val="31B89B31"/>
    <w:rsid w:val="31BA1DC6"/>
    <w:rsid w:val="31CDE89C"/>
    <w:rsid w:val="31D2FFCB"/>
    <w:rsid w:val="31D87694"/>
    <w:rsid w:val="31E366E4"/>
    <w:rsid w:val="31E68C03"/>
    <w:rsid w:val="31F4184A"/>
    <w:rsid w:val="31F703A3"/>
    <w:rsid w:val="32050902"/>
    <w:rsid w:val="3206236C"/>
    <w:rsid w:val="3209BE19"/>
    <w:rsid w:val="320EAE71"/>
    <w:rsid w:val="321115A2"/>
    <w:rsid w:val="321199B4"/>
    <w:rsid w:val="323203C5"/>
    <w:rsid w:val="3241F8C3"/>
    <w:rsid w:val="3244BEF7"/>
    <w:rsid w:val="3248E907"/>
    <w:rsid w:val="32585CE8"/>
    <w:rsid w:val="3258FD34"/>
    <w:rsid w:val="325F078C"/>
    <w:rsid w:val="32620678"/>
    <w:rsid w:val="3278881B"/>
    <w:rsid w:val="3278A4C1"/>
    <w:rsid w:val="327BBB1E"/>
    <w:rsid w:val="3288AF76"/>
    <w:rsid w:val="329247F0"/>
    <w:rsid w:val="3298929C"/>
    <w:rsid w:val="329A80EC"/>
    <w:rsid w:val="329B053F"/>
    <w:rsid w:val="32A81CAA"/>
    <w:rsid w:val="32AC5FCF"/>
    <w:rsid w:val="32B21587"/>
    <w:rsid w:val="32B2960B"/>
    <w:rsid w:val="32B7B53B"/>
    <w:rsid w:val="32C3AE38"/>
    <w:rsid w:val="32C63A9A"/>
    <w:rsid w:val="32CCEE7C"/>
    <w:rsid w:val="32D820DF"/>
    <w:rsid w:val="32D8CB46"/>
    <w:rsid w:val="32E1D2CA"/>
    <w:rsid w:val="32E9AF8E"/>
    <w:rsid w:val="32EC385C"/>
    <w:rsid w:val="32F8BCE2"/>
    <w:rsid w:val="3308B723"/>
    <w:rsid w:val="33097F17"/>
    <w:rsid w:val="3316315B"/>
    <w:rsid w:val="3317D5DB"/>
    <w:rsid w:val="332CD209"/>
    <w:rsid w:val="333664BE"/>
    <w:rsid w:val="33368B5B"/>
    <w:rsid w:val="3339CCE2"/>
    <w:rsid w:val="3348FFB6"/>
    <w:rsid w:val="334BC306"/>
    <w:rsid w:val="334FF506"/>
    <w:rsid w:val="335601E4"/>
    <w:rsid w:val="33564ADA"/>
    <w:rsid w:val="335FE778"/>
    <w:rsid w:val="336DAA15"/>
    <w:rsid w:val="3371ABA9"/>
    <w:rsid w:val="3371CD1F"/>
    <w:rsid w:val="337462C2"/>
    <w:rsid w:val="338CABCC"/>
    <w:rsid w:val="33905F80"/>
    <w:rsid w:val="339249DC"/>
    <w:rsid w:val="339B0B3B"/>
    <w:rsid w:val="33A3A24F"/>
    <w:rsid w:val="33A726C8"/>
    <w:rsid w:val="33AC9EFB"/>
    <w:rsid w:val="33B59366"/>
    <w:rsid w:val="33C03392"/>
    <w:rsid w:val="33C2D8D3"/>
    <w:rsid w:val="33C37F6E"/>
    <w:rsid w:val="33C3B049"/>
    <w:rsid w:val="33E28CF5"/>
    <w:rsid w:val="33E45C05"/>
    <w:rsid w:val="33EC3DF8"/>
    <w:rsid w:val="33F45557"/>
    <w:rsid w:val="33F6006F"/>
    <w:rsid w:val="34088768"/>
    <w:rsid w:val="340BBE4E"/>
    <w:rsid w:val="3418B329"/>
    <w:rsid w:val="345B2527"/>
    <w:rsid w:val="347354CE"/>
    <w:rsid w:val="3483ADD5"/>
    <w:rsid w:val="34857FEF"/>
    <w:rsid w:val="348E54A1"/>
    <w:rsid w:val="349559C6"/>
    <w:rsid w:val="34958139"/>
    <w:rsid w:val="349974A1"/>
    <w:rsid w:val="349C8768"/>
    <w:rsid w:val="34A3AAA5"/>
    <w:rsid w:val="34AF2BDE"/>
    <w:rsid w:val="34B81487"/>
    <w:rsid w:val="34C3B160"/>
    <w:rsid w:val="34C5D7F6"/>
    <w:rsid w:val="34C75EDA"/>
    <w:rsid w:val="34D413A6"/>
    <w:rsid w:val="34D5BBAA"/>
    <w:rsid w:val="34DF7FA4"/>
    <w:rsid w:val="34E72EC0"/>
    <w:rsid w:val="34E95556"/>
    <w:rsid w:val="34EFF820"/>
    <w:rsid w:val="34F061BE"/>
    <w:rsid w:val="34F9A455"/>
    <w:rsid w:val="351135EB"/>
    <w:rsid w:val="352786FC"/>
    <w:rsid w:val="352DDAF1"/>
    <w:rsid w:val="353A28AA"/>
    <w:rsid w:val="353EE627"/>
    <w:rsid w:val="354EAA12"/>
    <w:rsid w:val="35514D8D"/>
    <w:rsid w:val="35518FBA"/>
    <w:rsid w:val="3554A8DD"/>
    <w:rsid w:val="355690C1"/>
    <w:rsid w:val="3556AE5D"/>
    <w:rsid w:val="35690520"/>
    <w:rsid w:val="356EE533"/>
    <w:rsid w:val="357234B9"/>
    <w:rsid w:val="35745680"/>
    <w:rsid w:val="35769512"/>
    <w:rsid w:val="3576F441"/>
    <w:rsid w:val="35805E3C"/>
    <w:rsid w:val="3596F6E3"/>
    <w:rsid w:val="35984961"/>
    <w:rsid w:val="35A1E912"/>
    <w:rsid w:val="35A4046F"/>
    <w:rsid w:val="35B33542"/>
    <w:rsid w:val="35BE597A"/>
    <w:rsid w:val="35BEC955"/>
    <w:rsid w:val="35C12687"/>
    <w:rsid w:val="35C7DA49"/>
    <w:rsid w:val="35CA2682"/>
    <w:rsid w:val="35CAA1E5"/>
    <w:rsid w:val="35DE1531"/>
    <w:rsid w:val="35DFE1F7"/>
    <w:rsid w:val="35EA1DF7"/>
    <w:rsid w:val="35ECD329"/>
    <w:rsid w:val="35F5F959"/>
    <w:rsid w:val="35F730B7"/>
    <w:rsid w:val="35FDFB29"/>
    <w:rsid w:val="361AFA8A"/>
    <w:rsid w:val="3622E34D"/>
    <w:rsid w:val="362DF0B8"/>
    <w:rsid w:val="36314F57"/>
    <w:rsid w:val="363A70F1"/>
    <w:rsid w:val="36440BD3"/>
    <w:rsid w:val="36527B4A"/>
    <w:rsid w:val="3652AE1B"/>
    <w:rsid w:val="365AD3D9"/>
    <w:rsid w:val="365B245F"/>
    <w:rsid w:val="366BB373"/>
    <w:rsid w:val="3674143F"/>
    <w:rsid w:val="36790E70"/>
    <w:rsid w:val="367CB39D"/>
    <w:rsid w:val="367D2756"/>
    <w:rsid w:val="3692B621"/>
    <w:rsid w:val="3696A22D"/>
    <w:rsid w:val="36A20674"/>
    <w:rsid w:val="36A37EA0"/>
    <w:rsid w:val="36B0C241"/>
    <w:rsid w:val="36B3856B"/>
    <w:rsid w:val="36B4DD69"/>
    <w:rsid w:val="36B71F17"/>
    <w:rsid w:val="36BE215F"/>
    <w:rsid w:val="36C1623E"/>
    <w:rsid w:val="36CCD82A"/>
    <w:rsid w:val="36D1118B"/>
    <w:rsid w:val="36D24763"/>
    <w:rsid w:val="36DABEA9"/>
    <w:rsid w:val="36DCAED5"/>
    <w:rsid w:val="36DD55C9"/>
    <w:rsid w:val="36E9D90A"/>
    <w:rsid w:val="36F0F3FF"/>
    <w:rsid w:val="3716602E"/>
    <w:rsid w:val="3719617E"/>
    <w:rsid w:val="371D3944"/>
    <w:rsid w:val="372F6347"/>
    <w:rsid w:val="3736F0B1"/>
    <w:rsid w:val="373D4C5E"/>
    <w:rsid w:val="373D6C36"/>
    <w:rsid w:val="3746D5B5"/>
    <w:rsid w:val="37489C1D"/>
    <w:rsid w:val="3760C01C"/>
    <w:rsid w:val="376C679D"/>
    <w:rsid w:val="37784B39"/>
    <w:rsid w:val="377D38F1"/>
    <w:rsid w:val="377E1377"/>
    <w:rsid w:val="37829494"/>
    <w:rsid w:val="3784F882"/>
    <w:rsid w:val="3786E80D"/>
    <w:rsid w:val="378AC54D"/>
    <w:rsid w:val="378B0956"/>
    <w:rsid w:val="378B4EFF"/>
    <w:rsid w:val="3794E9D9"/>
    <w:rsid w:val="379743A8"/>
    <w:rsid w:val="37A8B49C"/>
    <w:rsid w:val="37BA025C"/>
    <w:rsid w:val="37C07966"/>
    <w:rsid w:val="37C515A8"/>
    <w:rsid w:val="37C937F6"/>
    <w:rsid w:val="37D56F1E"/>
    <w:rsid w:val="37D7BA6E"/>
    <w:rsid w:val="37FAB631"/>
    <w:rsid w:val="380C8C7B"/>
    <w:rsid w:val="380F61FB"/>
    <w:rsid w:val="382526B7"/>
    <w:rsid w:val="382918F2"/>
    <w:rsid w:val="382CE6BE"/>
    <w:rsid w:val="3833AA4A"/>
    <w:rsid w:val="383B8E4C"/>
    <w:rsid w:val="383D9DF2"/>
    <w:rsid w:val="3850F6E1"/>
    <w:rsid w:val="38632505"/>
    <w:rsid w:val="386B55E6"/>
    <w:rsid w:val="3870ED4F"/>
    <w:rsid w:val="3881E76F"/>
    <w:rsid w:val="3882C15D"/>
    <w:rsid w:val="38867A5F"/>
    <w:rsid w:val="388B9BBF"/>
    <w:rsid w:val="388D1496"/>
    <w:rsid w:val="38942BC0"/>
    <w:rsid w:val="3898E29C"/>
    <w:rsid w:val="38AD27D6"/>
    <w:rsid w:val="38BB37CE"/>
    <w:rsid w:val="38CBD136"/>
    <w:rsid w:val="38D03073"/>
    <w:rsid w:val="38D1620A"/>
    <w:rsid w:val="38DB6C86"/>
    <w:rsid w:val="38DF0DCE"/>
    <w:rsid w:val="38DF5043"/>
    <w:rsid w:val="38E3460F"/>
    <w:rsid w:val="38E36B7F"/>
    <w:rsid w:val="39005A84"/>
    <w:rsid w:val="39045307"/>
    <w:rsid w:val="390837FE"/>
    <w:rsid w:val="3908D088"/>
    <w:rsid w:val="390EAB2F"/>
    <w:rsid w:val="3915B5F3"/>
    <w:rsid w:val="392F440D"/>
    <w:rsid w:val="394372DA"/>
    <w:rsid w:val="3946A936"/>
    <w:rsid w:val="394F29A9"/>
    <w:rsid w:val="396F7F4B"/>
    <w:rsid w:val="3971059F"/>
    <w:rsid w:val="3975D359"/>
    <w:rsid w:val="397B2E9C"/>
    <w:rsid w:val="397CAF72"/>
    <w:rsid w:val="3990E231"/>
    <w:rsid w:val="39B1142E"/>
    <w:rsid w:val="39B557D3"/>
    <w:rsid w:val="39B78B00"/>
    <w:rsid w:val="39C4E953"/>
    <w:rsid w:val="39C77D8F"/>
    <w:rsid w:val="39CF15D2"/>
    <w:rsid w:val="39D097D3"/>
    <w:rsid w:val="39D277B1"/>
    <w:rsid w:val="39D7571E"/>
    <w:rsid w:val="39D7F55C"/>
    <w:rsid w:val="39D8BEB3"/>
    <w:rsid w:val="39DBBB4F"/>
    <w:rsid w:val="39DD72B9"/>
    <w:rsid w:val="39E5AE74"/>
    <w:rsid w:val="39EBFE1B"/>
    <w:rsid w:val="39EC00FF"/>
    <w:rsid w:val="39EEEE90"/>
    <w:rsid w:val="39F22804"/>
    <w:rsid w:val="3A17EC37"/>
    <w:rsid w:val="3A22F591"/>
    <w:rsid w:val="3A26E131"/>
    <w:rsid w:val="3A2962D3"/>
    <w:rsid w:val="3A2D1464"/>
    <w:rsid w:val="3A2EDF5D"/>
    <w:rsid w:val="3A30D2F5"/>
    <w:rsid w:val="3A3FD042"/>
    <w:rsid w:val="3A409990"/>
    <w:rsid w:val="3A455387"/>
    <w:rsid w:val="3A5099E9"/>
    <w:rsid w:val="3A51B3A4"/>
    <w:rsid w:val="3A619473"/>
    <w:rsid w:val="3A65DC06"/>
    <w:rsid w:val="3A69FB20"/>
    <w:rsid w:val="3A76F2E9"/>
    <w:rsid w:val="3A7B3662"/>
    <w:rsid w:val="3A81D1A2"/>
    <w:rsid w:val="3A8E0CA4"/>
    <w:rsid w:val="3A9DCDD0"/>
    <w:rsid w:val="3A9EA541"/>
    <w:rsid w:val="3AA811C0"/>
    <w:rsid w:val="3AB1A27E"/>
    <w:rsid w:val="3ABBBD49"/>
    <w:rsid w:val="3ABCE1FA"/>
    <w:rsid w:val="3AC18301"/>
    <w:rsid w:val="3ACB7381"/>
    <w:rsid w:val="3AE2CD25"/>
    <w:rsid w:val="3AEE379F"/>
    <w:rsid w:val="3AF887E2"/>
    <w:rsid w:val="3B02F4A9"/>
    <w:rsid w:val="3B2CB2CE"/>
    <w:rsid w:val="3B2F06CE"/>
    <w:rsid w:val="3B2F7663"/>
    <w:rsid w:val="3B313555"/>
    <w:rsid w:val="3B3394F4"/>
    <w:rsid w:val="3B3C6F56"/>
    <w:rsid w:val="3B3F6E7D"/>
    <w:rsid w:val="3B4C61E0"/>
    <w:rsid w:val="3B55A7D4"/>
    <w:rsid w:val="3B56D4EB"/>
    <w:rsid w:val="3B5E3952"/>
    <w:rsid w:val="3B5E95FF"/>
    <w:rsid w:val="3B6095C8"/>
    <w:rsid w:val="3B6C979F"/>
    <w:rsid w:val="3B71B960"/>
    <w:rsid w:val="3B92D79D"/>
    <w:rsid w:val="3B9A9A85"/>
    <w:rsid w:val="3BA54397"/>
    <w:rsid w:val="3BAA864F"/>
    <w:rsid w:val="3BC96C3D"/>
    <w:rsid w:val="3BD3D978"/>
    <w:rsid w:val="3BD8DE15"/>
    <w:rsid w:val="3BE13229"/>
    <w:rsid w:val="3BE134A5"/>
    <w:rsid w:val="3BE7D6F5"/>
    <w:rsid w:val="3BEACE39"/>
    <w:rsid w:val="3BFA4186"/>
    <w:rsid w:val="3C11FC79"/>
    <w:rsid w:val="3C190D69"/>
    <w:rsid w:val="3C1A38A0"/>
    <w:rsid w:val="3C1D6C94"/>
    <w:rsid w:val="3C2598DC"/>
    <w:rsid w:val="3C26B275"/>
    <w:rsid w:val="3C32536B"/>
    <w:rsid w:val="3C3633A5"/>
    <w:rsid w:val="3C3C665E"/>
    <w:rsid w:val="3C51929F"/>
    <w:rsid w:val="3C7AB962"/>
    <w:rsid w:val="3C7BD957"/>
    <w:rsid w:val="3C83A0F6"/>
    <w:rsid w:val="3C873215"/>
    <w:rsid w:val="3CABFCBA"/>
    <w:rsid w:val="3CAD70CA"/>
    <w:rsid w:val="3CB13D86"/>
    <w:rsid w:val="3CB8563D"/>
    <w:rsid w:val="3CC9D5AF"/>
    <w:rsid w:val="3CDD9395"/>
    <w:rsid w:val="3CE52998"/>
    <w:rsid w:val="3CE65EF3"/>
    <w:rsid w:val="3D05DDA4"/>
    <w:rsid w:val="3D0B5D9F"/>
    <w:rsid w:val="3D13AB2C"/>
    <w:rsid w:val="3D142406"/>
    <w:rsid w:val="3D198869"/>
    <w:rsid w:val="3D254930"/>
    <w:rsid w:val="3D2CC3FC"/>
    <w:rsid w:val="3D347B88"/>
    <w:rsid w:val="3D4B2791"/>
    <w:rsid w:val="3D4B4F41"/>
    <w:rsid w:val="3D4DEF67"/>
    <w:rsid w:val="3D65F6F4"/>
    <w:rsid w:val="3D7A7AD0"/>
    <w:rsid w:val="3D7B0AAA"/>
    <w:rsid w:val="3D8A18EF"/>
    <w:rsid w:val="3D8B9BAE"/>
    <w:rsid w:val="3DA18EFD"/>
    <w:rsid w:val="3DA21C41"/>
    <w:rsid w:val="3DB8CB06"/>
    <w:rsid w:val="3DBDCD2E"/>
    <w:rsid w:val="3DBEF4AA"/>
    <w:rsid w:val="3DC25474"/>
    <w:rsid w:val="3DD7C7B6"/>
    <w:rsid w:val="3DDB4473"/>
    <w:rsid w:val="3DDE56FA"/>
    <w:rsid w:val="3DE68839"/>
    <w:rsid w:val="3DED6300"/>
    <w:rsid w:val="3E059FCB"/>
    <w:rsid w:val="3E07EEFA"/>
    <w:rsid w:val="3E0F3FBA"/>
    <w:rsid w:val="3E26D820"/>
    <w:rsid w:val="3E2A331C"/>
    <w:rsid w:val="3E2E6EBD"/>
    <w:rsid w:val="3E448F69"/>
    <w:rsid w:val="3E4B83CE"/>
    <w:rsid w:val="3E517D57"/>
    <w:rsid w:val="3E5A02EF"/>
    <w:rsid w:val="3E657B22"/>
    <w:rsid w:val="3E6CBA3C"/>
    <w:rsid w:val="3E70B9FB"/>
    <w:rsid w:val="3E71A244"/>
    <w:rsid w:val="3E7DF5DC"/>
    <w:rsid w:val="3E822F54"/>
    <w:rsid w:val="3E87785F"/>
    <w:rsid w:val="3E98AA07"/>
    <w:rsid w:val="3E9BAF47"/>
    <w:rsid w:val="3EA5D427"/>
    <w:rsid w:val="3EAC6367"/>
    <w:rsid w:val="3EAE3AE2"/>
    <w:rsid w:val="3EB66DE3"/>
    <w:rsid w:val="3EB7EAE3"/>
    <w:rsid w:val="3EBC783B"/>
    <w:rsid w:val="3EC5EE53"/>
    <w:rsid w:val="3ECDC31B"/>
    <w:rsid w:val="3ED58AA4"/>
    <w:rsid w:val="3ED7FC73"/>
    <w:rsid w:val="3EDBBDCE"/>
    <w:rsid w:val="3EE16D5E"/>
    <w:rsid w:val="3EE2FB55"/>
    <w:rsid w:val="3EE76DE6"/>
    <w:rsid w:val="3EF9ECBE"/>
    <w:rsid w:val="3F022753"/>
    <w:rsid w:val="3F02843D"/>
    <w:rsid w:val="3F068EFE"/>
    <w:rsid w:val="3F0E5BB2"/>
    <w:rsid w:val="3F11A84F"/>
    <w:rsid w:val="3F11CE86"/>
    <w:rsid w:val="3F1AA262"/>
    <w:rsid w:val="3F1B964F"/>
    <w:rsid w:val="3F1E3405"/>
    <w:rsid w:val="3F23801D"/>
    <w:rsid w:val="3F276C0F"/>
    <w:rsid w:val="3F283F54"/>
    <w:rsid w:val="3F2C4032"/>
    <w:rsid w:val="3F340478"/>
    <w:rsid w:val="3F4132AD"/>
    <w:rsid w:val="3F5FC708"/>
    <w:rsid w:val="3F6287A4"/>
    <w:rsid w:val="3F6422BC"/>
    <w:rsid w:val="3F6BDE79"/>
    <w:rsid w:val="3F6DC3C4"/>
    <w:rsid w:val="3F7900E5"/>
    <w:rsid w:val="3F7FCF46"/>
    <w:rsid w:val="3F8245E1"/>
    <w:rsid w:val="3F824FCB"/>
    <w:rsid w:val="3F974F83"/>
    <w:rsid w:val="3F9955BA"/>
    <w:rsid w:val="3F9C897A"/>
    <w:rsid w:val="3F9F04DB"/>
    <w:rsid w:val="3FA7C920"/>
    <w:rsid w:val="3FA86F1D"/>
    <w:rsid w:val="3FAB7184"/>
    <w:rsid w:val="3FB66F71"/>
    <w:rsid w:val="3FC0152B"/>
    <w:rsid w:val="3FC1F980"/>
    <w:rsid w:val="3FC5F442"/>
    <w:rsid w:val="3FC97C25"/>
    <w:rsid w:val="3FDD8D24"/>
    <w:rsid w:val="3FE484D6"/>
    <w:rsid w:val="3FE86821"/>
    <w:rsid w:val="3FE8A91E"/>
    <w:rsid w:val="3FE94874"/>
    <w:rsid w:val="3FEE2963"/>
    <w:rsid w:val="3FF63176"/>
    <w:rsid w:val="3FF69B1B"/>
    <w:rsid w:val="3FFD89B6"/>
    <w:rsid w:val="3FFE7C7B"/>
    <w:rsid w:val="4000A7EF"/>
    <w:rsid w:val="40014B83"/>
    <w:rsid w:val="400CDF95"/>
    <w:rsid w:val="400FA2B5"/>
    <w:rsid w:val="4013F703"/>
    <w:rsid w:val="4014A5E7"/>
    <w:rsid w:val="401DFFB5"/>
    <w:rsid w:val="401EB3D3"/>
    <w:rsid w:val="40287612"/>
    <w:rsid w:val="402D2BE0"/>
    <w:rsid w:val="403E0E96"/>
    <w:rsid w:val="40453C6E"/>
    <w:rsid w:val="404F5B2F"/>
    <w:rsid w:val="40519168"/>
    <w:rsid w:val="4057A487"/>
    <w:rsid w:val="4059D894"/>
    <w:rsid w:val="4061B539"/>
    <w:rsid w:val="406626F2"/>
    <w:rsid w:val="4075FF43"/>
    <w:rsid w:val="40842CF9"/>
    <w:rsid w:val="4087DFC8"/>
    <w:rsid w:val="40893B50"/>
    <w:rsid w:val="40A1CA25"/>
    <w:rsid w:val="40A98316"/>
    <w:rsid w:val="40B3152B"/>
    <w:rsid w:val="40B319B0"/>
    <w:rsid w:val="40C4DE83"/>
    <w:rsid w:val="40E42F76"/>
    <w:rsid w:val="40E799B6"/>
    <w:rsid w:val="40FA79B3"/>
    <w:rsid w:val="4106D356"/>
    <w:rsid w:val="4109496A"/>
    <w:rsid w:val="41116490"/>
    <w:rsid w:val="41295A23"/>
    <w:rsid w:val="412AE3B6"/>
    <w:rsid w:val="412B6873"/>
    <w:rsid w:val="412CC259"/>
    <w:rsid w:val="413140B9"/>
    <w:rsid w:val="41335C63"/>
    <w:rsid w:val="413FCA91"/>
    <w:rsid w:val="415CCD24"/>
    <w:rsid w:val="416D42EB"/>
    <w:rsid w:val="416FE789"/>
    <w:rsid w:val="4182F277"/>
    <w:rsid w:val="418729DF"/>
    <w:rsid w:val="418D8A10"/>
    <w:rsid w:val="41904B4F"/>
    <w:rsid w:val="4195CCFC"/>
    <w:rsid w:val="419622CC"/>
    <w:rsid w:val="4199FB25"/>
    <w:rsid w:val="419BB8B0"/>
    <w:rsid w:val="41A47732"/>
    <w:rsid w:val="41ABB0DA"/>
    <w:rsid w:val="41B5A41D"/>
    <w:rsid w:val="41B93042"/>
    <w:rsid w:val="41BA8434"/>
    <w:rsid w:val="41C7D17B"/>
    <w:rsid w:val="41D0F52D"/>
    <w:rsid w:val="41D8258B"/>
    <w:rsid w:val="41D82AE3"/>
    <w:rsid w:val="41D92087"/>
    <w:rsid w:val="41E27E8D"/>
    <w:rsid w:val="41E5F493"/>
    <w:rsid w:val="41E73F81"/>
    <w:rsid w:val="41F1B8BC"/>
    <w:rsid w:val="41F999BE"/>
    <w:rsid w:val="41FC8784"/>
    <w:rsid w:val="420EDFAC"/>
    <w:rsid w:val="420F7402"/>
    <w:rsid w:val="42206C5F"/>
    <w:rsid w:val="42289E96"/>
    <w:rsid w:val="4229571F"/>
    <w:rsid w:val="423213BA"/>
    <w:rsid w:val="42328933"/>
    <w:rsid w:val="42341FE4"/>
    <w:rsid w:val="42431EEA"/>
    <w:rsid w:val="424CC6CA"/>
    <w:rsid w:val="424D05F2"/>
    <w:rsid w:val="424FCA09"/>
    <w:rsid w:val="42610895"/>
    <w:rsid w:val="426CC7B7"/>
    <w:rsid w:val="426CDA49"/>
    <w:rsid w:val="426E9D11"/>
    <w:rsid w:val="4277F682"/>
    <w:rsid w:val="4297CEAD"/>
    <w:rsid w:val="429E3DF3"/>
    <w:rsid w:val="429F73CD"/>
    <w:rsid w:val="42AE6E54"/>
    <w:rsid w:val="42C6B696"/>
    <w:rsid w:val="42CCE8E9"/>
    <w:rsid w:val="42D26112"/>
    <w:rsid w:val="42D7D47F"/>
    <w:rsid w:val="42E6D37A"/>
    <w:rsid w:val="42EA7CBE"/>
    <w:rsid w:val="42F4AAA9"/>
    <w:rsid w:val="42FB72A2"/>
    <w:rsid w:val="4301D517"/>
    <w:rsid w:val="431894DD"/>
    <w:rsid w:val="431B9E6F"/>
    <w:rsid w:val="431E48DA"/>
    <w:rsid w:val="43207F0A"/>
    <w:rsid w:val="432BE3E5"/>
    <w:rsid w:val="432C5C82"/>
    <w:rsid w:val="432E2020"/>
    <w:rsid w:val="432E364C"/>
    <w:rsid w:val="43362996"/>
    <w:rsid w:val="433B6C85"/>
    <w:rsid w:val="4347813B"/>
    <w:rsid w:val="434EA5DC"/>
    <w:rsid w:val="43571F17"/>
    <w:rsid w:val="4366315B"/>
    <w:rsid w:val="436B48A3"/>
    <w:rsid w:val="43723B46"/>
    <w:rsid w:val="4374FA02"/>
    <w:rsid w:val="437A66FE"/>
    <w:rsid w:val="438DDC74"/>
    <w:rsid w:val="438E4861"/>
    <w:rsid w:val="43935D17"/>
    <w:rsid w:val="4395BEC4"/>
    <w:rsid w:val="439A0791"/>
    <w:rsid w:val="43A87ABB"/>
    <w:rsid w:val="43AB77C1"/>
    <w:rsid w:val="43BA77C8"/>
    <w:rsid w:val="43D13FF8"/>
    <w:rsid w:val="43D8347A"/>
    <w:rsid w:val="43F739FB"/>
    <w:rsid w:val="43F76E4E"/>
    <w:rsid w:val="43FCCCC0"/>
    <w:rsid w:val="440509DC"/>
    <w:rsid w:val="4405A818"/>
    <w:rsid w:val="440615D8"/>
    <w:rsid w:val="44068C9C"/>
    <w:rsid w:val="440C54AD"/>
    <w:rsid w:val="4420C4E0"/>
    <w:rsid w:val="4422D499"/>
    <w:rsid w:val="443F15EB"/>
    <w:rsid w:val="44549B22"/>
    <w:rsid w:val="445646A7"/>
    <w:rsid w:val="4459081F"/>
    <w:rsid w:val="44631266"/>
    <w:rsid w:val="44749109"/>
    <w:rsid w:val="4479ED8B"/>
    <w:rsid w:val="448FCE23"/>
    <w:rsid w:val="4490B8DB"/>
    <w:rsid w:val="44942388"/>
    <w:rsid w:val="4494846D"/>
    <w:rsid w:val="4496A2CC"/>
    <w:rsid w:val="44BA717D"/>
    <w:rsid w:val="44BA95FE"/>
    <w:rsid w:val="44C50CBA"/>
    <w:rsid w:val="44C7CF41"/>
    <w:rsid w:val="44CA5ED9"/>
    <w:rsid w:val="44CC083E"/>
    <w:rsid w:val="44CE53BF"/>
    <w:rsid w:val="44D1FB38"/>
    <w:rsid w:val="44D216C5"/>
    <w:rsid w:val="44D93CE9"/>
    <w:rsid w:val="44DC45AB"/>
    <w:rsid w:val="44DCABE4"/>
    <w:rsid w:val="44E34F13"/>
    <w:rsid w:val="44E69920"/>
    <w:rsid w:val="44E7C9A5"/>
    <w:rsid w:val="44EF2E91"/>
    <w:rsid w:val="44F97822"/>
    <w:rsid w:val="44FDA97F"/>
    <w:rsid w:val="4508F4C8"/>
    <w:rsid w:val="45134CFB"/>
    <w:rsid w:val="45174ECD"/>
    <w:rsid w:val="45219CCA"/>
    <w:rsid w:val="452302D7"/>
    <w:rsid w:val="453D21AE"/>
    <w:rsid w:val="45409923"/>
    <w:rsid w:val="4542DE2B"/>
    <w:rsid w:val="45581613"/>
    <w:rsid w:val="456282DF"/>
    <w:rsid w:val="456C19A6"/>
    <w:rsid w:val="456FAAD9"/>
    <w:rsid w:val="4577FC0B"/>
    <w:rsid w:val="457A6BC7"/>
    <w:rsid w:val="45833232"/>
    <w:rsid w:val="45936B94"/>
    <w:rsid w:val="459D29A8"/>
    <w:rsid w:val="459F41B3"/>
    <w:rsid w:val="45A46879"/>
    <w:rsid w:val="45AD5B54"/>
    <w:rsid w:val="45C5C265"/>
    <w:rsid w:val="45D285B0"/>
    <w:rsid w:val="45E8BEF9"/>
    <w:rsid w:val="45EB099E"/>
    <w:rsid w:val="45EED154"/>
    <w:rsid w:val="45FB1BD3"/>
    <w:rsid w:val="46000DC8"/>
    <w:rsid w:val="460EDFBA"/>
    <w:rsid w:val="460EE6CF"/>
    <w:rsid w:val="461726F8"/>
    <w:rsid w:val="4619B362"/>
    <w:rsid w:val="462358A0"/>
    <w:rsid w:val="4631F778"/>
    <w:rsid w:val="46331F70"/>
    <w:rsid w:val="463CB8BA"/>
    <w:rsid w:val="4640C939"/>
    <w:rsid w:val="4646E131"/>
    <w:rsid w:val="464C1B62"/>
    <w:rsid w:val="46551D8F"/>
    <w:rsid w:val="465CD446"/>
    <w:rsid w:val="466E46DD"/>
    <w:rsid w:val="4686D54D"/>
    <w:rsid w:val="4686DBE9"/>
    <w:rsid w:val="46870F83"/>
    <w:rsid w:val="46918336"/>
    <w:rsid w:val="46A69991"/>
    <w:rsid w:val="46BA0B19"/>
    <w:rsid w:val="46C0037B"/>
    <w:rsid w:val="46C6A442"/>
    <w:rsid w:val="46D0BC7D"/>
    <w:rsid w:val="46D606B8"/>
    <w:rsid w:val="46E67953"/>
    <w:rsid w:val="46E81D95"/>
    <w:rsid w:val="46FC396A"/>
    <w:rsid w:val="4704CB14"/>
    <w:rsid w:val="4715711B"/>
    <w:rsid w:val="47257D02"/>
    <w:rsid w:val="47293FC5"/>
    <w:rsid w:val="47299642"/>
    <w:rsid w:val="47310E21"/>
    <w:rsid w:val="473AD42C"/>
    <w:rsid w:val="47409069"/>
    <w:rsid w:val="4741FB46"/>
    <w:rsid w:val="474FA430"/>
    <w:rsid w:val="4757E7FF"/>
    <w:rsid w:val="475E3BC1"/>
    <w:rsid w:val="4760B102"/>
    <w:rsid w:val="47639F8C"/>
    <w:rsid w:val="4768CC8D"/>
    <w:rsid w:val="476B8F14"/>
    <w:rsid w:val="477223CB"/>
    <w:rsid w:val="477383A8"/>
    <w:rsid w:val="47739416"/>
    <w:rsid w:val="477ACCDB"/>
    <w:rsid w:val="477D467C"/>
    <w:rsid w:val="477D8A57"/>
    <w:rsid w:val="4788CFF4"/>
    <w:rsid w:val="4789AFCD"/>
    <w:rsid w:val="478A0F01"/>
    <w:rsid w:val="478AAF3C"/>
    <w:rsid w:val="478D4A85"/>
    <w:rsid w:val="47907FF6"/>
    <w:rsid w:val="479A0ACB"/>
    <w:rsid w:val="479A9226"/>
    <w:rsid w:val="479BD229"/>
    <w:rsid w:val="479C818B"/>
    <w:rsid w:val="47A55E91"/>
    <w:rsid w:val="47B013AE"/>
    <w:rsid w:val="47D192CF"/>
    <w:rsid w:val="47D1CFAF"/>
    <w:rsid w:val="47D5889C"/>
    <w:rsid w:val="47E2B845"/>
    <w:rsid w:val="47E41E85"/>
    <w:rsid w:val="47E7F313"/>
    <w:rsid w:val="47F63DED"/>
    <w:rsid w:val="481A368F"/>
    <w:rsid w:val="48215685"/>
    <w:rsid w:val="48240C85"/>
    <w:rsid w:val="4824CCD1"/>
    <w:rsid w:val="48264289"/>
    <w:rsid w:val="4839B6EA"/>
    <w:rsid w:val="483E46EE"/>
    <w:rsid w:val="48579017"/>
    <w:rsid w:val="485B8A0A"/>
    <w:rsid w:val="48682219"/>
    <w:rsid w:val="486AA3F2"/>
    <w:rsid w:val="486B8477"/>
    <w:rsid w:val="486ED1D7"/>
    <w:rsid w:val="4872385F"/>
    <w:rsid w:val="4875775E"/>
    <w:rsid w:val="48806DC1"/>
    <w:rsid w:val="4887B56C"/>
    <w:rsid w:val="4888F362"/>
    <w:rsid w:val="48991F97"/>
    <w:rsid w:val="48A2F77F"/>
    <w:rsid w:val="48A39439"/>
    <w:rsid w:val="48A7F330"/>
    <w:rsid w:val="48A835AC"/>
    <w:rsid w:val="48C04690"/>
    <w:rsid w:val="48C4803C"/>
    <w:rsid w:val="48C99A91"/>
    <w:rsid w:val="48CDC8B9"/>
    <w:rsid w:val="48D36A6D"/>
    <w:rsid w:val="48D75997"/>
    <w:rsid w:val="48D96EED"/>
    <w:rsid w:val="48EA5C28"/>
    <w:rsid w:val="48EB7491"/>
    <w:rsid w:val="48EB81A0"/>
    <w:rsid w:val="48EC1082"/>
    <w:rsid w:val="48F166D2"/>
    <w:rsid w:val="48FB4BD7"/>
    <w:rsid w:val="491A90BD"/>
    <w:rsid w:val="491BEA45"/>
    <w:rsid w:val="49208C01"/>
    <w:rsid w:val="4926E676"/>
    <w:rsid w:val="493626DD"/>
    <w:rsid w:val="494B7AFF"/>
    <w:rsid w:val="494DC572"/>
    <w:rsid w:val="495210C6"/>
    <w:rsid w:val="495ECF3C"/>
    <w:rsid w:val="4961FB0A"/>
    <w:rsid w:val="4963039C"/>
    <w:rsid w:val="4965F7C6"/>
    <w:rsid w:val="496FBED7"/>
    <w:rsid w:val="497CB163"/>
    <w:rsid w:val="49804F25"/>
    <w:rsid w:val="4982EDEA"/>
    <w:rsid w:val="4987E003"/>
    <w:rsid w:val="49903E93"/>
    <w:rsid w:val="499B6B9D"/>
    <w:rsid w:val="499E3D09"/>
    <w:rsid w:val="49A3878F"/>
    <w:rsid w:val="49A4D5D1"/>
    <w:rsid w:val="49A8E8EB"/>
    <w:rsid w:val="49BA1D14"/>
    <w:rsid w:val="49D2E1B1"/>
    <w:rsid w:val="49DF3102"/>
    <w:rsid w:val="49ED756E"/>
    <w:rsid w:val="49EF9D98"/>
    <w:rsid w:val="4A1033CF"/>
    <w:rsid w:val="4A121EBB"/>
    <w:rsid w:val="4A34829C"/>
    <w:rsid w:val="4A3A3649"/>
    <w:rsid w:val="4A4A739B"/>
    <w:rsid w:val="4A4F5C03"/>
    <w:rsid w:val="4A58B789"/>
    <w:rsid w:val="4A5D1B45"/>
    <w:rsid w:val="4A6D5952"/>
    <w:rsid w:val="4A818006"/>
    <w:rsid w:val="4A83A29C"/>
    <w:rsid w:val="4A8744F2"/>
    <w:rsid w:val="4A8C7FB9"/>
    <w:rsid w:val="4A908DD0"/>
    <w:rsid w:val="4A93AE8D"/>
    <w:rsid w:val="4A94DAA4"/>
    <w:rsid w:val="4A9903FA"/>
    <w:rsid w:val="4AA51FA8"/>
    <w:rsid w:val="4AA99304"/>
    <w:rsid w:val="4AB2544C"/>
    <w:rsid w:val="4AC0BB85"/>
    <w:rsid w:val="4AC5A0D1"/>
    <w:rsid w:val="4AD82941"/>
    <w:rsid w:val="4AE5377B"/>
    <w:rsid w:val="4AEC1B20"/>
    <w:rsid w:val="4AEDFC0E"/>
    <w:rsid w:val="4AF6DE42"/>
    <w:rsid w:val="4AF72221"/>
    <w:rsid w:val="4AFD9841"/>
    <w:rsid w:val="4B09F18A"/>
    <w:rsid w:val="4B1355FC"/>
    <w:rsid w:val="4B16A93C"/>
    <w:rsid w:val="4B17B037"/>
    <w:rsid w:val="4B23C1BA"/>
    <w:rsid w:val="4B2FAB93"/>
    <w:rsid w:val="4B325B47"/>
    <w:rsid w:val="4B337B87"/>
    <w:rsid w:val="4B35529C"/>
    <w:rsid w:val="4B3F4C3E"/>
    <w:rsid w:val="4B5E2750"/>
    <w:rsid w:val="4B637008"/>
    <w:rsid w:val="4B63BE94"/>
    <w:rsid w:val="4B649F44"/>
    <w:rsid w:val="4B7ABF86"/>
    <w:rsid w:val="4B7E8638"/>
    <w:rsid w:val="4B80E67B"/>
    <w:rsid w:val="4B833B1E"/>
    <w:rsid w:val="4B8477DD"/>
    <w:rsid w:val="4B884C27"/>
    <w:rsid w:val="4B97BCB0"/>
    <w:rsid w:val="4B9F64F3"/>
    <w:rsid w:val="4BB20BDB"/>
    <w:rsid w:val="4BB8E665"/>
    <w:rsid w:val="4BB95969"/>
    <w:rsid w:val="4BBFFB3D"/>
    <w:rsid w:val="4BC12B04"/>
    <w:rsid w:val="4BD38756"/>
    <w:rsid w:val="4BDBFCE6"/>
    <w:rsid w:val="4BDD6335"/>
    <w:rsid w:val="4BEFA798"/>
    <w:rsid w:val="4BF7FB09"/>
    <w:rsid w:val="4C297ED9"/>
    <w:rsid w:val="4C33692B"/>
    <w:rsid w:val="4C424A47"/>
    <w:rsid w:val="4C49805E"/>
    <w:rsid w:val="4C4BCA7E"/>
    <w:rsid w:val="4C5057DE"/>
    <w:rsid w:val="4C524579"/>
    <w:rsid w:val="4C60BBA8"/>
    <w:rsid w:val="4C619EAD"/>
    <w:rsid w:val="4C68E551"/>
    <w:rsid w:val="4C726C39"/>
    <w:rsid w:val="4C73FE33"/>
    <w:rsid w:val="4C7A25CB"/>
    <w:rsid w:val="4C8C2DB8"/>
    <w:rsid w:val="4C904D4A"/>
    <w:rsid w:val="4C91719B"/>
    <w:rsid w:val="4C92AC60"/>
    <w:rsid w:val="4C9457B3"/>
    <w:rsid w:val="4C99ABA4"/>
    <w:rsid w:val="4CA26056"/>
    <w:rsid w:val="4CADF433"/>
    <w:rsid w:val="4CB38098"/>
    <w:rsid w:val="4CB4AC52"/>
    <w:rsid w:val="4CBAE13E"/>
    <w:rsid w:val="4CC1BB8C"/>
    <w:rsid w:val="4CC1EEC8"/>
    <w:rsid w:val="4CC3018C"/>
    <w:rsid w:val="4CC66660"/>
    <w:rsid w:val="4CD17630"/>
    <w:rsid w:val="4CDD28AA"/>
    <w:rsid w:val="4CE7C4EA"/>
    <w:rsid w:val="4CE7F516"/>
    <w:rsid w:val="4CEF9827"/>
    <w:rsid w:val="4CF4F226"/>
    <w:rsid w:val="4CF6700B"/>
    <w:rsid w:val="4CFF4B3D"/>
    <w:rsid w:val="4D093986"/>
    <w:rsid w:val="4D1468E6"/>
    <w:rsid w:val="4D14FA93"/>
    <w:rsid w:val="4D1588D7"/>
    <w:rsid w:val="4D16AD68"/>
    <w:rsid w:val="4D1C685A"/>
    <w:rsid w:val="4D2792DD"/>
    <w:rsid w:val="4D32126B"/>
    <w:rsid w:val="4D322498"/>
    <w:rsid w:val="4D4D3BB8"/>
    <w:rsid w:val="4D5125F2"/>
    <w:rsid w:val="4D5B795C"/>
    <w:rsid w:val="4D5C6BEF"/>
    <w:rsid w:val="4D69C9FB"/>
    <w:rsid w:val="4D7D5616"/>
    <w:rsid w:val="4D86DF6D"/>
    <w:rsid w:val="4D87DF66"/>
    <w:rsid w:val="4DA4233F"/>
    <w:rsid w:val="4DA6C565"/>
    <w:rsid w:val="4DABEB6B"/>
    <w:rsid w:val="4DB1E916"/>
    <w:rsid w:val="4DB32B95"/>
    <w:rsid w:val="4DBEE5B4"/>
    <w:rsid w:val="4DBF5761"/>
    <w:rsid w:val="4DC1EED9"/>
    <w:rsid w:val="4DC8FC0D"/>
    <w:rsid w:val="4DC93AB2"/>
    <w:rsid w:val="4DCBFD3E"/>
    <w:rsid w:val="4DCE6B73"/>
    <w:rsid w:val="4DF09D13"/>
    <w:rsid w:val="4E0D484E"/>
    <w:rsid w:val="4E120D28"/>
    <w:rsid w:val="4E1864C6"/>
    <w:rsid w:val="4E2C993C"/>
    <w:rsid w:val="4E31F330"/>
    <w:rsid w:val="4E48169B"/>
    <w:rsid w:val="4E4B69B7"/>
    <w:rsid w:val="4E529C11"/>
    <w:rsid w:val="4E63010A"/>
    <w:rsid w:val="4E7A85BA"/>
    <w:rsid w:val="4E7CFE4D"/>
    <w:rsid w:val="4E9834B9"/>
    <w:rsid w:val="4E99D1FF"/>
    <w:rsid w:val="4EA7FD45"/>
    <w:rsid w:val="4EAD609E"/>
    <w:rsid w:val="4EB808FA"/>
    <w:rsid w:val="4EBDE5B1"/>
    <w:rsid w:val="4EBF075C"/>
    <w:rsid w:val="4EC29494"/>
    <w:rsid w:val="4ED74699"/>
    <w:rsid w:val="4EE39033"/>
    <w:rsid w:val="4EE97F77"/>
    <w:rsid w:val="4EEF174F"/>
    <w:rsid w:val="4EF0B187"/>
    <w:rsid w:val="4EF9CF1E"/>
    <w:rsid w:val="4F005F83"/>
    <w:rsid w:val="4F13674D"/>
    <w:rsid w:val="4F1478EB"/>
    <w:rsid w:val="4F14E0A9"/>
    <w:rsid w:val="4F1D2095"/>
    <w:rsid w:val="4F1DDE62"/>
    <w:rsid w:val="4F2F8814"/>
    <w:rsid w:val="4F3656E8"/>
    <w:rsid w:val="4F4D171F"/>
    <w:rsid w:val="4F51B7B0"/>
    <w:rsid w:val="4F5B5206"/>
    <w:rsid w:val="4F5D8ADD"/>
    <w:rsid w:val="4F708AD4"/>
    <w:rsid w:val="4F7266E6"/>
    <w:rsid w:val="4F77BB7D"/>
    <w:rsid w:val="4F77E575"/>
    <w:rsid w:val="4F7F4CA6"/>
    <w:rsid w:val="4F852601"/>
    <w:rsid w:val="4F8C7B50"/>
    <w:rsid w:val="4F95B4C1"/>
    <w:rsid w:val="4F9B61DA"/>
    <w:rsid w:val="4FA744B1"/>
    <w:rsid w:val="4FBAA3C3"/>
    <w:rsid w:val="4FBBB281"/>
    <w:rsid w:val="4FBE450D"/>
    <w:rsid w:val="4FC19068"/>
    <w:rsid w:val="4FC5DA49"/>
    <w:rsid w:val="4FC8BAD3"/>
    <w:rsid w:val="4FCA4687"/>
    <w:rsid w:val="4FD708BE"/>
    <w:rsid w:val="4FDD1A90"/>
    <w:rsid w:val="4FDDC358"/>
    <w:rsid w:val="4FE8EF3E"/>
    <w:rsid w:val="50037182"/>
    <w:rsid w:val="5004B968"/>
    <w:rsid w:val="500A5012"/>
    <w:rsid w:val="50182A6F"/>
    <w:rsid w:val="50190384"/>
    <w:rsid w:val="50198B35"/>
    <w:rsid w:val="5019BA3A"/>
    <w:rsid w:val="502708A4"/>
    <w:rsid w:val="503308F2"/>
    <w:rsid w:val="50395A12"/>
    <w:rsid w:val="5041754B"/>
    <w:rsid w:val="5045F3CD"/>
    <w:rsid w:val="504737C2"/>
    <w:rsid w:val="504CC927"/>
    <w:rsid w:val="50618843"/>
    <w:rsid w:val="506E7C6F"/>
    <w:rsid w:val="5070E203"/>
    <w:rsid w:val="50741686"/>
    <w:rsid w:val="50759128"/>
    <w:rsid w:val="5077853D"/>
    <w:rsid w:val="507F14C1"/>
    <w:rsid w:val="507FDAF0"/>
    <w:rsid w:val="5080BEF8"/>
    <w:rsid w:val="508B1153"/>
    <w:rsid w:val="509D480D"/>
    <w:rsid w:val="50B2A581"/>
    <w:rsid w:val="50B707E2"/>
    <w:rsid w:val="50BA403C"/>
    <w:rsid w:val="50BB8419"/>
    <w:rsid w:val="50C00573"/>
    <w:rsid w:val="50C4BC17"/>
    <w:rsid w:val="50C66CBA"/>
    <w:rsid w:val="50CA3019"/>
    <w:rsid w:val="50CB5735"/>
    <w:rsid w:val="50CB5875"/>
    <w:rsid w:val="50CD04D9"/>
    <w:rsid w:val="50D67226"/>
    <w:rsid w:val="50DCDAC0"/>
    <w:rsid w:val="50DE5612"/>
    <w:rsid w:val="50E0572B"/>
    <w:rsid w:val="50E530CE"/>
    <w:rsid w:val="50F95E89"/>
    <w:rsid w:val="51088C5F"/>
    <w:rsid w:val="5117306B"/>
    <w:rsid w:val="511843B7"/>
    <w:rsid w:val="511F2D2F"/>
    <w:rsid w:val="511F4EC2"/>
    <w:rsid w:val="513CC376"/>
    <w:rsid w:val="5140FD21"/>
    <w:rsid w:val="515F7F11"/>
    <w:rsid w:val="516A1BD0"/>
    <w:rsid w:val="517A2432"/>
    <w:rsid w:val="5191A06C"/>
    <w:rsid w:val="5199D7A0"/>
    <w:rsid w:val="519AFB7E"/>
    <w:rsid w:val="51A34C14"/>
    <w:rsid w:val="51A54FAF"/>
    <w:rsid w:val="51A7EDFE"/>
    <w:rsid w:val="51AF96C6"/>
    <w:rsid w:val="51B6A551"/>
    <w:rsid w:val="51BB7CCC"/>
    <w:rsid w:val="51BEDC22"/>
    <w:rsid w:val="51C05A5A"/>
    <w:rsid w:val="51CC7C98"/>
    <w:rsid w:val="51CDFC98"/>
    <w:rsid w:val="51CECFB5"/>
    <w:rsid w:val="51E2D552"/>
    <w:rsid w:val="51E521BA"/>
    <w:rsid w:val="51F8540B"/>
    <w:rsid w:val="520A4CD0"/>
    <w:rsid w:val="521BFC00"/>
    <w:rsid w:val="522BE4A0"/>
    <w:rsid w:val="522C4D59"/>
    <w:rsid w:val="522E0E9D"/>
    <w:rsid w:val="522F685F"/>
    <w:rsid w:val="524ACA13"/>
    <w:rsid w:val="524B4B60"/>
    <w:rsid w:val="52511F40"/>
    <w:rsid w:val="5251278B"/>
    <w:rsid w:val="5252AB30"/>
    <w:rsid w:val="525999E5"/>
    <w:rsid w:val="5265B425"/>
    <w:rsid w:val="526DFA7E"/>
    <w:rsid w:val="52841DAF"/>
    <w:rsid w:val="5286CDAA"/>
    <w:rsid w:val="52951576"/>
    <w:rsid w:val="52AFA0D9"/>
    <w:rsid w:val="52B00EF5"/>
    <w:rsid w:val="52B0F004"/>
    <w:rsid w:val="52B761A7"/>
    <w:rsid w:val="52C51CAC"/>
    <w:rsid w:val="52DED0DC"/>
    <w:rsid w:val="53033120"/>
    <w:rsid w:val="530DB1E4"/>
    <w:rsid w:val="5317345A"/>
    <w:rsid w:val="531B1CE6"/>
    <w:rsid w:val="531ED73C"/>
    <w:rsid w:val="53381472"/>
    <w:rsid w:val="533EEC58"/>
    <w:rsid w:val="534573A6"/>
    <w:rsid w:val="5349F3D2"/>
    <w:rsid w:val="534BB587"/>
    <w:rsid w:val="534FCB31"/>
    <w:rsid w:val="5365928B"/>
    <w:rsid w:val="536720FA"/>
    <w:rsid w:val="53673AF3"/>
    <w:rsid w:val="53763B10"/>
    <w:rsid w:val="537A1E32"/>
    <w:rsid w:val="537ADC58"/>
    <w:rsid w:val="537B5956"/>
    <w:rsid w:val="5397C9A7"/>
    <w:rsid w:val="539B5E4C"/>
    <w:rsid w:val="539B82FF"/>
    <w:rsid w:val="539D7D65"/>
    <w:rsid w:val="53A835E3"/>
    <w:rsid w:val="53ADDA44"/>
    <w:rsid w:val="53B85FBA"/>
    <w:rsid w:val="53B86989"/>
    <w:rsid w:val="53C2F176"/>
    <w:rsid w:val="53CC1566"/>
    <w:rsid w:val="53CEE63B"/>
    <w:rsid w:val="53DD4C0C"/>
    <w:rsid w:val="53E25B64"/>
    <w:rsid w:val="53EC3102"/>
    <w:rsid w:val="53F0F5C2"/>
    <w:rsid w:val="53F6C61C"/>
    <w:rsid w:val="53F8AB28"/>
    <w:rsid w:val="53FB5889"/>
    <w:rsid w:val="5408C832"/>
    <w:rsid w:val="540C450F"/>
    <w:rsid w:val="54140576"/>
    <w:rsid w:val="54267AD6"/>
    <w:rsid w:val="54298040"/>
    <w:rsid w:val="542A65C7"/>
    <w:rsid w:val="542B029A"/>
    <w:rsid w:val="542C5D04"/>
    <w:rsid w:val="542CAA28"/>
    <w:rsid w:val="5437B212"/>
    <w:rsid w:val="543DE523"/>
    <w:rsid w:val="543E7E0C"/>
    <w:rsid w:val="54756D40"/>
    <w:rsid w:val="54895037"/>
    <w:rsid w:val="5489C8AA"/>
    <w:rsid w:val="54901A5C"/>
    <w:rsid w:val="549BE48E"/>
    <w:rsid w:val="549C2726"/>
    <w:rsid w:val="549C2BF6"/>
    <w:rsid w:val="549D6E57"/>
    <w:rsid w:val="54A7D364"/>
    <w:rsid w:val="54ABB65C"/>
    <w:rsid w:val="54C68003"/>
    <w:rsid w:val="54CDB453"/>
    <w:rsid w:val="54D140F1"/>
    <w:rsid w:val="54D28B35"/>
    <w:rsid w:val="54DA60BB"/>
    <w:rsid w:val="54DED34D"/>
    <w:rsid w:val="54DFD765"/>
    <w:rsid w:val="54E32FE6"/>
    <w:rsid w:val="54E7CED1"/>
    <w:rsid w:val="54EB9B92"/>
    <w:rsid w:val="54F4F059"/>
    <w:rsid w:val="5504A045"/>
    <w:rsid w:val="55075D8A"/>
    <w:rsid w:val="5509B564"/>
    <w:rsid w:val="550D27F8"/>
    <w:rsid w:val="551255F6"/>
    <w:rsid w:val="553FD0CB"/>
    <w:rsid w:val="5554BDF1"/>
    <w:rsid w:val="5568F02C"/>
    <w:rsid w:val="556FA107"/>
    <w:rsid w:val="5574C2B7"/>
    <w:rsid w:val="55821741"/>
    <w:rsid w:val="558A7905"/>
    <w:rsid w:val="558F95E9"/>
    <w:rsid w:val="559410BD"/>
    <w:rsid w:val="5596E62C"/>
    <w:rsid w:val="5598E7AD"/>
    <w:rsid w:val="559DDE09"/>
    <w:rsid w:val="55B16621"/>
    <w:rsid w:val="55B65008"/>
    <w:rsid w:val="55BCC038"/>
    <w:rsid w:val="55BE1167"/>
    <w:rsid w:val="55CFCC14"/>
    <w:rsid w:val="55DCD7F2"/>
    <w:rsid w:val="55EF1C5D"/>
    <w:rsid w:val="56027608"/>
    <w:rsid w:val="560436C8"/>
    <w:rsid w:val="5611FF3D"/>
    <w:rsid w:val="562755B5"/>
    <w:rsid w:val="5633F79C"/>
    <w:rsid w:val="563D592C"/>
    <w:rsid w:val="563E85F1"/>
    <w:rsid w:val="5654932D"/>
    <w:rsid w:val="56591B6A"/>
    <w:rsid w:val="56595ABD"/>
    <w:rsid w:val="56692B8B"/>
    <w:rsid w:val="56752054"/>
    <w:rsid w:val="5681F8A8"/>
    <w:rsid w:val="5688E7A0"/>
    <w:rsid w:val="569526D9"/>
    <w:rsid w:val="56A16ED4"/>
    <w:rsid w:val="56ABC834"/>
    <w:rsid w:val="56AC36BD"/>
    <w:rsid w:val="56B4000A"/>
    <w:rsid w:val="56BE4588"/>
    <w:rsid w:val="56C71FF1"/>
    <w:rsid w:val="56CAABF7"/>
    <w:rsid w:val="56CCF120"/>
    <w:rsid w:val="56D9386F"/>
    <w:rsid w:val="56DA62B6"/>
    <w:rsid w:val="56E4399B"/>
    <w:rsid w:val="56E5AB79"/>
    <w:rsid w:val="56E77741"/>
    <w:rsid w:val="570854EE"/>
    <w:rsid w:val="570BC913"/>
    <w:rsid w:val="570F6F52"/>
    <w:rsid w:val="571953B1"/>
    <w:rsid w:val="571F07AC"/>
    <w:rsid w:val="571F6B79"/>
    <w:rsid w:val="57258587"/>
    <w:rsid w:val="572930C0"/>
    <w:rsid w:val="5737661B"/>
    <w:rsid w:val="573D788A"/>
    <w:rsid w:val="57481A63"/>
    <w:rsid w:val="574E097E"/>
    <w:rsid w:val="5763D12E"/>
    <w:rsid w:val="57666B2B"/>
    <w:rsid w:val="5769F40F"/>
    <w:rsid w:val="576E6188"/>
    <w:rsid w:val="57741F89"/>
    <w:rsid w:val="5778D3E1"/>
    <w:rsid w:val="577FC294"/>
    <w:rsid w:val="577FE7B2"/>
    <w:rsid w:val="579847EE"/>
    <w:rsid w:val="57A0CCB6"/>
    <w:rsid w:val="57B08410"/>
    <w:rsid w:val="57B6AB31"/>
    <w:rsid w:val="57BC28D6"/>
    <w:rsid w:val="57CF0418"/>
    <w:rsid w:val="58031407"/>
    <w:rsid w:val="581B42BA"/>
    <w:rsid w:val="581CB6B3"/>
    <w:rsid w:val="581E66BE"/>
    <w:rsid w:val="582318AA"/>
    <w:rsid w:val="5827CB40"/>
    <w:rsid w:val="582D836B"/>
    <w:rsid w:val="583119D8"/>
    <w:rsid w:val="5832DB0F"/>
    <w:rsid w:val="583F384B"/>
    <w:rsid w:val="5840D2BF"/>
    <w:rsid w:val="58534BA2"/>
    <w:rsid w:val="585BC6C2"/>
    <w:rsid w:val="5868EA87"/>
    <w:rsid w:val="5873210A"/>
    <w:rsid w:val="58757FF5"/>
    <w:rsid w:val="588AC92B"/>
    <w:rsid w:val="589675CB"/>
    <w:rsid w:val="589D7BCD"/>
    <w:rsid w:val="58B1012F"/>
    <w:rsid w:val="58B6BA71"/>
    <w:rsid w:val="58CE1E25"/>
    <w:rsid w:val="58DC94B6"/>
    <w:rsid w:val="58F7FD68"/>
    <w:rsid w:val="5920E8E2"/>
    <w:rsid w:val="5921647D"/>
    <w:rsid w:val="592C20B2"/>
    <w:rsid w:val="593087FC"/>
    <w:rsid w:val="594257E2"/>
    <w:rsid w:val="594637F5"/>
    <w:rsid w:val="595689B6"/>
    <w:rsid w:val="595DF037"/>
    <w:rsid w:val="59632FA8"/>
    <w:rsid w:val="596CEF59"/>
    <w:rsid w:val="59721939"/>
    <w:rsid w:val="598197BF"/>
    <w:rsid w:val="598917A2"/>
    <w:rsid w:val="598B36DE"/>
    <w:rsid w:val="5992B7A3"/>
    <w:rsid w:val="5999DB3C"/>
    <w:rsid w:val="599B7726"/>
    <w:rsid w:val="59A56B31"/>
    <w:rsid w:val="59ADD1DE"/>
    <w:rsid w:val="59AFC202"/>
    <w:rsid w:val="59BBABB2"/>
    <w:rsid w:val="59CA2D4D"/>
    <w:rsid w:val="59D24DA4"/>
    <w:rsid w:val="59D430B7"/>
    <w:rsid w:val="59D72CEF"/>
    <w:rsid w:val="59DC19F6"/>
    <w:rsid w:val="59F0F015"/>
    <w:rsid w:val="59F81DD5"/>
    <w:rsid w:val="5A0153B8"/>
    <w:rsid w:val="5A05646A"/>
    <w:rsid w:val="5A065985"/>
    <w:rsid w:val="5A078585"/>
    <w:rsid w:val="5A0F60C6"/>
    <w:rsid w:val="5A1320AA"/>
    <w:rsid w:val="5A190238"/>
    <w:rsid w:val="5A2A1735"/>
    <w:rsid w:val="5A3FBA00"/>
    <w:rsid w:val="5A4C339D"/>
    <w:rsid w:val="5A566FA9"/>
    <w:rsid w:val="5A567C49"/>
    <w:rsid w:val="5A58C0A3"/>
    <w:rsid w:val="5A5C718C"/>
    <w:rsid w:val="5A5F1305"/>
    <w:rsid w:val="5A635829"/>
    <w:rsid w:val="5A66BBB3"/>
    <w:rsid w:val="5A697805"/>
    <w:rsid w:val="5A6C7E6E"/>
    <w:rsid w:val="5A8101E6"/>
    <w:rsid w:val="5A87EB39"/>
    <w:rsid w:val="5A8AE159"/>
    <w:rsid w:val="5A9F2C3B"/>
    <w:rsid w:val="5AA55642"/>
    <w:rsid w:val="5AA69443"/>
    <w:rsid w:val="5AA8A4D2"/>
    <w:rsid w:val="5AAACEFE"/>
    <w:rsid w:val="5AB0AA1E"/>
    <w:rsid w:val="5ABD65D1"/>
    <w:rsid w:val="5ABFD821"/>
    <w:rsid w:val="5AC24C8A"/>
    <w:rsid w:val="5ACF7B28"/>
    <w:rsid w:val="5AD82268"/>
    <w:rsid w:val="5AE996AE"/>
    <w:rsid w:val="5AF06B78"/>
    <w:rsid w:val="5AF605B4"/>
    <w:rsid w:val="5AFB68E0"/>
    <w:rsid w:val="5B0347D0"/>
    <w:rsid w:val="5B0A04C0"/>
    <w:rsid w:val="5B105B10"/>
    <w:rsid w:val="5B113762"/>
    <w:rsid w:val="5B1C992A"/>
    <w:rsid w:val="5B20A603"/>
    <w:rsid w:val="5B3085A9"/>
    <w:rsid w:val="5B334F4D"/>
    <w:rsid w:val="5B55F212"/>
    <w:rsid w:val="5B71C811"/>
    <w:rsid w:val="5B732E76"/>
    <w:rsid w:val="5B78759C"/>
    <w:rsid w:val="5B789F43"/>
    <w:rsid w:val="5B7B5E59"/>
    <w:rsid w:val="5B7C34EC"/>
    <w:rsid w:val="5B7F1A13"/>
    <w:rsid w:val="5B84845F"/>
    <w:rsid w:val="5BB27CBE"/>
    <w:rsid w:val="5BB8687E"/>
    <w:rsid w:val="5BB88C15"/>
    <w:rsid w:val="5BBB2676"/>
    <w:rsid w:val="5BC7B16D"/>
    <w:rsid w:val="5BD8A5C5"/>
    <w:rsid w:val="5BE58794"/>
    <w:rsid w:val="5BEC5267"/>
    <w:rsid w:val="5BFDF7B5"/>
    <w:rsid w:val="5C00A480"/>
    <w:rsid w:val="5C04DCE1"/>
    <w:rsid w:val="5C06A2CA"/>
    <w:rsid w:val="5C0CE065"/>
    <w:rsid w:val="5C14E5BC"/>
    <w:rsid w:val="5C181A95"/>
    <w:rsid w:val="5C29261C"/>
    <w:rsid w:val="5C32045A"/>
    <w:rsid w:val="5C4B60C3"/>
    <w:rsid w:val="5C515742"/>
    <w:rsid w:val="5C5C58A1"/>
    <w:rsid w:val="5C657AF5"/>
    <w:rsid w:val="5C6B7C29"/>
    <w:rsid w:val="5C773886"/>
    <w:rsid w:val="5C8B9B86"/>
    <w:rsid w:val="5C8E7080"/>
    <w:rsid w:val="5CA1BE7B"/>
    <w:rsid w:val="5CA72B36"/>
    <w:rsid w:val="5CB4A2FB"/>
    <w:rsid w:val="5CB86451"/>
    <w:rsid w:val="5CC145DE"/>
    <w:rsid w:val="5CCD3693"/>
    <w:rsid w:val="5CE6CFBC"/>
    <w:rsid w:val="5D0C4F84"/>
    <w:rsid w:val="5D165168"/>
    <w:rsid w:val="5D1BE399"/>
    <w:rsid w:val="5D2A6C58"/>
    <w:rsid w:val="5D2FBE97"/>
    <w:rsid w:val="5D31F59C"/>
    <w:rsid w:val="5D3570A9"/>
    <w:rsid w:val="5D42917E"/>
    <w:rsid w:val="5D447C9A"/>
    <w:rsid w:val="5D4619A3"/>
    <w:rsid w:val="5D469264"/>
    <w:rsid w:val="5D5438DF"/>
    <w:rsid w:val="5D54ECFD"/>
    <w:rsid w:val="5D5AF67A"/>
    <w:rsid w:val="5D72C44B"/>
    <w:rsid w:val="5D81727F"/>
    <w:rsid w:val="5D8981D2"/>
    <w:rsid w:val="5D8B67D6"/>
    <w:rsid w:val="5D97067E"/>
    <w:rsid w:val="5DAE5875"/>
    <w:rsid w:val="5DC090EB"/>
    <w:rsid w:val="5DC252F8"/>
    <w:rsid w:val="5DC5AAC0"/>
    <w:rsid w:val="5DD5E794"/>
    <w:rsid w:val="5DDE3505"/>
    <w:rsid w:val="5DE48039"/>
    <w:rsid w:val="5DE6BE19"/>
    <w:rsid w:val="5DE80474"/>
    <w:rsid w:val="5DF8FBB7"/>
    <w:rsid w:val="5E0104C2"/>
    <w:rsid w:val="5E01E502"/>
    <w:rsid w:val="5E030B3C"/>
    <w:rsid w:val="5E092DBB"/>
    <w:rsid w:val="5E1BDC61"/>
    <w:rsid w:val="5E211AFF"/>
    <w:rsid w:val="5E3B9083"/>
    <w:rsid w:val="5E3D5CB7"/>
    <w:rsid w:val="5E4264BF"/>
    <w:rsid w:val="5E4EBB70"/>
    <w:rsid w:val="5E505897"/>
    <w:rsid w:val="5E508C5E"/>
    <w:rsid w:val="5E55B5F6"/>
    <w:rsid w:val="5E5C4CE3"/>
    <w:rsid w:val="5E63F5A1"/>
    <w:rsid w:val="5E726A78"/>
    <w:rsid w:val="5E72B975"/>
    <w:rsid w:val="5E7D5F76"/>
    <w:rsid w:val="5E7D89E0"/>
    <w:rsid w:val="5E8344DA"/>
    <w:rsid w:val="5E86587D"/>
    <w:rsid w:val="5E8B99D3"/>
    <w:rsid w:val="5E970A5B"/>
    <w:rsid w:val="5EA2D75B"/>
    <w:rsid w:val="5EA7A98A"/>
    <w:rsid w:val="5EA7BB39"/>
    <w:rsid w:val="5EABDBB5"/>
    <w:rsid w:val="5EB04005"/>
    <w:rsid w:val="5EC9E26E"/>
    <w:rsid w:val="5ED04151"/>
    <w:rsid w:val="5ED5E3FB"/>
    <w:rsid w:val="5ED6362E"/>
    <w:rsid w:val="5EDB781A"/>
    <w:rsid w:val="5EDF0E87"/>
    <w:rsid w:val="5EE31CA4"/>
    <w:rsid w:val="5EED4A69"/>
    <w:rsid w:val="5EEFA396"/>
    <w:rsid w:val="5F0810C9"/>
    <w:rsid w:val="5F0F3075"/>
    <w:rsid w:val="5F101669"/>
    <w:rsid w:val="5F127172"/>
    <w:rsid w:val="5F13330C"/>
    <w:rsid w:val="5F16A18D"/>
    <w:rsid w:val="5F175D5D"/>
    <w:rsid w:val="5F1A253C"/>
    <w:rsid w:val="5F275C0C"/>
    <w:rsid w:val="5F280800"/>
    <w:rsid w:val="5F2E4E22"/>
    <w:rsid w:val="5F3B31E5"/>
    <w:rsid w:val="5F4A3689"/>
    <w:rsid w:val="5F4DCF73"/>
    <w:rsid w:val="5F4FCA85"/>
    <w:rsid w:val="5F560CA2"/>
    <w:rsid w:val="5F5796CD"/>
    <w:rsid w:val="5F5CFA9B"/>
    <w:rsid w:val="5F7CA62F"/>
    <w:rsid w:val="5F7D0964"/>
    <w:rsid w:val="5F7F1D45"/>
    <w:rsid w:val="5F81B1F8"/>
    <w:rsid w:val="5F940665"/>
    <w:rsid w:val="5F9E7C2B"/>
    <w:rsid w:val="5FA37459"/>
    <w:rsid w:val="5FB0C3DC"/>
    <w:rsid w:val="5FB88007"/>
    <w:rsid w:val="5FBB407A"/>
    <w:rsid w:val="5FBCF863"/>
    <w:rsid w:val="5FDAE575"/>
    <w:rsid w:val="5FDFFB12"/>
    <w:rsid w:val="5FE10A42"/>
    <w:rsid w:val="5FE74322"/>
    <w:rsid w:val="5FE99BB4"/>
    <w:rsid w:val="5FEC28F8"/>
    <w:rsid w:val="5FEE0328"/>
    <w:rsid w:val="600C4AF1"/>
    <w:rsid w:val="6011A2BA"/>
    <w:rsid w:val="601351FC"/>
    <w:rsid w:val="601C1320"/>
    <w:rsid w:val="6028CF29"/>
    <w:rsid w:val="602AED36"/>
    <w:rsid w:val="60301052"/>
    <w:rsid w:val="6050B35A"/>
    <w:rsid w:val="6050CB2B"/>
    <w:rsid w:val="6057742C"/>
    <w:rsid w:val="6058C9C4"/>
    <w:rsid w:val="605A2203"/>
    <w:rsid w:val="606538C3"/>
    <w:rsid w:val="60677697"/>
    <w:rsid w:val="607DBA65"/>
    <w:rsid w:val="6083C6CE"/>
    <w:rsid w:val="60907122"/>
    <w:rsid w:val="60B72D5F"/>
    <w:rsid w:val="60B83084"/>
    <w:rsid w:val="60BAB2AA"/>
    <w:rsid w:val="60C1AF68"/>
    <w:rsid w:val="60D911E5"/>
    <w:rsid w:val="60DFFF5C"/>
    <w:rsid w:val="60E2B409"/>
    <w:rsid w:val="60E53645"/>
    <w:rsid w:val="60F43EB0"/>
    <w:rsid w:val="60F8C48A"/>
    <w:rsid w:val="60FB8621"/>
    <w:rsid w:val="611435F5"/>
    <w:rsid w:val="611497C6"/>
    <w:rsid w:val="61154E10"/>
    <w:rsid w:val="611EE7F8"/>
    <w:rsid w:val="611F83C0"/>
    <w:rsid w:val="61215FB6"/>
    <w:rsid w:val="61332D8A"/>
    <w:rsid w:val="6134F7F1"/>
    <w:rsid w:val="61352C14"/>
    <w:rsid w:val="613BB299"/>
    <w:rsid w:val="613D063A"/>
    <w:rsid w:val="6140027A"/>
    <w:rsid w:val="6144DADB"/>
    <w:rsid w:val="61458DBE"/>
    <w:rsid w:val="614AEF4E"/>
    <w:rsid w:val="61510398"/>
    <w:rsid w:val="615710DB"/>
    <w:rsid w:val="616DDE07"/>
    <w:rsid w:val="617C75E9"/>
    <w:rsid w:val="617D8D51"/>
    <w:rsid w:val="61810F89"/>
    <w:rsid w:val="61816A92"/>
    <w:rsid w:val="6181E4F6"/>
    <w:rsid w:val="619DC2F9"/>
    <w:rsid w:val="61B1EF60"/>
    <w:rsid w:val="61B40A5B"/>
    <w:rsid w:val="61BDDF33"/>
    <w:rsid w:val="61CA9AFE"/>
    <w:rsid w:val="61D18CFF"/>
    <w:rsid w:val="61E6E4A8"/>
    <w:rsid w:val="61F018F1"/>
    <w:rsid w:val="61F4248A"/>
    <w:rsid w:val="61FF724B"/>
    <w:rsid w:val="62111371"/>
    <w:rsid w:val="62234D96"/>
    <w:rsid w:val="62277D0A"/>
    <w:rsid w:val="6227AA02"/>
    <w:rsid w:val="62291CEE"/>
    <w:rsid w:val="62317026"/>
    <w:rsid w:val="62385AE0"/>
    <w:rsid w:val="6245EF14"/>
    <w:rsid w:val="6258DC53"/>
    <w:rsid w:val="625AAA19"/>
    <w:rsid w:val="62695CF5"/>
    <w:rsid w:val="62756B53"/>
    <w:rsid w:val="6277CBCB"/>
    <w:rsid w:val="62784327"/>
    <w:rsid w:val="627BB3E6"/>
    <w:rsid w:val="627D94BD"/>
    <w:rsid w:val="628A5443"/>
    <w:rsid w:val="628B0C32"/>
    <w:rsid w:val="628E59A7"/>
    <w:rsid w:val="62A67182"/>
    <w:rsid w:val="62A83E01"/>
    <w:rsid w:val="62B45901"/>
    <w:rsid w:val="62C2AD65"/>
    <w:rsid w:val="62D18C80"/>
    <w:rsid w:val="62D39D79"/>
    <w:rsid w:val="62D8F67D"/>
    <w:rsid w:val="62E11033"/>
    <w:rsid w:val="62E3BBD2"/>
    <w:rsid w:val="62EFB8DA"/>
    <w:rsid w:val="62F7F345"/>
    <w:rsid w:val="62FE56D1"/>
    <w:rsid w:val="6318B499"/>
    <w:rsid w:val="63270AAA"/>
    <w:rsid w:val="6327AB0F"/>
    <w:rsid w:val="633179DD"/>
    <w:rsid w:val="6337B50C"/>
    <w:rsid w:val="635006F7"/>
    <w:rsid w:val="6356558F"/>
    <w:rsid w:val="6357E736"/>
    <w:rsid w:val="63603E0E"/>
    <w:rsid w:val="636B89AA"/>
    <w:rsid w:val="637042C8"/>
    <w:rsid w:val="63710F93"/>
    <w:rsid w:val="6373FFDA"/>
    <w:rsid w:val="6377E6E4"/>
    <w:rsid w:val="637B9767"/>
    <w:rsid w:val="637E04B9"/>
    <w:rsid w:val="6383B128"/>
    <w:rsid w:val="639983FE"/>
    <w:rsid w:val="639D8CD8"/>
    <w:rsid w:val="63A26A91"/>
    <w:rsid w:val="63A5A16C"/>
    <w:rsid w:val="63AA32BD"/>
    <w:rsid w:val="63AA54ED"/>
    <w:rsid w:val="63AF2FB2"/>
    <w:rsid w:val="63B2E90D"/>
    <w:rsid w:val="63B51960"/>
    <w:rsid w:val="63B68733"/>
    <w:rsid w:val="63BC3759"/>
    <w:rsid w:val="63C08177"/>
    <w:rsid w:val="63D0C6AA"/>
    <w:rsid w:val="63E6F632"/>
    <w:rsid w:val="63F28E59"/>
    <w:rsid w:val="63FBC83E"/>
    <w:rsid w:val="640495EE"/>
    <w:rsid w:val="640696B3"/>
    <w:rsid w:val="640A4252"/>
    <w:rsid w:val="640ADD31"/>
    <w:rsid w:val="641278F9"/>
    <w:rsid w:val="641D8409"/>
    <w:rsid w:val="642FF06A"/>
    <w:rsid w:val="643FCE6F"/>
    <w:rsid w:val="6457F2CA"/>
    <w:rsid w:val="64590B61"/>
    <w:rsid w:val="64593EB2"/>
    <w:rsid w:val="64595012"/>
    <w:rsid w:val="645AB072"/>
    <w:rsid w:val="645DA399"/>
    <w:rsid w:val="6460D468"/>
    <w:rsid w:val="64649F4E"/>
    <w:rsid w:val="6466DA02"/>
    <w:rsid w:val="646B0365"/>
    <w:rsid w:val="647BF14D"/>
    <w:rsid w:val="647F4423"/>
    <w:rsid w:val="64839B6D"/>
    <w:rsid w:val="648826CE"/>
    <w:rsid w:val="648E0012"/>
    <w:rsid w:val="64979CC9"/>
    <w:rsid w:val="6497F345"/>
    <w:rsid w:val="649B761C"/>
    <w:rsid w:val="649E17E0"/>
    <w:rsid w:val="649EE8E8"/>
    <w:rsid w:val="64A73BD7"/>
    <w:rsid w:val="64A89056"/>
    <w:rsid w:val="64AFC3BA"/>
    <w:rsid w:val="64B3BECE"/>
    <w:rsid w:val="64B50C34"/>
    <w:rsid w:val="64B66F79"/>
    <w:rsid w:val="64B78663"/>
    <w:rsid w:val="64BEC42E"/>
    <w:rsid w:val="64C4B5DE"/>
    <w:rsid w:val="64CE06CC"/>
    <w:rsid w:val="64D9947C"/>
    <w:rsid w:val="64DEAE65"/>
    <w:rsid w:val="64E02B43"/>
    <w:rsid w:val="64F08485"/>
    <w:rsid w:val="64F40E80"/>
    <w:rsid w:val="64F7F851"/>
    <w:rsid w:val="64FAAC3C"/>
    <w:rsid w:val="6505C92A"/>
    <w:rsid w:val="6506B5CB"/>
    <w:rsid w:val="651767C8"/>
    <w:rsid w:val="65179435"/>
    <w:rsid w:val="65179C4D"/>
    <w:rsid w:val="652C042D"/>
    <w:rsid w:val="652E0A25"/>
    <w:rsid w:val="652EE08D"/>
    <w:rsid w:val="6532BFB5"/>
    <w:rsid w:val="653A4815"/>
    <w:rsid w:val="653D19F0"/>
    <w:rsid w:val="655DA3E9"/>
    <w:rsid w:val="6564AB92"/>
    <w:rsid w:val="65685E5C"/>
    <w:rsid w:val="657671B5"/>
    <w:rsid w:val="657C249C"/>
    <w:rsid w:val="658BA1A7"/>
    <w:rsid w:val="659967D3"/>
    <w:rsid w:val="659AF789"/>
    <w:rsid w:val="659E87C8"/>
    <w:rsid w:val="65A1BD8B"/>
    <w:rsid w:val="65AD9E47"/>
    <w:rsid w:val="65B254D1"/>
    <w:rsid w:val="65B8C41A"/>
    <w:rsid w:val="65BC2CAE"/>
    <w:rsid w:val="65C7615A"/>
    <w:rsid w:val="65CB1F1B"/>
    <w:rsid w:val="65CCBE14"/>
    <w:rsid w:val="65CDD342"/>
    <w:rsid w:val="65D53688"/>
    <w:rsid w:val="65DC59F2"/>
    <w:rsid w:val="65DD94A2"/>
    <w:rsid w:val="65E073F1"/>
    <w:rsid w:val="65E40027"/>
    <w:rsid w:val="65E7E9CF"/>
    <w:rsid w:val="65E99566"/>
    <w:rsid w:val="65EACB70"/>
    <w:rsid w:val="65EBAF69"/>
    <w:rsid w:val="65F0907A"/>
    <w:rsid w:val="65F75705"/>
    <w:rsid w:val="65FD56C4"/>
    <w:rsid w:val="6607FDF2"/>
    <w:rsid w:val="660EB9CE"/>
    <w:rsid w:val="66100D61"/>
    <w:rsid w:val="66108EC5"/>
    <w:rsid w:val="66127130"/>
    <w:rsid w:val="66182E31"/>
    <w:rsid w:val="661ED7F8"/>
    <w:rsid w:val="66279292"/>
    <w:rsid w:val="6629F805"/>
    <w:rsid w:val="6630552A"/>
    <w:rsid w:val="66389563"/>
    <w:rsid w:val="663FC144"/>
    <w:rsid w:val="6643AA5B"/>
    <w:rsid w:val="6644FC2E"/>
    <w:rsid w:val="664AB4F5"/>
    <w:rsid w:val="665181B2"/>
    <w:rsid w:val="6659464E"/>
    <w:rsid w:val="6660DEE7"/>
    <w:rsid w:val="66729EBC"/>
    <w:rsid w:val="667A3B52"/>
    <w:rsid w:val="66912802"/>
    <w:rsid w:val="669A2EBA"/>
    <w:rsid w:val="669B2B28"/>
    <w:rsid w:val="669BC522"/>
    <w:rsid w:val="66AB4AA3"/>
    <w:rsid w:val="66ACB61D"/>
    <w:rsid w:val="66AEE89D"/>
    <w:rsid w:val="66B5BE8F"/>
    <w:rsid w:val="66CD68A1"/>
    <w:rsid w:val="66D43CFE"/>
    <w:rsid w:val="66DA5CCD"/>
    <w:rsid w:val="66DF33F1"/>
    <w:rsid w:val="66E32398"/>
    <w:rsid w:val="66F3E1BD"/>
    <w:rsid w:val="66F68DAC"/>
    <w:rsid w:val="670D8511"/>
    <w:rsid w:val="673D1A74"/>
    <w:rsid w:val="673F6483"/>
    <w:rsid w:val="67413921"/>
    <w:rsid w:val="6748AF7A"/>
    <w:rsid w:val="674A948D"/>
    <w:rsid w:val="675F8626"/>
    <w:rsid w:val="67654354"/>
    <w:rsid w:val="6766EF7C"/>
    <w:rsid w:val="6777AAD7"/>
    <w:rsid w:val="677D33B8"/>
    <w:rsid w:val="677EE4CC"/>
    <w:rsid w:val="678304EE"/>
    <w:rsid w:val="678A766F"/>
    <w:rsid w:val="678F2EE5"/>
    <w:rsid w:val="6790C912"/>
    <w:rsid w:val="679194A3"/>
    <w:rsid w:val="67965B9B"/>
    <w:rsid w:val="67AEC1BF"/>
    <w:rsid w:val="67B8F3FC"/>
    <w:rsid w:val="67D12806"/>
    <w:rsid w:val="67D2A350"/>
    <w:rsid w:val="67D5641C"/>
    <w:rsid w:val="67D886C9"/>
    <w:rsid w:val="67DA9322"/>
    <w:rsid w:val="67DE1280"/>
    <w:rsid w:val="6808A97B"/>
    <w:rsid w:val="680D822C"/>
    <w:rsid w:val="682592D7"/>
    <w:rsid w:val="683FE4DF"/>
    <w:rsid w:val="684208D9"/>
    <w:rsid w:val="684BE822"/>
    <w:rsid w:val="684D2BDD"/>
    <w:rsid w:val="686ABA6F"/>
    <w:rsid w:val="687B9EC7"/>
    <w:rsid w:val="6885C572"/>
    <w:rsid w:val="688A5434"/>
    <w:rsid w:val="688AF134"/>
    <w:rsid w:val="688FB21E"/>
    <w:rsid w:val="68915B17"/>
    <w:rsid w:val="6897C5EF"/>
    <w:rsid w:val="689ACEEC"/>
    <w:rsid w:val="689C83E2"/>
    <w:rsid w:val="68A94AB7"/>
    <w:rsid w:val="68B38C41"/>
    <w:rsid w:val="68B664CA"/>
    <w:rsid w:val="68BB830E"/>
    <w:rsid w:val="68C71860"/>
    <w:rsid w:val="68CA82D9"/>
    <w:rsid w:val="68CD1DB4"/>
    <w:rsid w:val="68D2A1A8"/>
    <w:rsid w:val="68DF9EE8"/>
    <w:rsid w:val="68E3CFE3"/>
    <w:rsid w:val="68E4909D"/>
    <w:rsid w:val="68E8A891"/>
    <w:rsid w:val="68EAFEC6"/>
    <w:rsid w:val="68F6D3EF"/>
    <w:rsid w:val="69000D89"/>
    <w:rsid w:val="69051D7A"/>
    <w:rsid w:val="690D6E3A"/>
    <w:rsid w:val="6911C26A"/>
    <w:rsid w:val="6918EB7B"/>
    <w:rsid w:val="6919D582"/>
    <w:rsid w:val="691F3B5B"/>
    <w:rsid w:val="691FFDC6"/>
    <w:rsid w:val="69267B13"/>
    <w:rsid w:val="6928B222"/>
    <w:rsid w:val="69313C76"/>
    <w:rsid w:val="6931FF06"/>
    <w:rsid w:val="6933F165"/>
    <w:rsid w:val="69422C54"/>
    <w:rsid w:val="694DD003"/>
    <w:rsid w:val="69524D22"/>
    <w:rsid w:val="6969C679"/>
    <w:rsid w:val="696BE8A2"/>
    <w:rsid w:val="69775424"/>
    <w:rsid w:val="698EA8FB"/>
    <w:rsid w:val="69930B3E"/>
    <w:rsid w:val="699F40C0"/>
    <w:rsid w:val="69A68444"/>
    <w:rsid w:val="69AB3968"/>
    <w:rsid w:val="69B2ABC0"/>
    <w:rsid w:val="69B5BAE8"/>
    <w:rsid w:val="69B5FA8B"/>
    <w:rsid w:val="69BB2164"/>
    <w:rsid w:val="69BB4AB8"/>
    <w:rsid w:val="69BC5F49"/>
    <w:rsid w:val="69C3E792"/>
    <w:rsid w:val="69D9077C"/>
    <w:rsid w:val="69DE6292"/>
    <w:rsid w:val="69EAD8EB"/>
    <w:rsid w:val="69F25E19"/>
    <w:rsid w:val="69F2F2AC"/>
    <w:rsid w:val="69F5BE52"/>
    <w:rsid w:val="69F8F907"/>
    <w:rsid w:val="6A01B8AD"/>
    <w:rsid w:val="6A041C57"/>
    <w:rsid w:val="6A0CD9BF"/>
    <w:rsid w:val="6A0F3115"/>
    <w:rsid w:val="6A2253FB"/>
    <w:rsid w:val="6A2375BA"/>
    <w:rsid w:val="6A2EB3C6"/>
    <w:rsid w:val="6A349097"/>
    <w:rsid w:val="6A35E0B6"/>
    <w:rsid w:val="6A369A6C"/>
    <w:rsid w:val="6A3ED752"/>
    <w:rsid w:val="6A44AADC"/>
    <w:rsid w:val="6A5F12CA"/>
    <w:rsid w:val="6A6B55FD"/>
    <w:rsid w:val="6A880066"/>
    <w:rsid w:val="6A8D5536"/>
    <w:rsid w:val="6A978B52"/>
    <w:rsid w:val="6A97E997"/>
    <w:rsid w:val="6A9E6412"/>
    <w:rsid w:val="6AABDF23"/>
    <w:rsid w:val="6AAFD448"/>
    <w:rsid w:val="6AB1EE1A"/>
    <w:rsid w:val="6AB6D130"/>
    <w:rsid w:val="6ABB7A0C"/>
    <w:rsid w:val="6ACDE841"/>
    <w:rsid w:val="6AE89CB1"/>
    <w:rsid w:val="6AE9D975"/>
    <w:rsid w:val="6AF13042"/>
    <w:rsid w:val="6AF86B92"/>
    <w:rsid w:val="6B1332B6"/>
    <w:rsid w:val="6B144DC5"/>
    <w:rsid w:val="6B1D4FCD"/>
    <w:rsid w:val="6B1F4572"/>
    <w:rsid w:val="6B26C307"/>
    <w:rsid w:val="6B3F8929"/>
    <w:rsid w:val="6B5CD6CC"/>
    <w:rsid w:val="6B608C03"/>
    <w:rsid w:val="6B62F91B"/>
    <w:rsid w:val="6B66A0D6"/>
    <w:rsid w:val="6B66ED0E"/>
    <w:rsid w:val="6B69799F"/>
    <w:rsid w:val="6B6E3851"/>
    <w:rsid w:val="6B719C26"/>
    <w:rsid w:val="6B7684F3"/>
    <w:rsid w:val="6B76AD5E"/>
    <w:rsid w:val="6B82336B"/>
    <w:rsid w:val="6B8BC8B8"/>
    <w:rsid w:val="6B927D83"/>
    <w:rsid w:val="6B9CB419"/>
    <w:rsid w:val="6BBCD72C"/>
    <w:rsid w:val="6BC50443"/>
    <w:rsid w:val="6BCF4066"/>
    <w:rsid w:val="6BD12502"/>
    <w:rsid w:val="6BD3977A"/>
    <w:rsid w:val="6BD734A5"/>
    <w:rsid w:val="6BDAA7B3"/>
    <w:rsid w:val="6BDAE37E"/>
    <w:rsid w:val="6BDD9178"/>
    <w:rsid w:val="6BF1402B"/>
    <w:rsid w:val="6BF2FDE4"/>
    <w:rsid w:val="6BF81589"/>
    <w:rsid w:val="6BFC2BDA"/>
    <w:rsid w:val="6BFCDD90"/>
    <w:rsid w:val="6C05F290"/>
    <w:rsid w:val="6C0ACEE7"/>
    <w:rsid w:val="6C0DCE2D"/>
    <w:rsid w:val="6C13E4C8"/>
    <w:rsid w:val="6C222A03"/>
    <w:rsid w:val="6C44C30A"/>
    <w:rsid w:val="6C49B69F"/>
    <w:rsid w:val="6C4DC482"/>
    <w:rsid w:val="6C570CF5"/>
    <w:rsid w:val="6C6A1C3A"/>
    <w:rsid w:val="6C81C1C1"/>
    <w:rsid w:val="6C8698D3"/>
    <w:rsid w:val="6CAB4E59"/>
    <w:rsid w:val="6CACD284"/>
    <w:rsid w:val="6CAE6461"/>
    <w:rsid w:val="6CB183A3"/>
    <w:rsid w:val="6CC78BCB"/>
    <w:rsid w:val="6CCEB3B3"/>
    <w:rsid w:val="6CD000B6"/>
    <w:rsid w:val="6CDBFB9A"/>
    <w:rsid w:val="6CDCCFFE"/>
    <w:rsid w:val="6CE05511"/>
    <w:rsid w:val="6CE3B592"/>
    <w:rsid w:val="6CEFEFC3"/>
    <w:rsid w:val="6CF06B34"/>
    <w:rsid w:val="6D0186F6"/>
    <w:rsid w:val="6D05BE21"/>
    <w:rsid w:val="6D08E12B"/>
    <w:rsid w:val="6D0E54A3"/>
    <w:rsid w:val="6D0F40FD"/>
    <w:rsid w:val="6D15CB03"/>
    <w:rsid w:val="6D160354"/>
    <w:rsid w:val="6D212769"/>
    <w:rsid w:val="6D218B9A"/>
    <w:rsid w:val="6D2279AD"/>
    <w:rsid w:val="6D261CEB"/>
    <w:rsid w:val="6D2C73C2"/>
    <w:rsid w:val="6D51E86A"/>
    <w:rsid w:val="6D52CFB6"/>
    <w:rsid w:val="6D593CB2"/>
    <w:rsid w:val="6D632341"/>
    <w:rsid w:val="6D6D8787"/>
    <w:rsid w:val="6D71D6A5"/>
    <w:rsid w:val="6D722A8A"/>
    <w:rsid w:val="6D746076"/>
    <w:rsid w:val="6D75179B"/>
    <w:rsid w:val="6D8C2437"/>
    <w:rsid w:val="6D96B38C"/>
    <w:rsid w:val="6D99D855"/>
    <w:rsid w:val="6D9C00B6"/>
    <w:rsid w:val="6D9E89F1"/>
    <w:rsid w:val="6DA2D344"/>
    <w:rsid w:val="6DA80EDB"/>
    <w:rsid w:val="6DAA69B2"/>
    <w:rsid w:val="6DAC1126"/>
    <w:rsid w:val="6DACD22A"/>
    <w:rsid w:val="6DB2A1CC"/>
    <w:rsid w:val="6DB3A43D"/>
    <w:rsid w:val="6DB603B7"/>
    <w:rsid w:val="6DB8B02C"/>
    <w:rsid w:val="6DB8E355"/>
    <w:rsid w:val="6DBF0DDC"/>
    <w:rsid w:val="6DC7BCB3"/>
    <w:rsid w:val="6DE892B8"/>
    <w:rsid w:val="6DF1598F"/>
    <w:rsid w:val="6DF2C961"/>
    <w:rsid w:val="6DF31ACE"/>
    <w:rsid w:val="6DF75049"/>
    <w:rsid w:val="6E04F196"/>
    <w:rsid w:val="6E0BE139"/>
    <w:rsid w:val="6E130C69"/>
    <w:rsid w:val="6E2E57B0"/>
    <w:rsid w:val="6E30EB2C"/>
    <w:rsid w:val="6E44A0D7"/>
    <w:rsid w:val="6E5518E4"/>
    <w:rsid w:val="6E59525C"/>
    <w:rsid w:val="6E65B30E"/>
    <w:rsid w:val="6E723A96"/>
    <w:rsid w:val="6E7846CD"/>
    <w:rsid w:val="6E78F831"/>
    <w:rsid w:val="6E821AA6"/>
    <w:rsid w:val="6E8B0ACE"/>
    <w:rsid w:val="6E8EE7E7"/>
    <w:rsid w:val="6E942B90"/>
    <w:rsid w:val="6E9C42C0"/>
    <w:rsid w:val="6EAF9F78"/>
    <w:rsid w:val="6EB039A3"/>
    <w:rsid w:val="6EB3FABE"/>
    <w:rsid w:val="6EBB6ED2"/>
    <w:rsid w:val="6EBE79A9"/>
    <w:rsid w:val="6EC20E69"/>
    <w:rsid w:val="6ECC9A96"/>
    <w:rsid w:val="6EDEB39B"/>
    <w:rsid w:val="6EDF74AF"/>
    <w:rsid w:val="6EE4F855"/>
    <w:rsid w:val="6EE7743E"/>
    <w:rsid w:val="6EEC7DFA"/>
    <w:rsid w:val="6EF92018"/>
    <w:rsid w:val="6EFCC274"/>
    <w:rsid w:val="6F007DBD"/>
    <w:rsid w:val="6F1D9A8D"/>
    <w:rsid w:val="6F296AFD"/>
    <w:rsid w:val="6F312A6B"/>
    <w:rsid w:val="6F32E0F7"/>
    <w:rsid w:val="6F3CB737"/>
    <w:rsid w:val="6F45B065"/>
    <w:rsid w:val="6F4EA4A1"/>
    <w:rsid w:val="6F57FD60"/>
    <w:rsid w:val="6F594C6B"/>
    <w:rsid w:val="6F633F49"/>
    <w:rsid w:val="6F6CD51F"/>
    <w:rsid w:val="6F732CFD"/>
    <w:rsid w:val="6F826C73"/>
    <w:rsid w:val="6F88B90D"/>
    <w:rsid w:val="6F8B29BE"/>
    <w:rsid w:val="6F8CFF48"/>
    <w:rsid w:val="6F8EEB2F"/>
    <w:rsid w:val="6F98DD4F"/>
    <w:rsid w:val="6F9C02B9"/>
    <w:rsid w:val="6F9D94AA"/>
    <w:rsid w:val="6FADCE3E"/>
    <w:rsid w:val="6FCADE26"/>
    <w:rsid w:val="6FCCF66F"/>
    <w:rsid w:val="6FDFA443"/>
    <w:rsid w:val="6FE0C7A0"/>
    <w:rsid w:val="6FF71F7B"/>
    <w:rsid w:val="6FF7D7F2"/>
    <w:rsid w:val="6FF7E5D2"/>
    <w:rsid w:val="6FFB751D"/>
    <w:rsid w:val="700426F2"/>
    <w:rsid w:val="70070A3C"/>
    <w:rsid w:val="700F8E71"/>
    <w:rsid w:val="70248C0B"/>
    <w:rsid w:val="70269720"/>
    <w:rsid w:val="7029CAB5"/>
    <w:rsid w:val="702C0E7C"/>
    <w:rsid w:val="703338EA"/>
    <w:rsid w:val="70361D5A"/>
    <w:rsid w:val="7046DEF6"/>
    <w:rsid w:val="70492EAE"/>
    <w:rsid w:val="704F6C47"/>
    <w:rsid w:val="7059CEA5"/>
    <w:rsid w:val="705DDECA"/>
    <w:rsid w:val="7066A6F4"/>
    <w:rsid w:val="7069AD10"/>
    <w:rsid w:val="706C7D28"/>
    <w:rsid w:val="7070562F"/>
    <w:rsid w:val="707626F6"/>
    <w:rsid w:val="7080814D"/>
    <w:rsid w:val="708686E7"/>
    <w:rsid w:val="708B508A"/>
    <w:rsid w:val="708E770D"/>
    <w:rsid w:val="708EBEC3"/>
    <w:rsid w:val="709DBD0A"/>
    <w:rsid w:val="70A1E9B1"/>
    <w:rsid w:val="70AA5144"/>
    <w:rsid w:val="70AC2284"/>
    <w:rsid w:val="70AECFEE"/>
    <w:rsid w:val="70B0178A"/>
    <w:rsid w:val="70B25DC7"/>
    <w:rsid w:val="70BBE29D"/>
    <w:rsid w:val="70CE544E"/>
    <w:rsid w:val="70D1AEFD"/>
    <w:rsid w:val="70E04A87"/>
    <w:rsid w:val="70E4DC4F"/>
    <w:rsid w:val="70E89135"/>
    <w:rsid w:val="71057C41"/>
    <w:rsid w:val="71118EC6"/>
    <w:rsid w:val="7112D134"/>
    <w:rsid w:val="71164C4A"/>
    <w:rsid w:val="711733E3"/>
    <w:rsid w:val="71193CD8"/>
    <w:rsid w:val="711CE8CE"/>
    <w:rsid w:val="712232C1"/>
    <w:rsid w:val="7127E4A7"/>
    <w:rsid w:val="7137D31A"/>
    <w:rsid w:val="713BE9B4"/>
    <w:rsid w:val="713FB547"/>
    <w:rsid w:val="71435871"/>
    <w:rsid w:val="7144C09A"/>
    <w:rsid w:val="714512CB"/>
    <w:rsid w:val="71494F90"/>
    <w:rsid w:val="71530941"/>
    <w:rsid w:val="71652935"/>
    <w:rsid w:val="717C9801"/>
    <w:rsid w:val="7190D834"/>
    <w:rsid w:val="71930187"/>
    <w:rsid w:val="719B64C7"/>
    <w:rsid w:val="71AF2E77"/>
    <w:rsid w:val="71B843A1"/>
    <w:rsid w:val="71B897A5"/>
    <w:rsid w:val="71BB168C"/>
    <w:rsid w:val="71D8D54B"/>
    <w:rsid w:val="71E08210"/>
    <w:rsid w:val="71EF68C4"/>
    <w:rsid w:val="71F5E245"/>
    <w:rsid w:val="7205F217"/>
    <w:rsid w:val="7207203D"/>
    <w:rsid w:val="720A1FC9"/>
    <w:rsid w:val="721D2BD3"/>
    <w:rsid w:val="7221E698"/>
    <w:rsid w:val="7226E5B9"/>
    <w:rsid w:val="7230C0DA"/>
    <w:rsid w:val="72374AB5"/>
    <w:rsid w:val="723A6BA7"/>
    <w:rsid w:val="724DC5B0"/>
    <w:rsid w:val="724FBCC1"/>
    <w:rsid w:val="725A0366"/>
    <w:rsid w:val="726B6D5E"/>
    <w:rsid w:val="72726636"/>
    <w:rsid w:val="7283D3A0"/>
    <w:rsid w:val="729B95BE"/>
    <w:rsid w:val="72A1613D"/>
    <w:rsid w:val="72AB0BF2"/>
    <w:rsid w:val="72B11B5C"/>
    <w:rsid w:val="72B480B2"/>
    <w:rsid w:val="72BAB950"/>
    <w:rsid w:val="72C20F5E"/>
    <w:rsid w:val="72D3A37B"/>
    <w:rsid w:val="72D7F255"/>
    <w:rsid w:val="72DA8A18"/>
    <w:rsid w:val="72ECFB3D"/>
    <w:rsid w:val="72ED941B"/>
    <w:rsid w:val="72F98FBD"/>
    <w:rsid w:val="73112EFA"/>
    <w:rsid w:val="73186862"/>
    <w:rsid w:val="731A1B98"/>
    <w:rsid w:val="732EEAED"/>
    <w:rsid w:val="73317608"/>
    <w:rsid w:val="7337B589"/>
    <w:rsid w:val="733B1755"/>
    <w:rsid w:val="73498E76"/>
    <w:rsid w:val="734A2D32"/>
    <w:rsid w:val="73554B3B"/>
    <w:rsid w:val="7358E025"/>
    <w:rsid w:val="73658194"/>
    <w:rsid w:val="736EBE82"/>
    <w:rsid w:val="736EE9F3"/>
    <w:rsid w:val="7380E682"/>
    <w:rsid w:val="7386C0A2"/>
    <w:rsid w:val="73884B86"/>
    <w:rsid w:val="738BA690"/>
    <w:rsid w:val="738C6290"/>
    <w:rsid w:val="738CA8A1"/>
    <w:rsid w:val="73992B2F"/>
    <w:rsid w:val="73992B9A"/>
    <w:rsid w:val="739D5DEF"/>
    <w:rsid w:val="73BDB6F9"/>
    <w:rsid w:val="73C26726"/>
    <w:rsid w:val="73D2CE93"/>
    <w:rsid w:val="73D3272B"/>
    <w:rsid w:val="73FC13DB"/>
    <w:rsid w:val="73FCC7F9"/>
    <w:rsid w:val="7415058E"/>
    <w:rsid w:val="741ABFCB"/>
    <w:rsid w:val="742439E5"/>
    <w:rsid w:val="74536B5C"/>
    <w:rsid w:val="745689B1"/>
    <w:rsid w:val="74608FCB"/>
    <w:rsid w:val="7463A21F"/>
    <w:rsid w:val="747CA251"/>
    <w:rsid w:val="74805663"/>
    <w:rsid w:val="7484BE8F"/>
    <w:rsid w:val="74909D8F"/>
    <w:rsid w:val="749160A4"/>
    <w:rsid w:val="749398B6"/>
    <w:rsid w:val="749CB9BB"/>
    <w:rsid w:val="74A08DE7"/>
    <w:rsid w:val="74CB9F18"/>
    <w:rsid w:val="74CFC89D"/>
    <w:rsid w:val="74E69334"/>
    <w:rsid w:val="74E74531"/>
    <w:rsid w:val="74F86850"/>
    <w:rsid w:val="750819CD"/>
    <w:rsid w:val="7508768A"/>
    <w:rsid w:val="750A6B7C"/>
    <w:rsid w:val="7515C066"/>
    <w:rsid w:val="753D92D9"/>
    <w:rsid w:val="75442C71"/>
    <w:rsid w:val="754AB9FC"/>
    <w:rsid w:val="755EA6D1"/>
    <w:rsid w:val="756049AD"/>
    <w:rsid w:val="75608ED3"/>
    <w:rsid w:val="756C7F57"/>
    <w:rsid w:val="7578E7E8"/>
    <w:rsid w:val="757B6016"/>
    <w:rsid w:val="7581771C"/>
    <w:rsid w:val="759AEB32"/>
    <w:rsid w:val="759F035E"/>
    <w:rsid w:val="75A94E2D"/>
    <w:rsid w:val="75AB35E8"/>
    <w:rsid w:val="75ADD141"/>
    <w:rsid w:val="75D0FB9E"/>
    <w:rsid w:val="75D911D1"/>
    <w:rsid w:val="75DFB3E6"/>
    <w:rsid w:val="75E017BB"/>
    <w:rsid w:val="75EB6CC7"/>
    <w:rsid w:val="75F25A12"/>
    <w:rsid w:val="75F3941C"/>
    <w:rsid w:val="75F58DDF"/>
    <w:rsid w:val="75F9062D"/>
    <w:rsid w:val="75F973C1"/>
    <w:rsid w:val="76075580"/>
    <w:rsid w:val="760EDB75"/>
    <w:rsid w:val="762043DA"/>
    <w:rsid w:val="7624563F"/>
    <w:rsid w:val="76362041"/>
    <w:rsid w:val="7639ED56"/>
    <w:rsid w:val="76419D2F"/>
    <w:rsid w:val="765C99EB"/>
    <w:rsid w:val="767687E2"/>
    <w:rsid w:val="7684BF86"/>
    <w:rsid w:val="7698DC55"/>
    <w:rsid w:val="769A09FE"/>
    <w:rsid w:val="769E8C0E"/>
    <w:rsid w:val="76B85DA6"/>
    <w:rsid w:val="76BDB42D"/>
    <w:rsid w:val="76C044C3"/>
    <w:rsid w:val="76C6CE4E"/>
    <w:rsid w:val="76C8FFF9"/>
    <w:rsid w:val="76C95BF3"/>
    <w:rsid w:val="76D3E4A7"/>
    <w:rsid w:val="76DE25E1"/>
    <w:rsid w:val="76E3161C"/>
    <w:rsid w:val="76E853DC"/>
    <w:rsid w:val="76ED480C"/>
    <w:rsid w:val="76F33B1F"/>
    <w:rsid w:val="76F824DA"/>
    <w:rsid w:val="76FAC4C1"/>
    <w:rsid w:val="7704E9CB"/>
    <w:rsid w:val="7706A61E"/>
    <w:rsid w:val="7707EA64"/>
    <w:rsid w:val="7711E3E6"/>
    <w:rsid w:val="771A0808"/>
    <w:rsid w:val="771D9F34"/>
    <w:rsid w:val="77493BF0"/>
    <w:rsid w:val="774C34DA"/>
    <w:rsid w:val="774E6BC3"/>
    <w:rsid w:val="774F91D3"/>
    <w:rsid w:val="77509103"/>
    <w:rsid w:val="7753696F"/>
    <w:rsid w:val="775703C9"/>
    <w:rsid w:val="775F43DD"/>
    <w:rsid w:val="776219EF"/>
    <w:rsid w:val="77687B1C"/>
    <w:rsid w:val="7768A25A"/>
    <w:rsid w:val="77798EB5"/>
    <w:rsid w:val="7782D4A1"/>
    <w:rsid w:val="7789EA13"/>
    <w:rsid w:val="77A11394"/>
    <w:rsid w:val="77BD4EAB"/>
    <w:rsid w:val="77C2B845"/>
    <w:rsid w:val="77C7229F"/>
    <w:rsid w:val="77D1470E"/>
    <w:rsid w:val="77D9E72C"/>
    <w:rsid w:val="77EB2D54"/>
    <w:rsid w:val="77F834DD"/>
    <w:rsid w:val="77F84BE0"/>
    <w:rsid w:val="7818BEF3"/>
    <w:rsid w:val="78236127"/>
    <w:rsid w:val="782A0394"/>
    <w:rsid w:val="782A6329"/>
    <w:rsid w:val="7859F010"/>
    <w:rsid w:val="78652C54"/>
    <w:rsid w:val="78770767"/>
    <w:rsid w:val="7881163D"/>
    <w:rsid w:val="78812B89"/>
    <w:rsid w:val="78837851"/>
    <w:rsid w:val="788595E1"/>
    <w:rsid w:val="7887FECC"/>
    <w:rsid w:val="7891999E"/>
    <w:rsid w:val="789FA7E2"/>
    <w:rsid w:val="78A3697B"/>
    <w:rsid w:val="78A8DC7F"/>
    <w:rsid w:val="78A96702"/>
    <w:rsid w:val="78B4CD8D"/>
    <w:rsid w:val="78D66A44"/>
    <w:rsid w:val="78DAAEE2"/>
    <w:rsid w:val="78E153B9"/>
    <w:rsid w:val="78E1D95C"/>
    <w:rsid w:val="78E2AEF1"/>
    <w:rsid w:val="78E65EF0"/>
    <w:rsid w:val="78F48D38"/>
    <w:rsid w:val="790A5F42"/>
    <w:rsid w:val="79140F7D"/>
    <w:rsid w:val="7918E3A7"/>
    <w:rsid w:val="79191B54"/>
    <w:rsid w:val="79262B48"/>
    <w:rsid w:val="7943E41A"/>
    <w:rsid w:val="79559723"/>
    <w:rsid w:val="79567F1F"/>
    <w:rsid w:val="79760BA5"/>
    <w:rsid w:val="79823C53"/>
    <w:rsid w:val="7987A9E6"/>
    <w:rsid w:val="798B2EA9"/>
    <w:rsid w:val="7994E592"/>
    <w:rsid w:val="799A03A4"/>
    <w:rsid w:val="79ADF138"/>
    <w:rsid w:val="79B8FBC7"/>
    <w:rsid w:val="79CC8D08"/>
    <w:rsid w:val="79D0B370"/>
    <w:rsid w:val="79D44795"/>
    <w:rsid w:val="79DC1210"/>
    <w:rsid w:val="79E892B5"/>
    <w:rsid w:val="79F62DD3"/>
    <w:rsid w:val="79FD02BB"/>
    <w:rsid w:val="7A1020CE"/>
    <w:rsid w:val="7A1F6A16"/>
    <w:rsid w:val="7A26BC25"/>
    <w:rsid w:val="7A286F5F"/>
    <w:rsid w:val="7A2A0420"/>
    <w:rsid w:val="7A30A16F"/>
    <w:rsid w:val="7A3D44C2"/>
    <w:rsid w:val="7A3E8F48"/>
    <w:rsid w:val="7A3F790A"/>
    <w:rsid w:val="7A405479"/>
    <w:rsid w:val="7A40A8D9"/>
    <w:rsid w:val="7A421B18"/>
    <w:rsid w:val="7A4A5880"/>
    <w:rsid w:val="7A4BF0A1"/>
    <w:rsid w:val="7A581F74"/>
    <w:rsid w:val="7A602472"/>
    <w:rsid w:val="7A663193"/>
    <w:rsid w:val="7A6D23BE"/>
    <w:rsid w:val="7A7B4D0C"/>
    <w:rsid w:val="7A86EE84"/>
    <w:rsid w:val="7A9091AD"/>
    <w:rsid w:val="7A9182CB"/>
    <w:rsid w:val="7A9291F5"/>
    <w:rsid w:val="7A97DF1E"/>
    <w:rsid w:val="7AA6A28B"/>
    <w:rsid w:val="7AA8DA83"/>
    <w:rsid w:val="7AAABF4E"/>
    <w:rsid w:val="7ABC81A2"/>
    <w:rsid w:val="7AC40CA4"/>
    <w:rsid w:val="7AD0E9CB"/>
    <w:rsid w:val="7AD812EE"/>
    <w:rsid w:val="7ADAAF81"/>
    <w:rsid w:val="7ADB974B"/>
    <w:rsid w:val="7ADD1E89"/>
    <w:rsid w:val="7AE5A762"/>
    <w:rsid w:val="7AEB1F85"/>
    <w:rsid w:val="7AEF9F5D"/>
    <w:rsid w:val="7AFE09BD"/>
    <w:rsid w:val="7B069DD7"/>
    <w:rsid w:val="7B0CB213"/>
    <w:rsid w:val="7B0EE858"/>
    <w:rsid w:val="7B158964"/>
    <w:rsid w:val="7B27EFC0"/>
    <w:rsid w:val="7B40BF68"/>
    <w:rsid w:val="7B464CD3"/>
    <w:rsid w:val="7B4FED05"/>
    <w:rsid w:val="7B51E1DA"/>
    <w:rsid w:val="7B563239"/>
    <w:rsid w:val="7B676F6A"/>
    <w:rsid w:val="7B693FE2"/>
    <w:rsid w:val="7B6DB1E6"/>
    <w:rsid w:val="7B738CD5"/>
    <w:rsid w:val="7B882F32"/>
    <w:rsid w:val="7B8CDCCE"/>
    <w:rsid w:val="7B967F9A"/>
    <w:rsid w:val="7B9768A6"/>
    <w:rsid w:val="7BAAC2D5"/>
    <w:rsid w:val="7BAC971D"/>
    <w:rsid w:val="7BAD766D"/>
    <w:rsid w:val="7BB3A4CE"/>
    <w:rsid w:val="7BB59A85"/>
    <w:rsid w:val="7BC149D3"/>
    <w:rsid w:val="7BE7CBEA"/>
    <w:rsid w:val="7BF65694"/>
    <w:rsid w:val="7BF9326D"/>
    <w:rsid w:val="7BFA5EA3"/>
    <w:rsid w:val="7C04B30D"/>
    <w:rsid w:val="7C060FE2"/>
    <w:rsid w:val="7C10CA55"/>
    <w:rsid w:val="7C1AE745"/>
    <w:rsid w:val="7C22502A"/>
    <w:rsid w:val="7C22BEE5"/>
    <w:rsid w:val="7C29054F"/>
    <w:rsid w:val="7C29A9B6"/>
    <w:rsid w:val="7C2A7E97"/>
    <w:rsid w:val="7C31F8C2"/>
    <w:rsid w:val="7C48EBE5"/>
    <w:rsid w:val="7C552AEC"/>
    <w:rsid w:val="7C55835C"/>
    <w:rsid w:val="7C574A4D"/>
    <w:rsid w:val="7C57FCE0"/>
    <w:rsid w:val="7C633BCC"/>
    <w:rsid w:val="7C6A482F"/>
    <w:rsid w:val="7C6DA61B"/>
    <w:rsid w:val="7C8631B0"/>
    <w:rsid w:val="7C87B2D7"/>
    <w:rsid w:val="7C8EF37F"/>
    <w:rsid w:val="7C939528"/>
    <w:rsid w:val="7C967549"/>
    <w:rsid w:val="7C9752F9"/>
    <w:rsid w:val="7C9D9C9F"/>
    <w:rsid w:val="7C9E66D8"/>
    <w:rsid w:val="7CA36A65"/>
    <w:rsid w:val="7CC2617B"/>
    <w:rsid w:val="7CC574AD"/>
    <w:rsid w:val="7CC6566B"/>
    <w:rsid w:val="7CCFB3DB"/>
    <w:rsid w:val="7CD7A519"/>
    <w:rsid w:val="7CD85DD0"/>
    <w:rsid w:val="7CF1ACD1"/>
    <w:rsid w:val="7CF781B6"/>
    <w:rsid w:val="7CFCEE4E"/>
    <w:rsid w:val="7D014E27"/>
    <w:rsid w:val="7D08BC0F"/>
    <w:rsid w:val="7D12C93A"/>
    <w:rsid w:val="7D1647AD"/>
    <w:rsid w:val="7D18CCFD"/>
    <w:rsid w:val="7D1926EF"/>
    <w:rsid w:val="7D1D8698"/>
    <w:rsid w:val="7D2762A0"/>
    <w:rsid w:val="7D2BCB1D"/>
    <w:rsid w:val="7D301E71"/>
    <w:rsid w:val="7D379AF4"/>
    <w:rsid w:val="7D3B5F03"/>
    <w:rsid w:val="7D50357B"/>
    <w:rsid w:val="7D5CB50C"/>
    <w:rsid w:val="7D653111"/>
    <w:rsid w:val="7D6D7CAD"/>
    <w:rsid w:val="7D7810D2"/>
    <w:rsid w:val="7D7948FC"/>
    <w:rsid w:val="7D8A81E2"/>
    <w:rsid w:val="7D926F68"/>
    <w:rsid w:val="7DABEACA"/>
    <w:rsid w:val="7DB46779"/>
    <w:rsid w:val="7DBF013D"/>
    <w:rsid w:val="7DD8DE8A"/>
    <w:rsid w:val="7DE6E9F0"/>
    <w:rsid w:val="7DEC296F"/>
    <w:rsid w:val="7DEEBA8E"/>
    <w:rsid w:val="7DF4B80A"/>
    <w:rsid w:val="7DFF6200"/>
    <w:rsid w:val="7E0096D5"/>
    <w:rsid w:val="7E0A07DD"/>
    <w:rsid w:val="7E0EAA3B"/>
    <w:rsid w:val="7E0F0D66"/>
    <w:rsid w:val="7E13B2E8"/>
    <w:rsid w:val="7E143EE0"/>
    <w:rsid w:val="7E258744"/>
    <w:rsid w:val="7E321505"/>
    <w:rsid w:val="7E379C4D"/>
    <w:rsid w:val="7E3A3A3F"/>
    <w:rsid w:val="7E460300"/>
    <w:rsid w:val="7E464D5B"/>
    <w:rsid w:val="7E4C16FB"/>
    <w:rsid w:val="7E4E43CF"/>
    <w:rsid w:val="7E5B9116"/>
    <w:rsid w:val="7E5FB7FD"/>
    <w:rsid w:val="7E743EB1"/>
    <w:rsid w:val="7E778B53"/>
    <w:rsid w:val="7E8B1098"/>
    <w:rsid w:val="7E9163C8"/>
    <w:rsid w:val="7E936503"/>
    <w:rsid w:val="7EA2F587"/>
    <w:rsid w:val="7EB45DD7"/>
    <w:rsid w:val="7EB9E1AF"/>
    <w:rsid w:val="7EBCF9E5"/>
    <w:rsid w:val="7EC24667"/>
    <w:rsid w:val="7ED17DD9"/>
    <w:rsid w:val="7ED24298"/>
    <w:rsid w:val="7ED48691"/>
    <w:rsid w:val="7EE60E20"/>
    <w:rsid w:val="7EF45FCE"/>
    <w:rsid w:val="7F04E3C5"/>
    <w:rsid w:val="7F0C4298"/>
    <w:rsid w:val="7F146016"/>
    <w:rsid w:val="7F15FA16"/>
    <w:rsid w:val="7F1B63F1"/>
    <w:rsid w:val="7F29EAA1"/>
    <w:rsid w:val="7F374499"/>
    <w:rsid w:val="7F37E735"/>
    <w:rsid w:val="7F3BFD13"/>
    <w:rsid w:val="7F3E4CA6"/>
    <w:rsid w:val="7F4485D7"/>
    <w:rsid w:val="7F57EEE4"/>
    <w:rsid w:val="7F6AE581"/>
    <w:rsid w:val="7F6CDEBA"/>
    <w:rsid w:val="7F6F9E4F"/>
    <w:rsid w:val="7F757AA7"/>
    <w:rsid w:val="7F805FF5"/>
    <w:rsid w:val="7F844DBD"/>
    <w:rsid w:val="7F8A4787"/>
    <w:rsid w:val="7F8B6D69"/>
    <w:rsid w:val="7F8C38CA"/>
    <w:rsid w:val="7FAD05E5"/>
    <w:rsid w:val="7FBDA607"/>
    <w:rsid w:val="7FC9C489"/>
    <w:rsid w:val="7FCB9DFA"/>
    <w:rsid w:val="7FD58B2C"/>
    <w:rsid w:val="7FD8D9DF"/>
    <w:rsid w:val="7FD8EBD2"/>
    <w:rsid w:val="7FE1F2E3"/>
    <w:rsid w:val="7FE9DE78"/>
    <w:rsid w:val="7FEDD05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83C862"/>
  <w15:docId w15:val="{8B67B6E0-1602-4927-8A1E-6CBAB1CBE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5" w:uiPriority="45"/>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A15"/>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9"/>
    <w:qFormat/>
    <w:rsid w:val="00DF01A1"/>
    <w:pPr>
      <w:widowControl w:val="0"/>
      <w:spacing w:before="360"/>
      <w:contextualSpacing/>
      <w:outlineLvl w:val="0"/>
    </w:pPr>
    <w:rPr>
      <w:rFonts w:ascii="Calibri" w:eastAsiaTheme="minorHAnsi" w:hAnsi="Calibri" w:cstheme="minorBidi"/>
      <w:b/>
      <w:bCs/>
      <w:color w:val="083A42"/>
      <w:spacing w:val="5"/>
      <w:kern w:val="28"/>
      <w:sz w:val="72"/>
      <w:szCs w:val="28"/>
      <w:lang w:eastAsia="en-US"/>
    </w:rPr>
  </w:style>
  <w:style w:type="paragraph" w:styleId="Heading2">
    <w:name w:val="heading 2"/>
    <w:basedOn w:val="Normal"/>
    <w:next w:val="Normal"/>
    <w:link w:val="Heading2Char"/>
    <w:uiPriority w:val="9"/>
    <w:qFormat/>
    <w:rsid w:val="00CB2439"/>
    <w:pPr>
      <w:pageBreakBefore/>
      <w:numPr>
        <w:numId w:val="6"/>
      </w:numPr>
      <w:spacing w:after="240" w:line="240" w:lineRule="auto"/>
      <w:outlineLvl w:val="1"/>
    </w:pPr>
    <w:rPr>
      <w:rFonts w:ascii="Calibri" w:eastAsiaTheme="minorEastAsia" w:hAnsi="Calibri"/>
      <w:bCs/>
      <w:color w:val="197C7D"/>
      <w:sz w:val="56"/>
      <w:szCs w:val="28"/>
      <w:lang w:eastAsia="ja-JP"/>
    </w:rPr>
  </w:style>
  <w:style w:type="paragraph" w:styleId="Heading3">
    <w:name w:val="heading 3"/>
    <w:next w:val="Normal"/>
    <w:link w:val="Heading3Char"/>
    <w:uiPriority w:val="4"/>
    <w:qFormat/>
    <w:rsid w:val="00475275"/>
    <w:pPr>
      <w:keepNext/>
      <w:keepLines/>
      <w:numPr>
        <w:ilvl w:val="1"/>
        <w:numId w:val="6"/>
      </w:numPr>
      <w:spacing w:after="200"/>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75275"/>
    <w:pPr>
      <w:keepNext/>
      <w:numPr>
        <w:ilvl w:val="2"/>
        <w:numId w:val="6"/>
      </w:numPr>
      <w:spacing w:after="200"/>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9"/>
    <w:rsid w:val="00DF01A1"/>
    <w:rPr>
      <w:rFonts w:ascii="Calibri" w:eastAsiaTheme="minorHAnsi" w:hAnsi="Calibri" w:cstheme="minorBidi"/>
      <w:b/>
      <w:bCs/>
      <w:color w:val="083A42"/>
      <w:spacing w:val="5"/>
      <w:kern w:val="28"/>
      <w:sz w:val="72"/>
      <w:szCs w:val="28"/>
      <w:lang w:eastAsia="en-US"/>
    </w:rPr>
  </w:style>
  <w:style w:type="character" w:customStyle="1" w:styleId="Heading2Char">
    <w:name w:val="Heading 2 Char"/>
    <w:basedOn w:val="DefaultParagraphFont"/>
    <w:link w:val="Heading2"/>
    <w:uiPriority w:val="9"/>
    <w:rsid w:val="00CB2439"/>
    <w:rPr>
      <w:rFonts w:ascii="Calibri" w:eastAsiaTheme="minorEastAsia" w:hAnsi="Calibri" w:cstheme="minorBidi"/>
      <w:bCs/>
      <w:color w:val="197C7D"/>
      <w:sz w:val="56"/>
      <w:szCs w:val="28"/>
      <w:lang w:eastAsia="ja-JP"/>
    </w:rPr>
  </w:style>
  <w:style w:type="character" w:customStyle="1" w:styleId="Heading3Char">
    <w:name w:val="Heading 3 Char"/>
    <w:basedOn w:val="DefaultParagraphFont"/>
    <w:link w:val="Heading3"/>
    <w:uiPriority w:val="4"/>
    <w:rsid w:val="00475275"/>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7527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35"/>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val="0"/>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123033"/>
    <w:pPr>
      <w:numPr>
        <w:ilvl w:val="1"/>
        <w:numId w:val="3"/>
      </w:numPr>
      <w:spacing w:before="120" w:after="120"/>
      <w:contextualSpacing/>
    </w:pPr>
  </w:style>
  <w:style w:type="paragraph" w:styleId="ListNumber">
    <w:name w:val="List Number"/>
    <w:basedOn w:val="Normal"/>
    <w:uiPriority w:val="9"/>
    <w:qFormat/>
    <w:rsid w:val="00123033"/>
    <w:pPr>
      <w:numPr>
        <w:numId w:val="8"/>
      </w:numPr>
      <w:tabs>
        <w:tab w:val="left" w:pos="142"/>
      </w:tabs>
      <w:spacing w:before="120" w:after="120"/>
    </w:pPr>
  </w:style>
  <w:style w:type="paragraph" w:styleId="ListNumber2">
    <w:name w:val="List Number 2"/>
    <w:uiPriority w:val="10"/>
    <w:qFormat/>
    <w:rsid w:val="00884E3A"/>
    <w:pPr>
      <w:numPr>
        <w:ilvl w:val="1"/>
        <w:numId w:val="8"/>
      </w:numPr>
      <w:tabs>
        <w:tab w:val="left" w:pos="567"/>
      </w:tabs>
      <w:spacing w:before="120" w:after="120" w:line="264" w:lineRule="auto"/>
      <w:ind w:left="879" w:hanging="425"/>
    </w:pPr>
    <w:rPr>
      <w:rFonts w:asciiTheme="minorHAnsi" w:eastAsia="Times New Roman" w:hAnsiTheme="minorHAnsi"/>
      <w:sz w:val="22"/>
      <w:szCs w:val="24"/>
      <w:lang w:eastAsia="en-US"/>
    </w:rPr>
  </w:style>
  <w:style w:type="paragraph" w:styleId="ListNumber3">
    <w:name w:val="List Number 3"/>
    <w:uiPriority w:val="11"/>
    <w:qFormat/>
    <w:rsid w:val="00884E3A"/>
    <w:pPr>
      <w:numPr>
        <w:ilvl w:val="2"/>
        <w:numId w:val="8"/>
      </w:numPr>
      <w:spacing w:before="120" w:after="120" w:line="264" w:lineRule="auto"/>
      <w:ind w:left="1247"/>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F75AB1"/>
    <w:pPr>
      <w:spacing w:after="20" w:line="240" w:lineRule="auto"/>
    </w:pPr>
    <w:rPr>
      <w:sz w:val="18"/>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sz w:val="18"/>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7"/>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197C7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character" w:customStyle="1" w:styleId="UnresolvedMention1">
    <w:name w:val="Unresolved Mention1"/>
    <w:basedOn w:val="DefaultParagraphFont"/>
    <w:uiPriority w:val="99"/>
    <w:semiHidden/>
    <w:unhideWhenUsed/>
    <w:rsid w:val="00EE4833"/>
    <w:rPr>
      <w:color w:val="605E5C"/>
      <w:shd w:val="clear" w:color="auto" w:fill="E1DFDD"/>
    </w:rPr>
  </w:style>
  <w:style w:type="paragraph" w:styleId="ListParagraph">
    <w:name w:val="List Paragraph"/>
    <w:aliases w:val="Table text,Recommendation,List Paragraph1,List Paragraph11,L,F5 List Paragraph,Dot pt,CV text,List Paragraph111,Medium Grid 1 - Accent 21,Numbered Paragraph,List Paragraph2,Bulleted Para,NFP GP Bulleted List,FooterText,numbered,列出段落,列出段落1"/>
    <w:basedOn w:val="Normal"/>
    <w:link w:val="ListParagraphChar"/>
    <w:uiPriority w:val="34"/>
    <w:qFormat/>
    <w:rsid w:val="006C261F"/>
    <w:pPr>
      <w:spacing w:after="0" w:line="240" w:lineRule="auto"/>
      <w:ind w:left="720"/>
    </w:pPr>
    <w:rPr>
      <w:rFonts w:ascii="Calibri" w:hAnsi="Calibri" w:cs="Calibri"/>
    </w:rPr>
  </w:style>
  <w:style w:type="table" w:customStyle="1" w:styleId="TableGrid10">
    <w:name w:val="Table Grid1"/>
    <w:basedOn w:val="TableNormal"/>
    <w:next w:val="TableGrid"/>
    <w:uiPriority w:val="39"/>
    <w:rsid w:val="00726E4E"/>
    <w:rPr>
      <w:rFonts w:ascii="Calibri" w:eastAsia="Calibri" w:hAnsi="Calibri" w:cs="Arial"/>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947F2"/>
    <w:rPr>
      <w:rFonts w:ascii="Calibri" w:eastAsia="Calibri" w:hAnsi="Calibri" w:cs="Arial"/>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947F2"/>
    <w:rPr>
      <w:rFonts w:ascii="Calibri" w:eastAsia="Calibri" w:hAnsi="Calibri" w:cs="Arial"/>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81B3A"/>
    <w:rPr>
      <w:rFonts w:ascii="Calibri" w:eastAsia="Calibri" w:hAnsi="Calibri" w:cs="Arial"/>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F2144"/>
    <w:rPr>
      <w:rFonts w:ascii="Calibri" w:eastAsia="Calibri" w:hAnsi="Calibri" w:cs="Arial"/>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B655E"/>
    <w:rPr>
      <w:rFonts w:ascii="Calibri" w:eastAsia="Calibri" w:hAnsi="Calibri" w:cs="Arial"/>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C6E56"/>
    <w:rPr>
      <w:rFonts w:ascii="Calibri" w:eastAsia="Calibri" w:hAnsi="Calibri" w:cs="Arial"/>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C6CF0"/>
    <w:rPr>
      <w:rFonts w:asciiTheme="minorHAnsi" w:eastAsiaTheme="minorHAnsi" w:hAnsiTheme="minorHAnsi" w:cstheme="minorBidi"/>
      <w:sz w:val="22"/>
      <w:szCs w:val="22"/>
      <w:lang w:eastAsia="en-US"/>
    </w:rPr>
  </w:style>
  <w:style w:type="character" w:customStyle="1" w:styleId="Mention1">
    <w:name w:val="Mention1"/>
    <w:basedOn w:val="DefaultParagraphFont"/>
    <w:uiPriority w:val="99"/>
    <w:unhideWhenUsed/>
    <w:rsid w:val="00761F3C"/>
    <w:rPr>
      <w:color w:val="2B579A"/>
      <w:shd w:val="clear" w:color="auto" w:fill="E1DFDD"/>
    </w:rPr>
  </w:style>
  <w:style w:type="table" w:customStyle="1" w:styleId="GridTable1Light-Accent11">
    <w:name w:val="Grid Table 1 Light - Accent 11"/>
    <w:basedOn w:val="TableNormal"/>
    <w:uiPriority w:val="46"/>
    <w:rsid w:val="00E5352F"/>
    <w:rPr>
      <w:rFonts w:asciiTheme="minorHAnsi" w:eastAsiaTheme="minorHAnsi" w:hAnsiTheme="minorHAnsi" w:cstheme="minorBidi"/>
      <w:sz w:val="22"/>
      <w:szCs w:val="22"/>
      <w:lang w:val="en-GB" w:eastAsia="en-US"/>
    </w:rPr>
    <w:tblPr>
      <w:tblStyleRowBandSize w:val="1"/>
      <w:tblStyleColBandSize w:val="1"/>
      <w:tblBorders>
        <w:top w:val="single" w:sz="4" w:space="0" w:color="87E5E7" w:themeColor="accent1" w:themeTint="66"/>
        <w:left w:val="single" w:sz="4" w:space="0" w:color="87E5E7" w:themeColor="accent1" w:themeTint="66"/>
        <w:bottom w:val="single" w:sz="4" w:space="0" w:color="87E5E7" w:themeColor="accent1" w:themeTint="66"/>
        <w:right w:val="single" w:sz="4" w:space="0" w:color="87E5E7" w:themeColor="accent1" w:themeTint="66"/>
        <w:insideH w:val="single" w:sz="4" w:space="0" w:color="87E5E7" w:themeColor="accent1" w:themeTint="66"/>
        <w:insideV w:val="single" w:sz="4" w:space="0" w:color="87E5E7" w:themeColor="accent1" w:themeTint="66"/>
      </w:tblBorders>
    </w:tblPr>
    <w:tblStylePr w:type="firstRow">
      <w:rPr>
        <w:b/>
        <w:bCs/>
      </w:rPr>
      <w:tblPr/>
      <w:tcPr>
        <w:tcBorders>
          <w:bottom w:val="single" w:sz="12" w:space="0" w:color="4BD9DB" w:themeColor="accent1" w:themeTint="99"/>
        </w:tcBorders>
      </w:tcPr>
    </w:tblStylePr>
    <w:tblStylePr w:type="lastRow">
      <w:rPr>
        <w:b/>
        <w:bCs/>
      </w:rPr>
      <w:tblPr/>
      <w:tcPr>
        <w:tcBorders>
          <w:top w:val="double" w:sz="2" w:space="0" w:color="4BD9DB" w:themeColor="accent1" w:themeTint="99"/>
        </w:tcBorders>
      </w:tcPr>
    </w:tblStylePr>
    <w:tblStylePr w:type="firstCol">
      <w:rPr>
        <w:b/>
        <w:bCs/>
      </w:rPr>
    </w:tblStylePr>
    <w:tblStylePr w:type="lastCol">
      <w:rPr>
        <w:b/>
        <w:bCs/>
      </w:rPr>
    </w:tblStylePr>
  </w:style>
  <w:style w:type="paragraph" w:customStyle="1" w:styleId="paragraph">
    <w:name w:val="paragraph"/>
    <w:basedOn w:val="Normal"/>
    <w:rsid w:val="0054145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541454"/>
  </w:style>
  <w:style w:type="character" w:customStyle="1" w:styleId="eop">
    <w:name w:val="eop"/>
    <w:basedOn w:val="DefaultParagraphFont"/>
    <w:rsid w:val="00541454"/>
  </w:style>
  <w:style w:type="table" w:customStyle="1" w:styleId="GridTable4-Accent51">
    <w:name w:val="Grid Table 4 - Accent 51"/>
    <w:basedOn w:val="TableNormal"/>
    <w:uiPriority w:val="49"/>
    <w:rsid w:val="00541454"/>
    <w:rPr>
      <w:rFonts w:asciiTheme="minorHAnsi" w:eastAsiaTheme="minorHAnsi" w:hAnsiTheme="minorHAnsi" w:cstheme="minorBidi"/>
      <w:kern w:val="2"/>
      <w:sz w:val="22"/>
      <w:szCs w:val="22"/>
      <w:lang w:eastAsia="en-US"/>
      <w14:ligatures w14:val="standardContextual"/>
    </w:r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insideV w:val="nil"/>
        </w:tcBorders>
        <w:shd w:val="clear" w:color="auto" w:fill="FFFFFF" w:themeFill="accent5"/>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character" w:customStyle="1" w:styleId="ListParagraphChar">
    <w:name w:val="List Paragraph Char"/>
    <w:aliases w:val="Table text Char,Recommendation Char,List Paragraph1 Char,List Paragraph11 Char,L Char,F5 List Paragraph Char,Dot pt Char,CV text Char,List Paragraph111 Char,Medium Grid 1 - Accent 21 Char,Numbered Paragraph Char,List Paragraph2 Char"/>
    <w:basedOn w:val="DefaultParagraphFont"/>
    <w:link w:val="ListParagraph"/>
    <w:uiPriority w:val="34"/>
    <w:qFormat/>
    <w:rsid w:val="00541454"/>
    <w:rPr>
      <w:rFonts w:ascii="Calibri" w:eastAsiaTheme="minorHAnsi" w:hAnsi="Calibri" w:cs="Calibri"/>
      <w:sz w:val="22"/>
      <w:szCs w:val="22"/>
      <w:lang w:eastAsia="en-US"/>
    </w:rPr>
  </w:style>
  <w:style w:type="character" w:customStyle="1" w:styleId="ui-provider">
    <w:name w:val="ui-provider"/>
    <w:basedOn w:val="DefaultParagraphFont"/>
    <w:rsid w:val="00541454"/>
  </w:style>
  <w:style w:type="numbering" w:customStyle="1" w:styleId="NoList1">
    <w:name w:val="No List1"/>
    <w:next w:val="NoList"/>
    <w:uiPriority w:val="99"/>
    <w:semiHidden/>
    <w:unhideWhenUsed/>
    <w:rsid w:val="00CA6D26"/>
  </w:style>
  <w:style w:type="table" w:customStyle="1" w:styleId="TableGrid8">
    <w:name w:val="Table Grid8"/>
    <w:basedOn w:val="TableNormal"/>
    <w:next w:val="TableGrid"/>
    <w:uiPriority w:val="39"/>
    <w:rsid w:val="00CA6D26"/>
    <w:rPr>
      <w:rFonts w:ascii="Calibri" w:eastAsia="Calibri" w:hAnsi="Calibri" w:cs="Arial"/>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A6D26"/>
  </w:style>
  <w:style w:type="table" w:customStyle="1" w:styleId="TableGrid9">
    <w:name w:val="Table Grid9"/>
    <w:basedOn w:val="TableNormal"/>
    <w:next w:val="TableGrid"/>
    <w:uiPriority w:val="39"/>
    <w:rsid w:val="00CA6D26"/>
    <w:rPr>
      <w:rFonts w:ascii="Calibri" w:eastAsia="Calibri" w:hAnsi="Calibri" w:cs="Arial"/>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CB0CA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CB0CAF"/>
    <w:rPr>
      <w:rFonts w:ascii="Segoe UI" w:hAnsi="Segoe UI" w:cs="Segoe UI" w:hint="default"/>
      <w:sz w:val="18"/>
      <w:szCs w:val="18"/>
    </w:rPr>
  </w:style>
  <w:style w:type="table" w:customStyle="1" w:styleId="TableGrid100">
    <w:name w:val="Table Grid10"/>
    <w:basedOn w:val="TableNormal"/>
    <w:next w:val="TableGrid"/>
    <w:uiPriority w:val="39"/>
    <w:rsid w:val="0019375C"/>
    <w:rPr>
      <w:rFonts w:ascii="Calibri" w:eastAsia="Calibri" w:hAnsi="Calibri" w:cs="Arial"/>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0B59B4"/>
    <w:rPr>
      <w:rFonts w:ascii="Calibri" w:eastAsia="Calibri" w:hAnsi="Calibri" w:cs="Arial"/>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loutbox">
    <w:name w:val="Call out box"/>
    <w:basedOn w:val="Normal"/>
    <w:qFormat/>
    <w:rsid w:val="005D679B"/>
    <w:pPr>
      <w:pBdr>
        <w:top w:val="single" w:sz="4" w:space="6" w:color="B8DCD7"/>
        <w:left w:val="single" w:sz="4" w:space="4" w:color="B8DCD7"/>
        <w:bottom w:val="single" w:sz="4" w:space="6" w:color="B8DCD7"/>
        <w:right w:val="single" w:sz="4" w:space="4" w:color="B8DCD7"/>
      </w:pBdr>
      <w:shd w:val="clear" w:color="auto" w:fill="B8DCD7"/>
      <w:spacing w:after="160" w:line="259" w:lineRule="auto"/>
    </w:pPr>
  </w:style>
  <w:style w:type="character" w:customStyle="1" w:styleId="cf11">
    <w:name w:val="cf11"/>
    <w:basedOn w:val="DefaultParagraphFont"/>
    <w:rsid w:val="00EF3318"/>
    <w:rPr>
      <w:rFonts w:ascii="Segoe UI" w:hAnsi="Segoe UI" w:cs="Segoe UI" w:hint="default"/>
      <w:sz w:val="18"/>
      <w:szCs w:val="18"/>
    </w:rPr>
  </w:style>
  <w:style w:type="character" w:customStyle="1" w:styleId="cf21">
    <w:name w:val="cf21"/>
    <w:basedOn w:val="DefaultParagraphFont"/>
    <w:rsid w:val="00EF3318"/>
    <w:rPr>
      <w:rFonts w:ascii="Segoe UI" w:hAnsi="Segoe UI" w:cs="Segoe UI" w:hint="default"/>
      <w:i/>
      <w:iCs/>
      <w:sz w:val="18"/>
      <w:szCs w:val="18"/>
    </w:rPr>
  </w:style>
  <w:style w:type="character" w:customStyle="1" w:styleId="cf31">
    <w:name w:val="cf31"/>
    <w:basedOn w:val="DefaultParagraphFont"/>
    <w:rsid w:val="00EF3318"/>
    <w:rPr>
      <w:rFonts w:ascii="Segoe UI" w:hAnsi="Segoe UI" w:cs="Segoe UI" w:hint="default"/>
      <w:sz w:val="18"/>
      <w:szCs w:val="18"/>
    </w:rPr>
  </w:style>
  <w:style w:type="character" w:customStyle="1" w:styleId="Mention2">
    <w:name w:val="Mention2"/>
    <w:basedOn w:val="DefaultParagraphFont"/>
    <w:uiPriority w:val="99"/>
    <w:unhideWhenUsed/>
    <w:rsid w:val="001D0354"/>
    <w:rPr>
      <w:color w:val="2B579A"/>
      <w:shd w:val="clear" w:color="auto" w:fill="E1DFDD"/>
    </w:rPr>
  </w:style>
  <w:style w:type="character" w:customStyle="1" w:styleId="UnresolvedMention2">
    <w:name w:val="Unresolved Mention2"/>
    <w:basedOn w:val="DefaultParagraphFont"/>
    <w:uiPriority w:val="99"/>
    <w:semiHidden/>
    <w:unhideWhenUsed/>
    <w:rsid w:val="00B76030"/>
    <w:rPr>
      <w:color w:val="605E5C"/>
      <w:shd w:val="clear" w:color="auto" w:fill="E1DFDD"/>
    </w:rPr>
  </w:style>
  <w:style w:type="paragraph" w:customStyle="1" w:styleId="elementtoproof">
    <w:name w:val="elementtoproof"/>
    <w:basedOn w:val="Normal"/>
    <w:rsid w:val="000C205D"/>
    <w:pPr>
      <w:spacing w:after="0" w:line="240" w:lineRule="auto"/>
    </w:pPr>
    <w:rPr>
      <w:rFonts w:ascii="Calibri" w:hAnsi="Calibri" w:cs="Calibri"/>
      <w:lang w:eastAsia="en-AU"/>
    </w:rPr>
  </w:style>
  <w:style w:type="character" w:styleId="Mention">
    <w:name w:val="Mention"/>
    <w:basedOn w:val="DefaultParagraphFont"/>
    <w:uiPriority w:val="99"/>
    <w:unhideWhenUsed/>
    <w:rsid w:val="009371B4"/>
    <w:rPr>
      <w:color w:val="2B579A"/>
      <w:shd w:val="clear" w:color="auto" w:fill="E1DFDD"/>
    </w:rPr>
  </w:style>
  <w:style w:type="table" w:customStyle="1" w:styleId="TableGrid12">
    <w:name w:val="Table Grid12"/>
    <w:basedOn w:val="TableNormal"/>
    <w:next w:val="TableGrid"/>
    <w:uiPriority w:val="39"/>
    <w:rsid w:val="003414E0"/>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81174"/>
    <w:rPr>
      <w:color w:val="605E5C"/>
      <w:shd w:val="clear" w:color="auto" w:fill="E1DFDD"/>
    </w:rPr>
  </w:style>
  <w:style w:type="table" w:styleId="PlainTable1">
    <w:name w:val="Plain Table 1"/>
    <w:basedOn w:val="TableNormal"/>
    <w:uiPriority w:val="99"/>
    <w:rsid w:val="0015439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CA0E3D"/>
    <w:tblPr>
      <w:tblStyleRowBandSize w:val="1"/>
      <w:tblStyleColBandSize w:val="1"/>
      <w:tblBorders>
        <w:top w:val="single" w:sz="4" w:space="0" w:color="4BD9DB" w:themeColor="accent1" w:themeTint="99"/>
        <w:left w:val="single" w:sz="4" w:space="0" w:color="4BD9DB" w:themeColor="accent1" w:themeTint="99"/>
        <w:bottom w:val="single" w:sz="4" w:space="0" w:color="4BD9DB" w:themeColor="accent1" w:themeTint="99"/>
        <w:right w:val="single" w:sz="4" w:space="0" w:color="4BD9DB" w:themeColor="accent1" w:themeTint="99"/>
        <w:insideH w:val="single" w:sz="4" w:space="0" w:color="4BD9DB" w:themeColor="accent1" w:themeTint="99"/>
        <w:insideV w:val="single" w:sz="4" w:space="0" w:color="4BD9DB" w:themeColor="accent1" w:themeTint="99"/>
      </w:tblBorders>
    </w:tblPr>
    <w:tblStylePr w:type="firstRow">
      <w:rPr>
        <w:b/>
        <w:bCs/>
        <w:color w:val="FFFFFF" w:themeColor="background1"/>
      </w:rPr>
      <w:tblPr/>
      <w:tcPr>
        <w:tcBorders>
          <w:top w:val="single" w:sz="4" w:space="0" w:color="197C7D" w:themeColor="accent1"/>
          <w:left w:val="single" w:sz="4" w:space="0" w:color="197C7D" w:themeColor="accent1"/>
          <w:bottom w:val="single" w:sz="4" w:space="0" w:color="197C7D" w:themeColor="accent1"/>
          <w:right w:val="single" w:sz="4" w:space="0" w:color="197C7D" w:themeColor="accent1"/>
          <w:insideH w:val="nil"/>
          <w:insideV w:val="nil"/>
        </w:tcBorders>
        <w:shd w:val="clear" w:color="auto" w:fill="197C7D" w:themeFill="accent1"/>
      </w:tcPr>
    </w:tblStylePr>
    <w:tblStylePr w:type="lastRow">
      <w:rPr>
        <w:b/>
        <w:bCs/>
      </w:rPr>
      <w:tblPr/>
      <w:tcPr>
        <w:tcBorders>
          <w:top w:val="double" w:sz="4" w:space="0" w:color="197C7D" w:themeColor="accent1"/>
        </w:tcBorders>
      </w:tcPr>
    </w:tblStylePr>
    <w:tblStylePr w:type="firstCol">
      <w:rPr>
        <w:b/>
        <w:bCs/>
      </w:rPr>
    </w:tblStylePr>
    <w:tblStylePr w:type="lastCol">
      <w:rPr>
        <w:b/>
        <w:bCs/>
      </w:rPr>
    </w:tblStylePr>
    <w:tblStylePr w:type="band1Vert">
      <w:tblPr/>
      <w:tcPr>
        <w:shd w:val="clear" w:color="auto" w:fill="C3F2F3" w:themeFill="accent1" w:themeFillTint="33"/>
      </w:tcPr>
    </w:tblStylePr>
    <w:tblStylePr w:type="band1Horz">
      <w:tblPr/>
      <w:tcPr>
        <w:shd w:val="clear" w:color="auto" w:fill="C3F2F3" w:themeFill="accent1" w:themeFillTint="33"/>
      </w:tcPr>
    </w:tblStylePr>
  </w:style>
  <w:style w:type="table" w:styleId="ListTable3-Accent1">
    <w:name w:val="List Table 3 Accent 1"/>
    <w:basedOn w:val="TableNormal"/>
    <w:uiPriority w:val="48"/>
    <w:rsid w:val="00CA0E3D"/>
    <w:tblPr>
      <w:tblStyleRowBandSize w:val="1"/>
      <w:tblStyleColBandSize w:val="1"/>
      <w:tblBorders>
        <w:top w:val="single" w:sz="4" w:space="0" w:color="197C7D" w:themeColor="accent1"/>
        <w:left w:val="single" w:sz="4" w:space="0" w:color="197C7D" w:themeColor="accent1"/>
        <w:bottom w:val="single" w:sz="4" w:space="0" w:color="197C7D" w:themeColor="accent1"/>
        <w:right w:val="single" w:sz="4" w:space="0" w:color="197C7D" w:themeColor="accent1"/>
      </w:tblBorders>
    </w:tblPr>
    <w:tblStylePr w:type="firstRow">
      <w:rPr>
        <w:b/>
        <w:bCs/>
        <w:color w:val="FFFFFF" w:themeColor="background1"/>
      </w:rPr>
      <w:tblPr/>
      <w:tcPr>
        <w:shd w:val="clear" w:color="auto" w:fill="197C7D" w:themeFill="accent1"/>
      </w:tcPr>
    </w:tblStylePr>
    <w:tblStylePr w:type="lastRow">
      <w:rPr>
        <w:b/>
        <w:bCs/>
      </w:rPr>
      <w:tblPr/>
      <w:tcPr>
        <w:tcBorders>
          <w:top w:val="double" w:sz="4" w:space="0" w:color="197C7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7C7D" w:themeColor="accent1"/>
          <w:right w:val="single" w:sz="4" w:space="0" w:color="197C7D" w:themeColor="accent1"/>
        </w:tcBorders>
      </w:tcPr>
    </w:tblStylePr>
    <w:tblStylePr w:type="band1Horz">
      <w:tblPr/>
      <w:tcPr>
        <w:tcBorders>
          <w:top w:val="single" w:sz="4" w:space="0" w:color="197C7D" w:themeColor="accent1"/>
          <w:bottom w:val="single" w:sz="4" w:space="0" w:color="197C7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7C7D" w:themeColor="accent1"/>
          <w:left w:val="nil"/>
        </w:tcBorders>
      </w:tcPr>
    </w:tblStylePr>
    <w:tblStylePr w:type="swCell">
      <w:tblPr/>
      <w:tcPr>
        <w:tcBorders>
          <w:top w:val="double" w:sz="4" w:space="0" w:color="197C7D" w:themeColor="accent1"/>
          <w:right w:val="nil"/>
        </w:tcBorders>
      </w:tcPr>
    </w:tblStylePr>
  </w:style>
  <w:style w:type="paragraph" w:styleId="BodyText">
    <w:name w:val="Body Text"/>
    <w:basedOn w:val="Normal"/>
    <w:link w:val="BodyTextChar"/>
    <w:qFormat/>
    <w:rsid w:val="006A56F5"/>
    <w:pPr>
      <w:spacing w:before="180" w:after="180" w:line="240" w:lineRule="auto"/>
    </w:pPr>
    <w:rPr>
      <w:sz w:val="24"/>
      <w:szCs w:val="24"/>
      <w:lang w:val="en-US"/>
    </w:rPr>
  </w:style>
  <w:style w:type="character" w:customStyle="1" w:styleId="BodyTextChar">
    <w:name w:val="Body Text Char"/>
    <w:basedOn w:val="DefaultParagraphFont"/>
    <w:link w:val="BodyText"/>
    <w:rsid w:val="006A56F5"/>
    <w:rPr>
      <w:rFonts w:asciiTheme="minorHAnsi" w:eastAsiaTheme="minorHAnsi" w:hAnsiTheme="minorHAnsi" w:cstheme="minorBidi"/>
      <w:sz w:val="24"/>
      <w:szCs w:val="24"/>
      <w:lang w:val="en-US" w:eastAsia="en-US"/>
    </w:rPr>
  </w:style>
  <w:style w:type="paragraph" w:customStyle="1" w:styleId="Bullet">
    <w:name w:val="Bullet"/>
    <w:aliases w:val="Body,Bullet + line,b,b + line,b1,level 1,BodyNum,Bullet Char1,Bullet Char1 Char Char Char,Bullet Char1 Char Char Char Char,Bullet Char1 Char Char Char Char Char,b1 Char Char Char,bulleted"/>
    <w:basedOn w:val="Normal"/>
    <w:qFormat/>
    <w:rsid w:val="009F5EE5"/>
    <w:pPr>
      <w:numPr>
        <w:numId w:val="44"/>
      </w:numPr>
      <w:spacing w:after="160" w:line="259" w:lineRule="auto"/>
    </w:pPr>
    <w:rPr>
      <w:kern w:val="2"/>
      <w14:ligatures w14:val="standardContextual"/>
    </w:rPr>
  </w:style>
  <w:style w:type="paragraph" w:customStyle="1" w:styleId="Dash">
    <w:name w:val="Dash"/>
    <w:basedOn w:val="Normal"/>
    <w:qFormat/>
    <w:rsid w:val="009F5EE5"/>
    <w:pPr>
      <w:numPr>
        <w:ilvl w:val="1"/>
        <w:numId w:val="44"/>
      </w:numPr>
      <w:spacing w:after="160" w:line="259" w:lineRule="auto"/>
    </w:pPr>
    <w:rPr>
      <w:kern w:val="2"/>
      <w14:ligatures w14:val="standardContextual"/>
    </w:rPr>
  </w:style>
  <w:style w:type="paragraph" w:customStyle="1" w:styleId="DoubleDot">
    <w:name w:val="Double Dot"/>
    <w:basedOn w:val="Normal"/>
    <w:qFormat/>
    <w:rsid w:val="009F5EE5"/>
    <w:pPr>
      <w:numPr>
        <w:ilvl w:val="2"/>
        <w:numId w:val="44"/>
      </w:numPr>
      <w:spacing w:after="160" w:line="259" w:lineRule="auto"/>
    </w:pPr>
    <w:rPr>
      <w:kern w:val="2"/>
      <w14:ligatures w14:val="standardContextual"/>
    </w:rPr>
  </w:style>
  <w:style w:type="table" w:styleId="PlainTable5">
    <w:name w:val="Plain Table 5"/>
    <w:basedOn w:val="TableNormal"/>
    <w:uiPriority w:val="45"/>
    <w:rsid w:val="009F5EE5"/>
    <w:rPr>
      <w:rFonts w:asciiTheme="minorHAnsi" w:eastAsiaTheme="minorHAnsi" w:hAnsiTheme="minorHAnsi" w:cstheme="minorBidi"/>
      <w:kern w:val="2"/>
      <w:sz w:val="22"/>
      <w:szCs w:val="22"/>
      <w:lang w:eastAsia="en-US"/>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41963">
      <w:bodyDiv w:val="1"/>
      <w:marLeft w:val="0"/>
      <w:marRight w:val="0"/>
      <w:marTop w:val="0"/>
      <w:marBottom w:val="0"/>
      <w:divBdr>
        <w:top w:val="none" w:sz="0" w:space="0" w:color="auto"/>
        <w:left w:val="none" w:sz="0" w:space="0" w:color="auto"/>
        <w:bottom w:val="none" w:sz="0" w:space="0" w:color="auto"/>
        <w:right w:val="none" w:sz="0" w:space="0" w:color="auto"/>
      </w:divBdr>
    </w:div>
    <w:div w:id="14815575">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72694388">
      <w:bodyDiv w:val="1"/>
      <w:marLeft w:val="0"/>
      <w:marRight w:val="0"/>
      <w:marTop w:val="0"/>
      <w:marBottom w:val="0"/>
      <w:divBdr>
        <w:top w:val="none" w:sz="0" w:space="0" w:color="auto"/>
        <w:left w:val="none" w:sz="0" w:space="0" w:color="auto"/>
        <w:bottom w:val="none" w:sz="0" w:space="0" w:color="auto"/>
        <w:right w:val="none" w:sz="0" w:space="0" w:color="auto"/>
      </w:divBdr>
    </w:div>
    <w:div w:id="190998488">
      <w:bodyDiv w:val="1"/>
      <w:marLeft w:val="0"/>
      <w:marRight w:val="0"/>
      <w:marTop w:val="0"/>
      <w:marBottom w:val="0"/>
      <w:divBdr>
        <w:top w:val="none" w:sz="0" w:space="0" w:color="auto"/>
        <w:left w:val="none" w:sz="0" w:space="0" w:color="auto"/>
        <w:bottom w:val="none" w:sz="0" w:space="0" w:color="auto"/>
        <w:right w:val="none" w:sz="0" w:space="0" w:color="auto"/>
      </w:divBdr>
    </w:div>
    <w:div w:id="314724478">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37911577">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204660">
      <w:bodyDiv w:val="1"/>
      <w:marLeft w:val="0"/>
      <w:marRight w:val="0"/>
      <w:marTop w:val="0"/>
      <w:marBottom w:val="0"/>
      <w:divBdr>
        <w:top w:val="none" w:sz="0" w:space="0" w:color="auto"/>
        <w:left w:val="none" w:sz="0" w:space="0" w:color="auto"/>
        <w:bottom w:val="none" w:sz="0" w:space="0" w:color="auto"/>
        <w:right w:val="none" w:sz="0" w:space="0" w:color="auto"/>
      </w:divBdr>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3228222">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12230697">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9313419">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639772">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747115">
      <w:bodyDiv w:val="1"/>
      <w:marLeft w:val="0"/>
      <w:marRight w:val="0"/>
      <w:marTop w:val="0"/>
      <w:marBottom w:val="0"/>
      <w:divBdr>
        <w:top w:val="none" w:sz="0" w:space="0" w:color="auto"/>
        <w:left w:val="none" w:sz="0" w:space="0" w:color="auto"/>
        <w:bottom w:val="none" w:sz="0" w:space="0" w:color="auto"/>
        <w:right w:val="none" w:sz="0" w:space="0" w:color="auto"/>
      </w:divBdr>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77557238">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08424925">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306146">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055097">
      <w:bodyDiv w:val="1"/>
      <w:marLeft w:val="0"/>
      <w:marRight w:val="0"/>
      <w:marTop w:val="0"/>
      <w:marBottom w:val="0"/>
      <w:divBdr>
        <w:top w:val="none" w:sz="0" w:space="0" w:color="auto"/>
        <w:left w:val="none" w:sz="0" w:space="0" w:color="auto"/>
        <w:bottom w:val="none" w:sz="0" w:space="0" w:color="auto"/>
        <w:right w:val="none" w:sz="0" w:space="0" w:color="auto"/>
      </w:divBdr>
    </w:div>
    <w:div w:id="1513304210">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7469756">
      <w:bodyDiv w:val="1"/>
      <w:marLeft w:val="0"/>
      <w:marRight w:val="0"/>
      <w:marTop w:val="0"/>
      <w:marBottom w:val="0"/>
      <w:divBdr>
        <w:top w:val="none" w:sz="0" w:space="0" w:color="auto"/>
        <w:left w:val="none" w:sz="0" w:space="0" w:color="auto"/>
        <w:bottom w:val="none" w:sz="0" w:space="0" w:color="auto"/>
        <w:right w:val="none" w:sz="0" w:space="0" w:color="auto"/>
      </w:divBdr>
    </w:div>
    <w:div w:id="1695377435">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207723">
      <w:bodyDiv w:val="1"/>
      <w:marLeft w:val="0"/>
      <w:marRight w:val="0"/>
      <w:marTop w:val="0"/>
      <w:marBottom w:val="0"/>
      <w:divBdr>
        <w:top w:val="none" w:sz="0" w:space="0" w:color="auto"/>
        <w:left w:val="none" w:sz="0" w:space="0" w:color="auto"/>
        <w:bottom w:val="none" w:sz="0" w:space="0" w:color="auto"/>
        <w:right w:val="none" w:sz="0" w:space="0" w:color="auto"/>
      </w:divBdr>
    </w:div>
    <w:div w:id="1786189344">
      <w:bodyDiv w:val="1"/>
      <w:marLeft w:val="0"/>
      <w:marRight w:val="0"/>
      <w:marTop w:val="0"/>
      <w:marBottom w:val="0"/>
      <w:divBdr>
        <w:top w:val="none" w:sz="0" w:space="0" w:color="auto"/>
        <w:left w:val="none" w:sz="0" w:space="0" w:color="auto"/>
        <w:bottom w:val="none" w:sz="0" w:space="0" w:color="auto"/>
        <w:right w:val="none" w:sz="0" w:space="0" w:color="auto"/>
      </w:divBdr>
    </w:div>
    <w:div w:id="1822383626">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729977">
      <w:bodyDiv w:val="1"/>
      <w:marLeft w:val="0"/>
      <w:marRight w:val="0"/>
      <w:marTop w:val="0"/>
      <w:marBottom w:val="0"/>
      <w:divBdr>
        <w:top w:val="none" w:sz="0" w:space="0" w:color="auto"/>
        <w:left w:val="none" w:sz="0" w:space="0" w:color="auto"/>
        <w:bottom w:val="none" w:sz="0" w:space="0" w:color="auto"/>
        <w:right w:val="none" w:sz="0" w:space="0" w:color="auto"/>
      </w:divBdr>
    </w:div>
    <w:div w:id="1917209170">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54696535">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671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pyright@dcceew.gov.au" TargetMode="External"/><Relationship Id="rId18" Type="http://schemas.openxmlformats.org/officeDocument/2006/relationships/header" Target="header1.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s://www.dcceew.gov.au" TargetMode="External"/><Relationship Id="rId20" Type="http://schemas.openxmlformats.org/officeDocument/2006/relationships/footer" Target="footer1.xml"/><Relationship Id="rId29" Type="http://schemas.openxmlformats.org/officeDocument/2006/relationships/hyperlink" Target="https://www.cop28.com/en/cop28-uae-declaration-on-hydrogen-and-derivativ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https://www.dcceew.gov.au/publications" TargetMode="External"/><Relationship Id="rId23" Type="http://schemas.openxmlformats.org/officeDocument/2006/relationships/footer" Target="footer3.xml"/><Relationship Id="rId28" Type="http://schemas.openxmlformats.org/officeDocument/2006/relationships/chart" Target="charts/chart1.xml"/><Relationship Id="rId36"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6" Type="http://schemas.openxmlformats.org/officeDocument/2006/relationships/hyperlink" Target="https://treasury.gov.au/sites/default/files/2024-05/p2024-526942-fmia-nif.pdf" TargetMode="External"/><Relationship Id="rId21" Type="http://schemas.openxmlformats.org/officeDocument/2006/relationships/hyperlink" Target="http://cement.org.au/sustainability/climate-change/" TargetMode="External"/><Relationship Id="rId42" Type="http://schemas.openxmlformats.org/officeDocument/2006/relationships/hyperlink" Target="https://www.qenos.com/internet/home.nsf/web/OurPlants" TargetMode="External"/><Relationship Id="rId47" Type="http://schemas.openxmlformats.org/officeDocument/2006/relationships/hyperlink" Target="https://www.industry.gov.au/sites/default/files/2024-03/resources-and-energy-quarterly-march-2024.pdf" TargetMode="External"/><Relationship Id="rId63" Type="http://schemas.openxmlformats.org/officeDocument/2006/relationships/hyperlink" Target="https://www.legislation.gov.au/F2015L01637/latest/text" TargetMode="External"/><Relationship Id="rId68" Type="http://schemas.openxmlformats.org/officeDocument/2006/relationships/hyperlink" Target="https://agriculture.vic.gov.au/crops-and-horticulture/grains-pulses-and-cereals/growing-grains-pulses-and-cereals/growing-wheat-in-victoria" TargetMode="External"/><Relationship Id="rId2" Type="http://schemas.openxmlformats.org/officeDocument/2006/relationships/hyperlink" Target="https://haveyoursay.agriculture.gov.au/agriculture-and-land-sectoral-plan" TargetMode="External"/><Relationship Id="rId16" Type="http://schemas.openxmlformats.org/officeDocument/2006/relationships/hyperlink" Target="https://www.legislation.gov.au/F2015L01637/latest/text" TargetMode="External"/><Relationship Id="rId29" Type="http://schemas.openxmlformats.org/officeDocument/2006/relationships/hyperlink" Target="https://www.orica.com/news-media/2021/orica-partners-with-government-to-reduce-kooragang-island-site-ghg-emissions-by-48" TargetMode="External"/><Relationship Id="rId11" Type="http://schemas.openxmlformats.org/officeDocument/2006/relationships/hyperlink" Target="https://consult.dcceew.gov.au/consultation-proposed-approach-carbon-leakage-risk-as-part-of-the-carbon-leakage-review/take-the-survey-014179ff/list" TargetMode="External"/><Relationship Id="rId24" Type="http://schemas.openxmlformats.org/officeDocument/2006/relationships/hyperlink" Target="https://energytransitionsinitiative.org/wp-content/uploads/2023/08/Pathways-to-Industrial-Decarbonisation-report-Updated-August-2023-Australian-Industry-ETI.pdf" TargetMode="External"/><Relationship Id="rId32" Type="http://schemas.openxmlformats.org/officeDocument/2006/relationships/hyperlink" Target="https://worldsteel.org/steel-topics/statistics/annual-production-steel-data" TargetMode="External"/><Relationship Id="rId37" Type="http://schemas.openxmlformats.org/officeDocument/2006/relationships/hyperlink" Target="https://www.industry.gov.au/publications/australias-critical-minerals-list-and-strategic-materials-list" TargetMode="External"/><Relationship Id="rId40" Type="http://schemas.openxmlformats.org/officeDocument/2006/relationships/hyperlink" Target="https://www.industry.gov.au/publications/australias-critical-minerals-list-and-strategic-materials-list" TargetMode="External"/><Relationship Id="rId45" Type="http://schemas.openxmlformats.org/officeDocument/2006/relationships/hyperlink" Target="https://www.ga.gov.au/scientific-topics/minerals/mineral-resources-and-advice/australian-resource-reviews/manganese" TargetMode="External"/><Relationship Id="rId53" Type="http://schemas.openxmlformats.org/officeDocument/2006/relationships/hyperlink" Target="https://www.industry.gov.au/sites/default/files/2024-03/resources-and-energy-quarterly-march-2024.pdf" TargetMode="External"/><Relationship Id="rId58" Type="http://schemas.openxmlformats.org/officeDocument/2006/relationships/hyperlink" Target="https://www.canada.ca/en/department-finance/programs/consultations/2021/border-carbon-adjustments/exploring-border-carbon-adjustments-canada.html" TargetMode="External"/><Relationship Id="rId66" Type="http://schemas.openxmlformats.org/officeDocument/2006/relationships/hyperlink" Target="https://www.cleanenergycouncil.org.au/resources/project-tracker" TargetMode="External"/><Relationship Id="rId74" Type="http://schemas.openxmlformats.org/officeDocument/2006/relationships/hyperlink" Target="https://doi.org/10.1787/4de3422f-en" TargetMode="External"/><Relationship Id="rId5" Type="http://schemas.openxmlformats.org/officeDocument/2006/relationships/hyperlink" Target="https://minister.dcceew.gov.au/bowen/speeches/annual-climate-change-statement-parliament-0" TargetMode="External"/><Relationship Id="rId61" Type="http://schemas.openxmlformats.org/officeDocument/2006/relationships/hyperlink" Target="https://worldsteel.org/climate-action/climate-action-data-collection/" TargetMode="External"/><Relationship Id="rId19" Type="http://schemas.openxmlformats.org/officeDocument/2006/relationships/hyperlink" Target="https://rdcu.be/dJuTE" TargetMode="External"/><Relationship Id="rId14" Type="http://schemas.openxmlformats.org/officeDocument/2006/relationships/hyperlink" Target="https://budget.gov.au/content/bp2/download/bp2_2024-25.pdf" TargetMode="External"/><Relationship Id="rId22" Type="http://schemas.openxmlformats.org/officeDocument/2006/relationships/hyperlink" Target="http://cement.org.au/wp-content/uploads/2023/06/Decarbonisastion_Pathways_Australian_Lime_Sector.pdf" TargetMode="External"/><Relationship Id="rId27" Type="http://schemas.openxmlformats.org/officeDocument/2006/relationships/hyperlink" Target="https://iea.blob.core.windows.net/assets/6ee41bb9-8e81-4b64-8701-2acc064ff6e4/AmmoniaTechnologyRoadmap.pdf" TargetMode="External"/><Relationship Id="rId30" Type="http://schemas.openxmlformats.org/officeDocument/2006/relationships/hyperlink" Target="https://www.sphericalinsights.com/reports/green-ammonia-market" TargetMode="External"/><Relationship Id="rId35" Type="http://schemas.openxmlformats.org/officeDocument/2006/relationships/hyperlink" Target="https://www.bcg.com/publications/2022/forging-a-path-to-green-steel" TargetMode="External"/><Relationship Id="rId43" Type="http://schemas.openxmlformats.org/officeDocument/2006/relationships/hyperlink" Target="https://www.industry.gov.au/sites/default/files/2024-03/resources-and-energy-quarterly-march-2024.pdf" TargetMode="External"/><Relationship Id="rId48" Type="http://schemas.openxmlformats.org/officeDocument/2006/relationships/hyperlink" Target="https://www.gfgalliance.com/media-release/gfg-alliance-completes-purchase-of-temco/" TargetMode="External"/><Relationship Id="rId56" Type="http://schemas.openxmlformats.org/officeDocument/2006/relationships/hyperlink" Target="https://www.industry.gov.au/sites/default/files/2024-03/resources-and-energy-quarterly-march-2024.pdf" TargetMode="External"/><Relationship Id="rId64" Type="http://schemas.openxmlformats.org/officeDocument/2006/relationships/hyperlink" Target="https://missionpossiblepartnership.org/wp-content/uploads/2022/09/Making-Net-Zero-Steel-possible.pdf" TargetMode="External"/><Relationship Id="rId69" Type="http://schemas.openxmlformats.org/officeDocument/2006/relationships/hyperlink" Target="https://www.iea.org/reports/breakthrough-agenda-report-2022" TargetMode="External"/><Relationship Id="rId8" Type="http://schemas.openxmlformats.org/officeDocument/2006/relationships/hyperlink" Target="https://openknowledge.worldbank.org/entities/publication/b0d66765-299c-4fb8-921f-61f6bb979087" TargetMode="External"/><Relationship Id="rId51" Type="http://schemas.openxmlformats.org/officeDocument/2006/relationships/hyperlink" Target="https://treasury.gov.au/sites/default/files/2024-05/p2024-526942-fmia-nif.pdf" TargetMode="External"/><Relationship Id="rId72" Type="http://schemas.openxmlformats.org/officeDocument/2006/relationships/hyperlink" Target="https://www.tradeministersonclimate.org/" TargetMode="External"/><Relationship Id="rId3" Type="http://schemas.openxmlformats.org/officeDocument/2006/relationships/hyperlink" Target="https://consult.dcceew.gov.au/electricity-and-energy-sector-plan-discussion-paper" TargetMode="External"/><Relationship Id="rId12" Type="http://schemas.openxmlformats.org/officeDocument/2006/relationships/hyperlink" Target="https://www.pm.gov.au/media/future-made-australia" TargetMode="External"/><Relationship Id="rId17" Type="http://schemas.openxmlformats.org/officeDocument/2006/relationships/hyperlink" Target="https://www.dcceew.gov.au/sites/default/files/documents/australias-emissions-projections-2023.pdf" TargetMode="External"/><Relationship Id="rId25" Type="http://schemas.openxmlformats.org/officeDocument/2006/relationships/hyperlink" Target="https://www.worldfertilizer.com/project-news/10052023/construction-of-perdaman-chemicals-fertilisers-urea-plant-begins/" TargetMode="External"/><Relationship Id="rId33" Type="http://schemas.openxmlformats.org/officeDocument/2006/relationships/hyperlink" Target="https://about.bnef.com/blog/green-steel-demand-is-rising-faster-than-production-can-ramp-up/" TargetMode="External"/><Relationship Id="rId38" Type="http://schemas.openxmlformats.org/officeDocument/2006/relationships/hyperlink" Target="https://www.fastmarkets.com/insights/low-carbon-aluminium-demand-expected-to-grow-exponentially-by-2030-mckinsey-says/" TargetMode="External"/><Relationship Id="rId46" Type="http://schemas.openxmlformats.org/officeDocument/2006/relationships/hyperlink" Target="https://budget.gov.au/content/bp2/download/bp2_2024-25.pdf" TargetMode="External"/><Relationship Id="rId59" Type="http://schemas.openxmlformats.org/officeDocument/2006/relationships/hyperlink" Target="https://www.whitehouse.gov/briefing-room/speeches-remarks/2024/04/16/remarks-as-prepared-for-john-podesta-columbia-global-energy-summit/" TargetMode="External"/><Relationship Id="rId67" Type="http://schemas.openxmlformats.org/officeDocument/2006/relationships/hyperlink" Target="https://www.agriculture.gov.au/abares/research-topics/agricultural-outlook/wheat" TargetMode="External"/><Relationship Id="rId20" Type="http://schemas.openxmlformats.org/officeDocument/2006/relationships/hyperlink" Target="http://cement.org.au/australias-cement-industry/about-cement/australias-cement-industry" TargetMode="External"/><Relationship Id="rId41" Type="http://schemas.openxmlformats.org/officeDocument/2006/relationships/hyperlink" Target="https://www.spglobal.com/commodityinsights/en/ci/products/magnesium-oxide-chemical-economics-handbook.html" TargetMode="External"/><Relationship Id="rId54" Type="http://schemas.openxmlformats.org/officeDocument/2006/relationships/hyperlink" Target="https://www.dcceew.gov.au/sites/default/files/documents/safeguard-mechanism-document-production-variable-definitions-2022.pdf" TargetMode="External"/><Relationship Id="rId62" Type="http://schemas.openxmlformats.org/officeDocument/2006/relationships/hyperlink" Target="https://www.imo.org/en/OurWork/Environment/Pages/2023-IMO-Strategy-on-Reduction-of-GHG-Emissions-from-Ships.aspx" TargetMode="External"/><Relationship Id="rId70" Type="http://schemas.openxmlformats.org/officeDocument/2006/relationships/hyperlink" Target="https://climate-club.org/" TargetMode="External"/><Relationship Id="rId75" Type="http://schemas.openxmlformats.org/officeDocument/2006/relationships/hyperlink" Target="https://assets.publishing.service.gov.uk/media/65fc11fef1d3a0001132ac6f/Introduction_of_a_UK_carbon_border_adjustment_mechanism_from_January_2027.docx.pdf" TargetMode="External"/><Relationship Id="rId1" Type="http://schemas.openxmlformats.org/officeDocument/2006/relationships/hyperlink" Target="https://www.climatechangeauthority.gov.au/sites/default/files/documents/2024-04/Issues%20paper%20-%20Targets%2C%20Pathways%20and%20Progress.pdf" TargetMode="External"/><Relationship Id="rId6" Type="http://schemas.openxmlformats.org/officeDocument/2006/relationships/hyperlink" Target="https://www.un.org/en/climatechange/net-zero-coalition" TargetMode="External"/><Relationship Id="rId15" Type="http://schemas.openxmlformats.org/officeDocument/2006/relationships/hyperlink" Target="https://minister.dcceew.gov.au/bowen/media-releases/delivering-reliable-and-renewable-future-made-australia" TargetMode="External"/><Relationship Id="rId23" Type="http://schemas.openxmlformats.org/officeDocument/2006/relationships/hyperlink" Target="https://media.rff.org/documents/WP_22-16_M10.pdf" TargetMode="External"/><Relationship Id="rId28" Type="http://schemas.openxmlformats.org/officeDocument/2006/relationships/hyperlink" Target="https://energytransitionsinitiative.org/wp-content/uploads/2023/08/Pathways-to-Industrial-Decarbonisation-report-Updated-August-2023-Australian-Industry-ETI.pdf" TargetMode="External"/><Relationship Id="rId36" Type="http://schemas.openxmlformats.org/officeDocument/2006/relationships/hyperlink" Target="https://aluminium.org.au/australian-industry/australian-aluminium-industry/" TargetMode="External"/><Relationship Id="rId49" Type="http://schemas.openxmlformats.org/officeDocument/2006/relationships/hyperlink" Target="https://www.weforum.org/agenda/2023/01/chart-countries-produce-lithium-world/" TargetMode="External"/><Relationship Id="rId57" Type="http://schemas.openxmlformats.org/officeDocument/2006/relationships/hyperlink" Target="https://www.gov.uk/government/consultations/addressing-carbon-leakage-risk-to-support-decarbonisation/outcome/factsheet-uk-carbon-border-adjustment-mechanism" TargetMode="External"/><Relationship Id="rId10" Type="http://schemas.openxmlformats.org/officeDocument/2006/relationships/hyperlink" Target="https://www.dcceew.gov.au/climate-change/emissions-reduction/review-carbon-leakage" TargetMode="External"/><Relationship Id="rId31" Type="http://schemas.openxmlformats.org/officeDocument/2006/relationships/hyperlink" Target="https://www.yara.com/corporate-releases/yara-and-acme-signed-a-binding-agreement-for-supply-of-green-ammonia/" TargetMode="External"/><Relationship Id="rId44" Type="http://schemas.openxmlformats.org/officeDocument/2006/relationships/hyperlink" Target="https://www.industry.gov.au/sites/default/files/2024-05/future-gas-strategy-in-brief.pdf" TargetMode="External"/><Relationship Id="rId52" Type="http://schemas.openxmlformats.org/officeDocument/2006/relationships/hyperlink" Target="https://www.tianqilithium.com.au/site/About-Us/tianqi-lithium-global" TargetMode="External"/><Relationship Id="rId60" Type="http://schemas.openxmlformats.org/officeDocument/2006/relationships/hyperlink" Target="https://www.wti.org/media/filer_public/ee/61/ee6171fd-a68d-4829-875e-d9b0c32298b5/wti_working_paper_06_2022.pdf" TargetMode="External"/><Relationship Id="rId65" Type="http://schemas.openxmlformats.org/officeDocument/2006/relationships/hyperlink" Target="https://www.abs.gov.au/articles/average-floor-area-new-residential-dwellings" TargetMode="External"/><Relationship Id="rId73" Type="http://schemas.openxmlformats.org/officeDocument/2006/relationships/hyperlink" Target="https://doi.org/10.1787/4de3422f-enhttps:/doi.org/10.1787/4de3422f-en" TargetMode="External"/><Relationship Id="rId4" Type="http://schemas.openxmlformats.org/officeDocument/2006/relationships/hyperlink" Target="https://www.infrastructure.gov.au/have-your-say/transport-and-infrastructure-net-zero-consultation-roadmap" TargetMode="External"/><Relationship Id="rId9" Type="http://schemas.openxmlformats.org/officeDocument/2006/relationships/hyperlink" Target="https://minister.dcceew.gov.au/bowen/media-releases/safeguard-mechanism-one-step-closer-parliamentary-passage" TargetMode="External"/><Relationship Id="rId13" Type="http://schemas.openxmlformats.org/officeDocument/2006/relationships/hyperlink" Target="https://treasury.gov.au/sites/default/files/2024-05/p2024-526942-fmia-nif.pdf" TargetMode="External"/><Relationship Id="rId18" Type="http://schemas.openxmlformats.org/officeDocument/2006/relationships/hyperlink" Target="https://cpd.org.au/wp-content/uploads/2023/10/20230925-Green-gold-Report__.pdf" TargetMode="External"/><Relationship Id="rId39" Type="http://schemas.openxmlformats.org/officeDocument/2006/relationships/hyperlink" Target="https://international-aluminium.org/statistics/greenhouse-gas-emissions-intensity-primary-aluminium/" TargetMode="External"/><Relationship Id="rId34" Type="http://schemas.openxmlformats.org/officeDocument/2006/relationships/hyperlink" Target="https://www.industry.gov.au/publications/resources-and-energy-quarterly-december-2023" TargetMode="External"/><Relationship Id="rId50" Type="http://schemas.openxmlformats.org/officeDocument/2006/relationships/hyperlink" Target="https://www.industry.gov.au/sites/default/files/2024-03/resources-and-energy-quarterly-march-2024.pdf" TargetMode="External"/><Relationship Id="rId55" Type="http://schemas.openxmlformats.org/officeDocument/2006/relationships/hyperlink" Target="https://www.industry.gov.au/sites/default/files/2024-03/resources-and-energy-quarterly-march-2024.pdf" TargetMode="External"/><Relationship Id="rId7" Type="http://schemas.openxmlformats.org/officeDocument/2006/relationships/hyperlink" Target="https://www.dcceew.gov.au/sites/default/files/documents/annual-climate-change-statement-2023.pdf" TargetMode="External"/><Relationship Id="rId71" Type="http://schemas.openxmlformats.org/officeDocument/2006/relationships/hyperlink" Target="https://www.oecd.org/climate-change/inclusive-forum-on-carbon-mitigation-approach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N0003\OneDrive%20-%20Agriculture\docs\Carbon%20leakage%20review\1%20Policy\Consultation%20Paper%202\CLR%20CP2%20outline%20-%20draft%20231127.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PerrySa\AppData\Local\Microsoft\Windows\INetCache\Content.Outlook\R4YI4RPP\investment_leakage_indicator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770698591011297"/>
          <c:y val="6.1902082160945414E-2"/>
          <c:w val="0.47128979329623488"/>
          <c:h val="0.69939914657544566"/>
        </c:manualLayout>
      </c:layout>
      <c:barChart>
        <c:barDir val="bar"/>
        <c:grouping val="clustered"/>
        <c:varyColors val="0"/>
        <c:ser>
          <c:idx val="0"/>
          <c:order val="0"/>
          <c:tx>
            <c:strRef>
              <c:f>investment_leakage_indicators!$J$1</c:f>
              <c:strCache>
                <c:ptCount val="1"/>
                <c:pt idx="0">
                  <c:v>ebit_mean_no_carbon_price</c:v>
                </c:pt>
              </c:strCache>
            </c:strRef>
          </c:tx>
          <c:spPr>
            <a:solidFill>
              <a:srgbClr val="197C7D"/>
            </a:solidFill>
            <a:ln>
              <a:noFill/>
            </a:ln>
            <a:effectLst/>
          </c:spPr>
          <c:invertIfNegative val="0"/>
          <c:errBars>
            <c:errBarType val="both"/>
            <c:errValType val="cust"/>
            <c:noEndCap val="0"/>
            <c:plus>
              <c:numRef>
                <c:f>investment_leakage_indicators!$K$2:$K$7</c:f>
                <c:numCache>
                  <c:formatCode>General</c:formatCode>
                  <c:ptCount val="6"/>
                  <c:pt idx="0">
                    <c:v>9.7004639366666659E-2</c:v>
                  </c:pt>
                  <c:pt idx="1">
                    <c:v>9.4350180466666669E-2</c:v>
                  </c:pt>
                  <c:pt idx="2">
                    <c:v>0.15819635383333336</c:v>
                  </c:pt>
                  <c:pt idx="3">
                    <c:v>0.25786141239999999</c:v>
                  </c:pt>
                  <c:pt idx="4">
                    <c:v>0.28831466620000001</c:v>
                  </c:pt>
                  <c:pt idx="5">
                    <c:v>0.22111780286666666</c:v>
                  </c:pt>
                </c:numCache>
              </c:numRef>
            </c:plus>
            <c:minus>
              <c:numRef>
                <c:f>investment_leakage_indicators!$K$2:$K$7</c:f>
                <c:numCache>
                  <c:formatCode>General</c:formatCode>
                  <c:ptCount val="6"/>
                  <c:pt idx="0">
                    <c:v>9.7004639366666659E-2</c:v>
                  </c:pt>
                  <c:pt idx="1">
                    <c:v>9.4350180466666669E-2</c:v>
                  </c:pt>
                  <c:pt idx="2">
                    <c:v>0.15819635383333336</c:v>
                  </c:pt>
                  <c:pt idx="3">
                    <c:v>0.25786141239999999</c:v>
                  </c:pt>
                  <c:pt idx="4">
                    <c:v>0.28831466620000001</c:v>
                  </c:pt>
                  <c:pt idx="5">
                    <c:v>0.22111780286666666</c:v>
                  </c:pt>
                </c:numCache>
              </c:numRef>
            </c:minus>
            <c:spPr>
              <a:noFill/>
              <a:ln w="25400" cap="flat" cmpd="sng" algn="ctr">
                <a:solidFill>
                  <a:srgbClr val="A72929">
                    <a:alpha val="65000"/>
                  </a:srgbClr>
                </a:solidFill>
                <a:round/>
              </a:ln>
              <a:effectLst/>
            </c:spPr>
          </c:errBars>
          <c:cat>
            <c:strRef>
              <c:f>investment_leakage_indicators!$B$2:$B$7</c:f>
              <c:strCache>
                <c:ptCount val="6"/>
                <c:pt idx="0">
                  <c:v>Metal Ore and Iron Ore Mining</c:v>
                </c:pt>
                <c:pt idx="1">
                  <c:v>Oil and Gas Extraction and LNG</c:v>
                </c:pt>
                <c:pt idx="2">
                  <c:v>Coal Mining</c:v>
                </c:pt>
                <c:pt idx="3">
                  <c:v>Metals Manufacturing and Aluminium Production</c:v>
                </c:pt>
                <c:pt idx="4">
                  <c:v>Petroleum Refining, Grain Mill Manufacturing and Chemicals and Fertilisers</c:v>
                </c:pt>
                <c:pt idx="5">
                  <c:v>Glass, Cement, Lime and Pulp and Paper Manufacturing</c:v>
                </c:pt>
              </c:strCache>
            </c:strRef>
          </c:cat>
          <c:val>
            <c:numRef>
              <c:f>investment_leakage_indicators!$J$2:$J$7</c:f>
              <c:numCache>
                <c:formatCode>0.0000</c:formatCode>
                <c:ptCount val="6"/>
                <c:pt idx="0">
                  <c:v>7.5882762933333334E-2</c:v>
                </c:pt>
                <c:pt idx="1">
                  <c:v>0.1172035697</c:v>
                </c:pt>
                <c:pt idx="2">
                  <c:v>0.14748356793333334</c:v>
                </c:pt>
                <c:pt idx="3">
                  <c:v>0.31707304623333332</c:v>
                </c:pt>
                <c:pt idx="4">
                  <c:v>0.36283375033333332</c:v>
                </c:pt>
                <c:pt idx="5">
                  <c:v>0.5201761806666666</c:v>
                </c:pt>
              </c:numCache>
            </c:numRef>
          </c:val>
          <c:extLst>
            <c:ext xmlns:c16="http://schemas.microsoft.com/office/drawing/2014/chart" uri="{C3380CC4-5D6E-409C-BE32-E72D297353CC}">
              <c16:uniqueId val="{00000000-D413-4E82-8947-4E3D6066D7E9}"/>
            </c:ext>
          </c:extLst>
        </c:ser>
        <c:dLbls>
          <c:showLegendKey val="0"/>
          <c:showVal val="0"/>
          <c:showCatName val="0"/>
          <c:showSerName val="0"/>
          <c:showPercent val="0"/>
          <c:showBubbleSize val="0"/>
        </c:dLbls>
        <c:gapWidth val="100"/>
        <c:axId val="622708192"/>
        <c:axId val="622682272"/>
      </c:barChart>
      <c:catAx>
        <c:axId val="62270819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b" anchorCtr="1"/>
          <a:lstStyle/>
          <a:p>
            <a:pPr>
              <a:defRPr sz="900" b="0" i="0" u="none" strike="noStrike" kern="1200" baseline="0">
                <a:solidFill>
                  <a:schemeClr val="tx1">
                    <a:lumMod val="95000"/>
                    <a:lumOff val="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622682272"/>
        <c:crosses val="autoZero"/>
        <c:auto val="1"/>
        <c:lblAlgn val="ctr"/>
        <c:lblOffset val="100"/>
        <c:noMultiLvlLbl val="0"/>
      </c:catAx>
      <c:valAx>
        <c:axId val="622682272"/>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200" b="0" i="0" u="none" strike="noStrike" kern="1200" baseline="0">
                    <a:solidFill>
                      <a:schemeClr val="tx1">
                        <a:lumMod val="95000"/>
                        <a:lumOff val="5000"/>
                      </a:schemeClr>
                    </a:solidFill>
                    <a:latin typeface="Calibri" panose="020F0502020204030204" pitchFamily="34" charset="0"/>
                    <a:ea typeface="Calibri" panose="020F0502020204030204" pitchFamily="34" charset="0"/>
                    <a:cs typeface="Calibri" panose="020F0502020204030204" pitchFamily="34" charset="0"/>
                  </a:defRPr>
                </a:pPr>
                <a:r>
                  <a:rPr lang="en-AU"/>
                  <a:t>Emissions/firm profits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title>
        <c:numFmt formatCode="0.0" sourceLinked="0"/>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622708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lumMod val="95000"/>
              <a:lumOff val="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F6524065-1B22-41BC-AB10-1ADC0384A3C1}">
    <t:Anchor>
      <t:Comment id="1447941492"/>
    </t:Anchor>
    <t:History>
      <t:Event id="{105DC874-CEAB-4C0C-80C4-93A1AEA8731C}" time="2024-04-28T01:58:30.21Z">
        <t:Attribution userId="S::edwina.johnson@dcceew.gov.au::97b107ec-9099-4e39-9e07-0e66e82a382b" userProvider="AD" userName="Johnson, Edwina"/>
        <t:Anchor>
          <t:Comment id="1447941492"/>
        </t:Anchor>
        <t:Create/>
      </t:Event>
      <t:Event id="{89BB72BC-6DAB-4D5D-8153-6952D59D5DF4}" time="2024-04-28T01:58:30.21Z">
        <t:Attribution userId="S::edwina.johnson@dcceew.gov.au::97b107ec-9099-4e39-9e07-0e66e82a382b" userProvider="AD" userName="Johnson, Edwina"/>
        <t:Anchor>
          <t:Comment id="1447941492"/>
        </t:Anchor>
        <t:Assign userId="S::Peter.Wood@dcceew.gov.au::1eab49a0-7932-4913-953f-7105fd29b9e7" userProvider="AD" userName="Wood, Peter"/>
      </t:Event>
      <t:Event id="{9839B7BA-4222-4B70-AE18-EB89B3FA0E0B}" time="2024-04-28T01:58:30.21Z">
        <t:Attribution userId="S::edwina.johnson@dcceew.gov.au::97b107ec-9099-4e39-9e07-0e66e82a382b" userProvider="AD" userName="Johnson, Edwina"/>
        <t:Anchor>
          <t:Comment id="1447941492"/>
        </t:Anchor>
        <t:SetTitle title="@Wood, Peter can you please consider whether under the Rule/Act it is possible to reduce threshold for a subset of sectors, thanks"/>
      </t:Event>
      <t:Event id="{25919FB3-0B2E-4F57-B2BD-04D457012061}" time="2024-05-21T04:33:39.792Z">
        <t:Attribution userId="S::Edwina.Johnson@dcceew.gov.au::97b107ec-9099-4e39-9e07-0e66e82a382b" userProvider="AD" userName="Johnson, Edwina"/>
        <t:Progress percentComplete="100"/>
      </t:Event>
    </t:History>
  </t:Task>
  <t:Task id="{F2C23EE5-20AA-4311-B093-2ACAD1D5054F}">
    <t:Anchor>
      <t:Comment id="2040599200"/>
    </t:Anchor>
    <t:History>
      <t:Event id="{ECC3880B-1269-451C-9875-560E69344742}" time="2024-05-15T05:52:39.884Z">
        <t:Attribution userId="S::Liam.Hedge@dcceew.gov.au::5638b37e-b93e-4fe3-9190-aa6fec8e6782" userProvider="AD" userName="Hedge, Liam"/>
        <t:Anchor>
          <t:Comment id="912334818"/>
        </t:Anchor>
        <t:Create/>
      </t:Event>
      <t:Event id="{855E97F8-51C3-43F4-93A4-5DE180E16AFD}" time="2024-05-15T05:52:39.884Z">
        <t:Attribution userId="S::Liam.Hedge@dcceew.gov.au::5638b37e-b93e-4fe3-9190-aa6fec8e6782" userProvider="AD" userName="Hedge, Liam"/>
        <t:Anchor>
          <t:Comment id="912334818"/>
        </t:Anchor>
        <t:Assign userId="S::Ben.Wee@dcceew.gov.au::a8bb117b-dfac-4ce2-a350-f5fd81245b74" userProvider="AD" userName="Wee, Ben"/>
      </t:Event>
      <t:Event id="{11EF35F0-B0AB-4C52-A8E7-6865847B4DC4}" time="2024-05-15T05:52:39.884Z">
        <t:Attribution userId="S::Liam.Hedge@dcceew.gov.au::5638b37e-b93e-4fe3-9190-aa6fec8e6782" userProvider="AD" userName="Hedge, Liam"/>
        <t:Anchor>
          <t:Comment id="912334818"/>
        </t:Anchor>
        <t:SetTitle title="@Wee, Ben Is this actioned?"/>
      </t:Event>
      <t:Event id="{1169074C-021E-4330-A679-51CB9D43E957}" time="2024-05-15T06:03:06.513Z">
        <t:Attribution userId="S::Liam.Hedge@dcceew.gov.au::5638b37e-b93e-4fe3-9190-aa6fec8e6782" userProvider="AD" userName="Hedge, Liam"/>
        <t:Progress percentComplete="100"/>
      </t:Event>
    </t:History>
  </t:Task>
</t:Task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d752013-48f3-44e0-8fb9-3cd7fc1f0ba8">
      <Terms xmlns="http://schemas.microsoft.com/office/infopath/2007/PartnerControls"/>
    </lcf76f155ced4ddcb4097134ff3c332f>
    <TaxCatchAll xmlns="e069ed18-643f-4fa2-8f24-2a187e93ad6d" xsi:nil="true"/>
    <SharedWithUsers xmlns="e75883d2-18c9-4905-892c-33562302d513">
      <UserInfo>
        <DisplayName>Liam HEDGE</DisplayName>
        <AccountId>710</AccountId>
        <AccountType/>
      </UserInfo>
    </SharedWithUsers>
    <Topic xmlns="eb511945-55a0-4b8c-a28b-7bc3ad442a4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AB5E2B1B6D5A48B22E125CB4EBF9E6" ma:contentTypeVersion="6" ma:contentTypeDescription="Create a new document." ma:contentTypeScope="" ma:versionID="42cfe1170f377a50e8ce5822db470643">
  <xsd:schema xmlns:xsd="http://www.w3.org/2001/XMLSchema" xmlns:xs="http://www.w3.org/2001/XMLSchema" xmlns:p="http://schemas.microsoft.com/office/2006/metadata/properties" xmlns:ns1="http://schemas.microsoft.com/sharepoint/v3" xmlns:ns2="eb511945-55a0-4b8c-a28b-7bc3ad442a40" xmlns:ns3="e75883d2-18c9-4905-892c-33562302d513" xmlns:ns4="6d752013-48f3-44e0-8fb9-3cd7fc1f0ba8" xmlns:ns5="e069ed18-643f-4fa2-8f24-2a187e93ad6d" targetNamespace="http://schemas.microsoft.com/office/2006/metadata/properties" ma:root="true" ma:fieldsID="6e75ef051e4350a7168f4e34243b3c1b" ns1:_="" ns2:_="" ns3:_="" ns4:_="" ns5:_="">
    <xsd:import namespace="http://schemas.microsoft.com/sharepoint/v3"/>
    <xsd:import namespace="eb511945-55a0-4b8c-a28b-7bc3ad442a40"/>
    <xsd:import namespace="e75883d2-18c9-4905-892c-33562302d513"/>
    <xsd:import namespace="6d752013-48f3-44e0-8fb9-3cd7fc1f0ba8"/>
    <xsd:import namespace="e069ed18-643f-4fa2-8f24-2a187e93ad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Topic" minOccurs="0"/>
                <xsd:element ref="ns2:MediaServiceLocation" minOccurs="0"/>
                <xsd:element ref="ns2:MediaServiceSearchProperties" minOccurs="0"/>
                <xsd:element ref="ns4:lcf76f155ced4ddcb4097134ff3c332f" minOccurs="0"/>
                <xsd:element ref="ns5: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511945-55a0-4b8c-a28b-7bc3ad442a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Topic" ma:index="18" nillable="true" ma:displayName="Topic" ma:internalName="Topic">
      <xsd:simpleType>
        <xsd:restriction base="dms:Text">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5883d2-18c9-4905-892c-33562302d5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752013-48f3-44e0-8fb9-3cd7fc1f0ba8"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69ed18-643f-4fa2-8f24-2a187e93ad6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4516796-82ae-4caa-b3ad-222c41a33246}" ma:internalName="TaxCatchAll" ma:showField="CatchAllData" ma:web="e069ed18-643f-4fa2-8f24-2a187e93a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9D24D0-624D-478E-8BF9-F8BAD04AEBA7}">
  <ds:schemaRefs>
    <ds:schemaRef ds:uri="http://schemas.openxmlformats.org/officeDocument/2006/bibliography"/>
  </ds:schemaRefs>
</ds:datastoreItem>
</file>

<file path=customXml/itemProps2.xml><?xml version="1.0" encoding="utf-8"?>
<ds:datastoreItem xmlns:ds="http://schemas.openxmlformats.org/officeDocument/2006/customXml" ds:itemID="{9D1CAD33-3B39-4665-A5E6-666D035120E9}">
  <ds:schemaRefs>
    <ds:schemaRef ds:uri="http://schemas.openxmlformats.org/package/2006/metadata/core-properties"/>
    <ds:schemaRef ds:uri="http://www.w3.org/XML/1998/namespace"/>
    <ds:schemaRef ds:uri="http://purl.org/dc/elements/1.1/"/>
    <ds:schemaRef ds:uri="http://schemas.microsoft.com/office/2006/documentManagement/types"/>
    <ds:schemaRef ds:uri="e069ed18-643f-4fa2-8f24-2a187e93ad6d"/>
    <ds:schemaRef ds:uri="http://purl.org/dc/terms/"/>
    <ds:schemaRef ds:uri="e75883d2-18c9-4905-892c-33562302d513"/>
    <ds:schemaRef ds:uri="http://schemas.microsoft.com/office/infopath/2007/PartnerControls"/>
    <ds:schemaRef ds:uri="eb511945-55a0-4b8c-a28b-7bc3ad442a40"/>
    <ds:schemaRef ds:uri="6d752013-48f3-44e0-8fb9-3cd7fc1f0ba8"/>
    <ds:schemaRef ds:uri="http://schemas.microsoft.com/sharepoint/v3"/>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52AFE41E-4937-40AC-8B63-5201858FCD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511945-55a0-4b8c-a28b-7bc3ad442a40"/>
    <ds:schemaRef ds:uri="e75883d2-18c9-4905-892c-33562302d513"/>
    <ds:schemaRef ds:uri="6d752013-48f3-44e0-8fb9-3cd7fc1f0ba8"/>
    <ds:schemaRef ds:uri="e069ed18-643f-4fa2-8f24-2a187e93a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CLR CP2 outline - draft 231127</Template>
  <TotalTime>12</TotalTime>
  <Pages>94</Pages>
  <Words>33538</Words>
  <Characters>191167</Characters>
  <Application>Microsoft Office Word</Application>
  <DocSecurity>0</DocSecurity>
  <Lines>1593</Lines>
  <Paragraphs>448</Paragraphs>
  <ScaleCrop>false</ScaleCrop>
  <Company/>
  <LinksUpToDate>false</LinksUpToDate>
  <CharactersWithSpaces>224257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Nitipaisalkul, Warin</dc:creator>
  <cp:keywords>[SEC=OFFICIAL]</cp:keywords>
  <cp:lastModifiedBy>Warin NITIPAISALKUL</cp:lastModifiedBy>
  <cp:revision>146</cp:revision>
  <cp:lastPrinted>2024-09-26T23:09:00Z</cp:lastPrinted>
  <dcterms:created xsi:type="dcterms:W3CDTF">2024-08-23T16:45:00Z</dcterms:created>
  <dcterms:modified xsi:type="dcterms:W3CDTF">2024-10-29T03:46:00Z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59800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PM_ProtectiveMarkingValue_Footer">
    <vt:lpwstr>OFFICIAL</vt:lpwstr>
  </property>
  <property fmtid="{D5CDD505-2E9C-101B-9397-08002B2CF9AE}" pid="11" name="PM_Caveats_Count">
    <vt:lpwstr>0</vt:lpwstr>
  </property>
  <property fmtid="{D5CDD505-2E9C-101B-9397-08002B2CF9AE}" pid="12" name="PM_Originator_Hash_SHA1">
    <vt:lpwstr>238107D9A80FAF5FC00D856B9468F8F5D2C3BC1F</vt:lpwstr>
  </property>
  <property fmtid="{D5CDD505-2E9C-101B-9397-08002B2CF9AE}" pid="13" name="PM_SecurityClassification">
    <vt:lpwstr>OFFICIAL</vt:lpwstr>
  </property>
  <property fmtid="{D5CDD505-2E9C-101B-9397-08002B2CF9AE}" pid="14" name="PM_DisplayValueSecClassificationWithQualifier">
    <vt:lpwstr>OFFICIAL:</vt:lpwstr>
  </property>
  <property fmtid="{D5CDD505-2E9C-101B-9397-08002B2CF9AE}" pid="15" name="PM_Qualifier">
    <vt:lpwstr/>
  </property>
  <property fmtid="{D5CDD505-2E9C-101B-9397-08002B2CF9AE}" pid="16" name="PM_Hash_SHA1">
    <vt:lpwstr>A64C183167A007448A88EE96B4A02473E79CE501</vt:lpwstr>
  </property>
  <property fmtid="{D5CDD505-2E9C-101B-9397-08002B2CF9AE}" pid="17" name="PM_ProtectiveMarkingImage_Header">
    <vt:lpwstr>C:\Program Files (x86)\Common Files\janusNET Shared\janusSEAL\Images\DocumentSlashBlue.png</vt:lpwstr>
  </property>
  <property fmtid="{D5CDD505-2E9C-101B-9397-08002B2CF9AE}" pid="18" name="PM_InsertionValue">
    <vt:lpwstr>OFFICIAL</vt:lpwstr>
  </property>
  <property fmtid="{D5CDD505-2E9C-101B-9397-08002B2CF9AE}" pid="19" name="PM_ProtectiveMarkingValue_Header">
    <vt:lpwstr>OFFICIAL</vt:lpwstr>
  </property>
  <property fmtid="{D5CDD505-2E9C-101B-9397-08002B2CF9AE}" pid="20" name="PM_ProtectiveMarkingImage_Footer">
    <vt:lpwstr>C:\Program Files (x86)\Common Files\janusNET Shared\janusSEAL\Images\DocumentSlashBlue.png</vt:lpwstr>
  </property>
  <property fmtid="{D5CDD505-2E9C-101B-9397-08002B2CF9AE}" pid="21" name="PM_Namespace">
    <vt:lpwstr>gov.au</vt:lpwstr>
  </property>
  <property fmtid="{D5CDD505-2E9C-101B-9397-08002B2CF9AE}" pid="22" name="PM_Version">
    <vt:lpwstr>2018.1</vt:lpwstr>
  </property>
  <property fmtid="{D5CDD505-2E9C-101B-9397-08002B2CF9AE}" pid="23" name="PM_Originating_FileId">
    <vt:lpwstr>06964BEB32054C45B4D353394CE7979C</vt:lpwstr>
  </property>
  <property fmtid="{D5CDD505-2E9C-101B-9397-08002B2CF9AE}" pid="24" name="PM_Note">
    <vt:lpwstr/>
  </property>
  <property fmtid="{D5CDD505-2E9C-101B-9397-08002B2CF9AE}" pid="25" name="PM_Markers">
    <vt:lpwstr/>
  </property>
  <property fmtid="{D5CDD505-2E9C-101B-9397-08002B2CF9AE}" pid="26" name="PM_OriginationTimeStamp">
    <vt:lpwstr>2024-08-20T03:30:08Z</vt:lpwstr>
  </property>
  <property fmtid="{D5CDD505-2E9C-101B-9397-08002B2CF9AE}" pid="27" name="PM_Hash_Version">
    <vt:lpwstr>2018.0</vt:lpwstr>
  </property>
  <property fmtid="{D5CDD505-2E9C-101B-9397-08002B2CF9AE}" pid="28" name="PM_Hash_Salt_Prev">
    <vt:lpwstr>2A41BB8D5097C58ECFB0184F96A28C34</vt:lpwstr>
  </property>
  <property fmtid="{D5CDD505-2E9C-101B-9397-08002B2CF9AE}" pid="29" name="PM_Hash_Salt">
    <vt:lpwstr>E2A1F539B64359DE56C5FB6B5B4325F1</vt:lpwstr>
  </property>
  <property fmtid="{D5CDD505-2E9C-101B-9397-08002B2CF9AE}" pid="30" name="PM_SecurityClassification_Prev">
    <vt:lpwstr>PROTECTED</vt:lpwstr>
  </property>
  <property fmtid="{D5CDD505-2E9C-101B-9397-08002B2CF9AE}" pid="31" name="PM_Qualifier_Prev">
    <vt:lpwstr/>
  </property>
  <property fmtid="{D5CDD505-2E9C-101B-9397-08002B2CF9AE}" pid="32" name="ClassificationContentMarkingHeaderFontProps">
    <vt:lpwstr>#ff0000,12,Calibri</vt:lpwstr>
  </property>
  <property fmtid="{D5CDD505-2E9C-101B-9397-08002B2CF9AE}" pid="33" name="ClassificationContentMarkingHeaderText">
    <vt:lpwstr>OFFICIAL</vt:lpwstr>
  </property>
  <property fmtid="{D5CDD505-2E9C-101B-9397-08002B2CF9AE}" pid="34" name="ClassificationContentMarkingFooterFontProps">
    <vt:lpwstr>#ff0000,12,Calibri</vt:lpwstr>
  </property>
  <property fmtid="{D5CDD505-2E9C-101B-9397-08002B2CF9AE}" pid="35" name="ClassificationContentMarkingFooterText">
    <vt:lpwstr>OFFICIAL</vt:lpwstr>
  </property>
  <property fmtid="{D5CDD505-2E9C-101B-9397-08002B2CF9AE}" pid="36" name="ContentTypeId">
    <vt:lpwstr>0x01010065AB5E2B1B6D5A48B22E125CB4EBF9E6</vt:lpwstr>
  </property>
  <property fmtid="{D5CDD505-2E9C-101B-9397-08002B2CF9AE}" pid="37" name="ClassificationContentMarkingHeaderShapeIds">
    <vt:lpwstr>59158df6,737db5ed,37a23424,4f54830e,3353f848,28957025,1f5f94d3,396f7a44,3f41c2c1,6c9bb8fc,3de0564d,d01091e</vt:lpwstr>
  </property>
  <property fmtid="{D5CDD505-2E9C-101B-9397-08002B2CF9AE}" pid="38" name="ClassificationContentMarkingFooterShapeIds">
    <vt:lpwstr>5139501,7c63f989,747cdb10,fd55165,3a0b93b,6d0414d3,770d3882,79eec6de,57511a75</vt:lpwstr>
  </property>
</Properties>
</file>